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9104.xml.htm"/>
      <w:bookmarkStart w:id="1" w:name="kswkform4_17860491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Herzog David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20408 BASHAN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231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DXC Technology Co</w:t>
              </w:r>
            </w:hyperlink>
            <w:r>
              <w:rPr/>
              <w:t xml:space="preserve"> [ </w:t>
            </w:r>
            <w:r>
              <w:rPr>
                <w:rFonts w:ascii="Times;serif" w:hAnsi="Times;serif"/>
                <w:color w:val="0000FF"/>
                <w:sz w:val="24"/>
                <w:shd w:fill="FFFFFF" w:val="clear"/>
              </w:rPr>
              <w:t>DXC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30,900</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147,301</w:t>
            </w:r>
            <w:r>
              <w:rPr>
                <w:rFonts w:ascii="Times;serif" w:hAnsi="Times;serif"/>
                <w:color w:val="008000"/>
                <w:position w:val="7"/>
                <w:sz w:val="16"/>
                <w:sz w:val="20"/>
                <w:shd w:fill="FFFFFF" w:val="clear"/>
              </w:rPr>
              <w:t>(2)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units (RSUs). Each RSU entitles the reporting person to receive one share of common stock. The RSUs will vest on the earlier of (i) one year from the grant date, or (ii) at the 2027 annual meeting of stockholders. The RSUs will settle on the vesting date or, if the director has elected to defer settlement, on the date or event elected by the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 Fawcett,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793" TargetMode="External"/><Relationship Id="rId5" Type="http://schemas.openxmlformats.org/officeDocument/2006/relationships/hyperlink" Target="http://www.sec.gov/cgi-bin/browse-edgar?action=getcompany&amp;CIK=00016885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3406</Characters>
  <CharactersWithSpaces>3974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