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2"/>
        </w:rPr>
        <w:t>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2"/>
        </w:rPr>
        <w:t>_____________________________________________________________________________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22, 2026 </w:t>
      </w:r>
    </w:p>
    <w:p>
      <w:pPr>
        <w:pStyle w:val="TextBody"/>
        <w:bidi w:val="0"/>
        <w:spacing w:lineRule="auto" w:line="288" w:before="0" w:after="0"/>
        <w:jc w:val="center"/>
        <w:rPr/>
      </w:pPr>
      <w:r>
        <w:rPr>
          <w:color w:val="000000"/>
        </w:rPr>
        <w:t> </w:t>
      </w:r>
      <w:r>
        <w:rPr>
          <w:rFonts w:ascii="Times New Roman;serif" w:hAnsi="Times New Roman;serif"/>
          <w:b/>
          <w:color w:val="000000"/>
          <w:sz w:val="22"/>
        </w:rPr>
        <w:t>______________________________________________________________________________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DXC TECHNOLOGY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2"/>
        </w:rPr>
        <w:t>______________________________________________________________________________</w:t>
      </w:r>
    </w:p>
    <w:tbl>
      <w:tblPr>
        <w:tblW w:w="5106" w:type="dxa"/>
        <w:jc w:val="center"/>
        <w:tblInd w:w="0" w:type="dxa"/>
        <w:tblLayout w:type="fixed"/>
        <w:tblCellMar>
          <w:top w:w="28" w:type="dxa"/>
          <w:left w:w="28" w:type="dxa"/>
          <w:bottom w:w="28" w:type="dxa"/>
          <w:right w:w="28" w:type="dxa"/>
        </w:tblCellMar>
      </w:tblPr>
      <w:tblGrid>
        <w:gridCol w:w="714"/>
        <w:gridCol w:w="630"/>
        <w:gridCol w:w="635"/>
        <w:gridCol w:w="109"/>
        <w:gridCol w:w="109"/>
        <w:gridCol w:w="109"/>
        <w:gridCol w:w="343"/>
        <w:gridCol w:w="343"/>
        <w:gridCol w:w="348"/>
        <w:gridCol w:w="109"/>
        <w:gridCol w:w="109"/>
        <w:gridCol w:w="109"/>
        <w:gridCol w:w="420"/>
        <w:gridCol w:w="420"/>
        <w:gridCol w:w="599"/>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61-1800317</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0" w:after="0"/>
        <w:jc w:val="center"/>
        <w:rPr>
          <w:color w:val="000000"/>
        </w:rPr>
      </w:pPr>
      <w:r>
        <w:rPr>
          <w:color w:val="000000"/>
        </w:rPr>
        <w:t> </w:t>
      </w:r>
    </w:p>
    <w:tbl>
      <w:tblPr>
        <w:tblW w:w="3950" w:type="dxa"/>
        <w:jc w:val="center"/>
        <w:tblInd w:w="0" w:type="dxa"/>
        <w:tblLayout w:type="fixed"/>
        <w:tblCellMar>
          <w:top w:w="28" w:type="dxa"/>
          <w:left w:w="28" w:type="dxa"/>
          <w:bottom w:w="28" w:type="dxa"/>
          <w:right w:w="28" w:type="dxa"/>
        </w:tblCellMar>
      </w:tblPr>
      <w:tblGrid>
        <w:gridCol w:w="289"/>
        <w:gridCol w:w="254"/>
        <w:gridCol w:w="254"/>
        <w:gridCol w:w="254"/>
        <w:gridCol w:w="254"/>
        <w:gridCol w:w="254"/>
        <w:gridCol w:w="254"/>
        <w:gridCol w:w="254"/>
        <w:gridCol w:w="254"/>
        <w:gridCol w:w="254"/>
        <w:gridCol w:w="254"/>
        <w:gridCol w:w="254"/>
        <w:gridCol w:w="254"/>
        <w:gridCol w:w="254"/>
        <w:gridCol w:w="359"/>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9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20408 Bashan Drive, Suite 231</w:t>
            </w:r>
          </w:p>
        </w:tc>
      </w:tr>
      <w:tr>
        <w:trPr/>
        <w:tc>
          <w:tcPr>
            <w:tcW w:w="395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Ashburn, Virginia 20147</w:t>
            </w:r>
          </w:p>
        </w:tc>
      </w:tr>
      <w:tr>
        <w:trPr/>
        <w:tc>
          <w:tcPr>
            <w:tcW w:w="39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tc>
      </w:tr>
    </w:tbl>
    <w:p>
      <w:pPr>
        <w:pStyle w:val="TextBody"/>
        <w:bidi w:val="0"/>
        <w:spacing w:lineRule="auto" w:line="288" w:before="1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(703) 972-7000 </w:t>
      </w:r>
    </w:p>
    <w:p>
      <w:pPr>
        <w:pStyle w:val="TextBody"/>
        <w:bidi w:val="0"/>
        <w:spacing w:before="1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40"/>
        <w:jc w:val="center"/>
        <w:rPr>
          <w:rFonts w:ascii="Times New Roman;serif" w:hAnsi="Times New Roman;serif"/>
          <w:b/>
          <w:color w:val="000000"/>
          <w:sz w:val="22"/>
        </w:rPr>
      </w:pPr>
      <w:r>
        <w:rPr>
          <w:rFonts w:ascii="Times New Roman;serif" w:hAnsi="Times New Roman;serif"/>
          <w:b/>
          <w:color w:val="000000"/>
          <w:sz w:val="22"/>
        </w:rPr>
        <w:t>_____________________________________________________________________________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8"/>
        <w:gridCol w:w="2178"/>
        <w:gridCol w:w="3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2026 Annual Meeting of Stockholders (the “Annual Meeting”) of DXC Technology Company (the “Company”) was held on July 21, 2026. The Company previously filed with the Securities and Exchange Commission a proxy statement, which describes in detail each of the five proposals submitted to stockholders at the Annual Meeting. No item other than the five items addressed below and described in the proxy statement was submitted at the Annual Meeting for stockholder action.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certified results of the matters voted upon at the Annual Meeting, which are more fully described in the proxy statement, are as follows: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Proposal 1. </w:t>
      </w:r>
      <w:r>
        <w:rPr>
          <w:rFonts w:ascii="Times New Roman;serif" w:hAnsi="Times New Roman;serif"/>
          <w:b w:val="false"/>
          <w:color w:val="000000"/>
          <w:sz w:val="20"/>
        </w:rPr>
        <w:t>The stockholders elected all nine director nominees to serve until the 2027 annual meeting of stockholders or until their respective successors are duly elected and qualified. The votes with respect to the election of each of the nine directors were as follows:</w:t>
      </w:r>
    </w:p>
    <w:p>
      <w:pPr>
        <w:pStyle w:val="TextBody"/>
        <w:bidi w:val="0"/>
        <w:spacing w:before="0" w:after="0"/>
        <w:jc w:val="left"/>
        <w:rPr/>
      </w:pPr>
      <w:r>
        <w:rPr/>
      </w:r>
    </w:p>
    <w:tbl>
      <w:tblPr>
        <w:tblW w:w="5929" w:type="dxa"/>
        <w:jc w:val="left"/>
        <w:tblInd w:w="0" w:type="dxa"/>
        <w:tblLayout w:type="fixed"/>
        <w:tblCellMar>
          <w:top w:w="28" w:type="dxa"/>
          <w:left w:w="28" w:type="dxa"/>
          <w:bottom w:w="28" w:type="dxa"/>
          <w:right w:w="28" w:type="dxa"/>
        </w:tblCellMar>
      </w:tblPr>
      <w:tblGrid>
        <w:gridCol w:w="662"/>
        <w:gridCol w:w="581"/>
        <w:gridCol w:w="587"/>
        <w:gridCol w:w="379"/>
        <w:gridCol w:w="379"/>
        <w:gridCol w:w="383"/>
        <w:gridCol w:w="309"/>
        <w:gridCol w:w="309"/>
        <w:gridCol w:w="313"/>
        <w:gridCol w:w="315"/>
        <w:gridCol w:w="315"/>
        <w:gridCol w:w="316"/>
        <w:gridCol w:w="316"/>
        <w:gridCol w:w="316"/>
        <w:gridCol w:w="44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w:t>
              <w:b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w:t>
              <w:br/>
              <w:t>Against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w:t>
              <w:br/>
              <w:t>Abstained</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br/>
              <w:t>Non-Votes</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Barnes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111,433,830</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6,336,618</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427,801</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Raul J. Fernandez</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116,045,866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1,760,063</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392,320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Gonzalez</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111,227,945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6,518,720</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451,584</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L. Herzog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110,769,663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7,046,461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382,125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Pinkie D. Mayfield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112,316,997</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5,455,010</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426,242</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 Rogers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115,280,213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2,543,260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374,776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W. Teffner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115,391,465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2,431,866</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374,918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Akihiko Washington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113,582,168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4,202,006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414,075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Woods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115,653,345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2,157,742</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387,162</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bl>
    <w:p>
      <w:pPr>
        <w:pStyle w:val="TextBody"/>
        <w:bidi w:val="0"/>
        <w:spacing w:before="0" w:after="0"/>
        <w:ind w:left="0" w:right="0" w:hanging="180"/>
        <w:jc w:val="left"/>
        <w:rPr/>
      </w:pPr>
      <w:r>
        <w:rPr/>
      </w:r>
    </w:p>
    <w:p>
      <w:pPr>
        <w:pStyle w:val="TextBody"/>
        <w:bidi w:val="0"/>
        <w:spacing w:lineRule="auto" w:line="268" w:before="0" w:after="0"/>
        <w:jc w:val="left"/>
        <w:rPr/>
      </w:pPr>
      <w:r>
        <w:rPr>
          <w:rFonts w:ascii="Times New Roman;serif" w:hAnsi="Times New Roman;serif"/>
          <w:b/>
          <w:color w:val="000000"/>
          <w:sz w:val="20"/>
        </w:rPr>
        <w:t xml:space="preserve">Proposal 2. </w:t>
      </w:r>
      <w:r>
        <w:rPr>
          <w:rFonts w:ascii="Times New Roman;serif" w:hAnsi="Times New Roman;serif"/>
          <w:b w:val="false"/>
          <w:color w:val="000000"/>
          <w:sz w:val="20"/>
        </w:rPr>
        <w:t>The stockholders ratified the appointment of Deloitte &amp; Touche LLP as the independent registered public accounting firm for the fiscal year ending March 31, 2027. The votes with respect to the ratification of the appointment of Deloitte &amp; Touche LLP were as follows:</w:t>
      </w:r>
    </w:p>
    <w:tbl>
      <w:tblPr>
        <w:tblW w:w="5549"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484"/>
        <w:gridCol w:w="484"/>
        <w:gridCol w:w="486"/>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131,492,552</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3,442,991</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200,060</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40" w:after="283"/>
        <w:ind w:left="0" w:right="0" w:hanging="180"/>
        <w:jc w:val="left"/>
        <w:rPr/>
      </w:pPr>
      <w:r>
        <w:rPr/>
      </w:r>
    </w:p>
    <w:p>
      <w:pPr>
        <w:pStyle w:val="TextBody"/>
        <w:bidi w:val="0"/>
        <w:spacing w:lineRule="auto" w:line="268" w:before="0" w:after="0"/>
        <w:jc w:val="left"/>
        <w:rPr/>
      </w:pPr>
      <w:r>
        <w:rPr>
          <w:rFonts w:ascii="Times New Roman;serif" w:hAnsi="Times New Roman;serif"/>
          <w:b/>
          <w:color w:val="000000"/>
          <w:sz w:val="20"/>
        </w:rPr>
        <w:t>Proposal 3.</w:t>
      </w:r>
      <w:r>
        <w:rPr>
          <w:color w:val="000000"/>
        </w:rPr>
        <w:t xml:space="preserve"> </w:t>
      </w:r>
      <w:r>
        <w:rPr>
          <w:rFonts w:ascii="Times New Roman;serif" w:hAnsi="Times New Roman;serif"/>
          <w:b w:val="false"/>
          <w:color w:val="000000"/>
          <w:sz w:val="20"/>
        </w:rPr>
        <w:t>The stockholders approved, on an advisory basis, the compensation of the Company’s named executive officers, as described in the proxy statement. The votes with respect to such approval were as follows:</w:t>
      </w:r>
    </w:p>
    <w:tbl>
      <w:tblPr>
        <w:tblW w:w="5444" w:type="dxa"/>
        <w:jc w:val="left"/>
        <w:tblInd w:w="0" w:type="dxa"/>
        <w:tblLayout w:type="fixed"/>
        <w:tblCellMar>
          <w:top w:w="28" w:type="dxa"/>
          <w:left w:w="28" w:type="dxa"/>
          <w:bottom w:w="28" w:type="dxa"/>
          <w:right w:w="28" w:type="dxa"/>
        </w:tblCellMar>
      </w:tblPr>
      <w:tblGrid>
        <w:gridCol w:w="380"/>
        <w:gridCol w:w="333"/>
        <w:gridCol w:w="338"/>
        <w:gridCol w:w="419"/>
        <w:gridCol w:w="419"/>
        <w:gridCol w:w="421"/>
        <w:gridCol w:w="484"/>
        <w:gridCol w:w="484"/>
        <w:gridCol w:w="486"/>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58,933,641</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58,851,361</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413,247</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bl>
    <w:p>
      <w:pPr>
        <w:pStyle w:val="TextBody"/>
        <w:bidi w:val="0"/>
        <w:spacing w:before="0" w:after="0"/>
        <w:ind w:left="0" w:right="0" w:hanging="180"/>
        <w:jc w:val="left"/>
        <w:rPr/>
      </w:pPr>
      <w:r>
        <w:rPr/>
      </w:r>
    </w:p>
    <w:p>
      <w:pPr>
        <w:pStyle w:val="TextBody"/>
        <w:bidi w:val="0"/>
        <w:spacing w:lineRule="auto" w:line="268" w:before="0" w:after="0"/>
        <w:jc w:val="left"/>
        <w:rPr/>
      </w:pPr>
      <w:r>
        <w:rPr>
          <w:rFonts w:ascii="Times New Roman;serif" w:hAnsi="Times New Roman;serif"/>
          <w:b/>
          <w:color w:val="000000"/>
          <w:sz w:val="20"/>
        </w:rPr>
        <w:t>Proposal 4.</w:t>
      </w:r>
      <w:r>
        <w:rPr>
          <w:color w:val="000000"/>
        </w:rPr>
        <w:t xml:space="preserve"> </w:t>
      </w:r>
      <w:r>
        <w:rPr>
          <w:rFonts w:ascii="Times New Roman;serif" w:hAnsi="Times New Roman;serif"/>
          <w:b w:val="false"/>
          <w:color w:val="000000"/>
          <w:sz w:val="20"/>
        </w:rPr>
        <w:t xml:space="preserve">The stockholders did not approve a term extension and an increase in the number of shares of common stock available for issuance under the amended and restated DXC Technology Company 2017 Omnibus Incentive Plan. </w:t>
      </w:r>
      <w:r>
        <w:rPr>
          <w:rFonts w:ascii="Times New Roman;serif" w:hAnsi="Times New Roman;serif"/>
          <w:b w:val="false"/>
          <w:color w:val="000000"/>
          <w:sz w:val="20"/>
          <w:shd w:fill="FFFFFF" w:val="clear"/>
        </w:rPr>
        <w:t>The votes with respect to such proposal were as follows</w:t>
      </w:r>
      <w:r>
        <w:rPr>
          <w:rFonts w:ascii="Times New Roman;serif" w:hAnsi="Times New Roman;serif"/>
          <w:b w:val="false"/>
          <w:color w:val="000000"/>
          <w:sz w:val="20"/>
        </w:rPr>
        <w:t>:</w: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0"/>
        <w:gridCol w:w="333"/>
        <w:gridCol w:w="338"/>
        <w:gridCol w:w="419"/>
        <w:gridCol w:w="419"/>
        <w:gridCol w:w="421"/>
        <w:gridCol w:w="484"/>
        <w:gridCol w:w="484"/>
        <w:gridCol w:w="486"/>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49,829,849</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67,900,669</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467,731</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Proposal 5.</w:t>
      </w:r>
      <w:r>
        <w:rPr>
          <w:color w:val="000000"/>
        </w:rPr>
        <w:t xml:space="preserve"> </w:t>
      </w:r>
      <w:r>
        <w:rPr>
          <w:rFonts w:ascii="Times New Roman;serif" w:hAnsi="Times New Roman;serif"/>
          <w:b w:val="false"/>
          <w:color w:val="000000"/>
          <w:sz w:val="20"/>
        </w:rPr>
        <w:t xml:space="preserve">The stockholders approved a term extension and an increase in the number of shares of common stock available for issuance under the amended and restated DXC Technology Company 2017 Non-Employee Director Incentive Plan. </w:t>
      </w:r>
      <w:r>
        <w:rPr>
          <w:rFonts w:ascii="Times New Roman;serif" w:hAnsi="Times New Roman;serif"/>
          <w:b w:val="false"/>
          <w:color w:val="000000"/>
          <w:sz w:val="20"/>
          <w:shd w:fill="FFFFFF" w:val="clear"/>
        </w:rPr>
        <w:t>The votes with respect to such approval were as follows</w:t>
      </w:r>
      <w:r>
        <w:rPr>
          <w:rFonts w:ascii="Times New Roman;serif" w:hAnsi="Times New Roman;serif"/>
          <w:b w:val="false"/>
          <w:color w:val="000000"/>
          <w:sz w:val="20"/>
        </w:rPr>
        <w:t>:</w:t>
      </w:r>
    </w:p>
    <w:p>
      <w:pPr>
        <w:pStyle w:val="TextBody"/>
        <w:bidi w:val="0"/>
        <w:spacing w:before="0" w:after="0"/>
        <w:jc w:val="left"/>
        <w:rPr/>
      </w:pPr>
      <w:r>
        <w:rPr/>
      </w:r>
    </w:p>
    <w:tbl>
      <w:tblPr>
        <w:tblW w:w="5549"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484"/>
        <w:gridCol w:w="484"/>
        <w:gridCol w:w="486"/>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104,629,678</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13,298,218</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270,353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16,937,354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74" w:type="dxa"/>
        <w:jc w:val="center"/>
        <w:tblInd w:w="0" w:type="dxa"/>
        <w:tblLayout w:type="fixed"/>
        <w:tblCellMar>
          <w:top w:w="28" w:type="dxa"/>
          <w:left w:w="28" w:type="dxa"/>
          <w:bottom w:w="28" w:type="dxa"/>
          <w:right w:w="28" w:type="dxa"/>
        </w:tblCellMar>
      </w:tblPr>
      <w:tblGrid>
        <w:gridCol w:w="238"/>
        <w:gridCol w:w="210"/>
        <w:gridCol w:w="212"/>
        <w:gridCol w:w="404"/>
        <w:gridCol w:w="404"/>
        <w:gridCol w:w="407"/>
        <w:gridCol w:w="208"/>
        <w:gridCol w:w="208"/>
        <w:gridCol w:w="213"/>
        <w:gridCol w:w="957"/>
        <w:gridCol w:w="957"/>
        <w:gridCol w:w="135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DXC TECHNOLOGY COMPANY</w:t>
            </w:r>
          </w:p>
          <w:p>
            <w:pPr>
              <w:pStyle w:val="TableContents"/>
              <w:bidi w:val="0"/>
              <w:spacing w:before="0" w:after="0"/>
              <w:jc w:val="both"/>
              <w:rPr/>
            </w:pPr>
            <w:r>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Fawcett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Matthew Fawcett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EVP, General Counsel and Secretary</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799</Words>
  <Characters>4891</Characters>
  <CharactersWithSpaces>5583</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