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504825</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471170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100"/>
        <w:spacing w:after="0" w:line="20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ind w:left="3380"/>
        <w:spacing w:after="0" w:line="199" w:lineRule="auto"/>
        <w:rPr>
          <w:sz w:val="20"/>
          <w:szCs w:val="20"/>
          <w:color w:val="auto"/>
        </w:rPr>
      </w:pPr>
      <w:r>
        <w:rPr>
          <w:rFonts w:ascii="Times New Roman" w:cs="Times New Roman" w:eastAsia="Times New Roman" w:hAnsi="Times New Roman"/>
          <w:sz w:val="21"/>
          <w:szCs w:val="21"/>
          <w:b w:val="1"/>
          <w:bCs w:val="1"/>
          <w:color w:val="auto"/>
        </w:rPr>
        <w:t>Proxy Statement Pursuant to Section 14(a) of the</w:t>
      </w:r>
    </w:p>
    <w:p>
      <w:pPr>
        <w:ind w:left="4160"/>
        <w:spacing w:after="0" w:line="187" w:lineRule="auto"/>
        <w:rPr>
          <w:sz w:val="20"/>
          <w:szCs w:val="20"/>
          <w:color w:val="auto"/>
        </w:rPr>
      </w:pPr>
      <w:r>
        <w:rPr>
          <w:rFonts w:ascii="Times New Roman" w:cs="Times New Roman" w:eastAsia="Times New Roman" w:hAnsi="Times New Roman"/>
          <w:sz w:val="21"/>
          <w:szCs w:val="21"/>
          <w:b w:val="1"/>
          <w:bCs w:val="1"/>
          <w:color w:val="auto"/>
        </w:rPr>
        <w:t>Securities Exchange Act of 1934</w:t>
      </w:r>
    </w:p>
    <w:p>
      <w:pPr>
        <w:ind w:left="4780"/>
        <w:spacing w:after="0"/>
        <w:rPr>
          <w:sz w:val="20"/>
          <w:szCs w:val="20"/>
          <w:color w:val="auto"/>
        </w:rPr>
      </w:pPr>
      <w:r>
        <w:rPr>
          <w:rFonts w:ascii="Times New Roman" w:cs="Times New Roman" w:eastAsia="Times New Roman" w:hAnsi="Times New Roman"/>
          <w:sz w:val="21"/>
          <w:szCs w:val="21"/>
          <w:b w:val="1"/>
          <w:bCs w:val="1"/>
          <w:color w:val="auto"/>
        </w:rPr>
        <w:t>(Amendment No. )</w:t>
      </w:r>
    </w:p>
    <w:p>
      <w:pPr>
        <w:spacing w:after="0" w:line="279" w:lineRule="exact"/>
        <w:rPr>
          <w:sz w:val="24"/>
          <w:szCs w:val="24"/>
          <w:color w:val="auto"/>
        </w:rPr>
      </w:pPr>
    </w:p>
    <w:p>
      <w:pPr>
        <w:ind w:left="20"/>
        <w:spacing w:after="0" w:line="207" w:lineRule="exact"/>
        <w:tabs>
          <w:tab w:leader="none" w:pos="38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ind w:left="220" w:hanging="213"/>
        <w:spacing w:after="0" w:line="233" w:lineRule="auto"/>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88"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220" w:hanging="213"/>
        <w:spacing w:after="0" w:line="233" w:lineRule="auto"/>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DXC Technology Company</w:t>
      </w: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2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ind w:left="220" w:hanging="213"/>
        <w:spacing w:after="0" w:line="226" w:lineRule="auto"/>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ind w:left="220" w:hanging="213"/>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ind w:left="220" w:hanging="213"/>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969645</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216535</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182245</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139"/>
          </w:cols>
          <w:pgMar w:left="320" w:top="326"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241935</wp:posOffset>
            </wp:positionV>
            <wp:extent cx="7158990" cy="89420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8942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5"/>
          <w:szCs w:val="15"/>
          <w:b w:val="1"/>
          <w:bCs w:val="1"/>
          <w:color w:val="0E1020"/>
        </w:rPr>
        <w:t>Corporate Office</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0E1020"/>
        </w:rPr>
        <w:t>20408 Bashan Dr.</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0E1020"/>
        </w:rPr>
        <w:t>Suite 231</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0E1020"/>
        </w:rPr>
        <w:t>Ashburn, VA 20147</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0E1020"/>
        </w:rPr>
        <w:t>www.dxc.com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0E1020"/>
        </w:rPr>
        <w:t>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-998220</wp:posOffset>
            </wp:positionV>
            <wp:extent cx="1166495" cy="3232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6495" cy="32321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0E1020"/>
        </w:rPr>
        <w:t>Dear Fellow Stockholder,</w:t>
      </w:r>
    </w:p>
    <w:p>
      <w:pPr>
        <w:spacing w:after="0" w:line="134" w:lineRule="exact"/>
        <w:rPr>
          <w:sz w:val="20"/>
          <w:szCs w:val="20"/>
          <w:color w:val="auto"/>
        </w:rPr>
      </w:pPr>
    </w:p>
    <w:p>
      <w:pPr>
        <w:ind w:right="320"/>
        <w:spacing w:after="0" w:line="341" w:lineRule="auto"/>
        <w:rPr>
          <w:sz w:val="20"/>
          <w:szCs w:val="20"/>
          <w:color w:val="auto"/>
        </w:rPr>
      </w:pPr>
      <w:r>
        <w:rPr>
          <w:rFonts w:ascii="Arial" w:cs="Arial" w:eastAsia="Arial" w:hAnsi="Arial"/>
          <w:sz w:val="14"/>
          <w:szCs w:val="14"/>
          <w:color w:val="0E1020"/>
        </w:rPr>
        <w:t>The Board of Directors and executive leadership team of DXC Technology are pleased to invite you to join our Annual Meeting of Stockholders on July 21, 2026 at 8:00 a.m. Eastern Time. This will be a virtual meeting of stockholders, conducted via live webcast.</w:t>
      </w:r>
    </w:p>
    <w:p>
      <w:pPr>
        <w:spacing w:after="0" w:line="113"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Helping clients to capture AI value</w:t>
      </w:r>
    </w:p>
    <w:p>
      <w:pPr>
        <w:spacing w:after="0" w:line="153" w:lineRule="exact"/>
        <w:rPr>
          <w:sz w:val="20"/>
          <w:szCs w:val="20"/>
          <w:color w:val="auto"/>
        </w:rPr>
      </w:pPr>
    </w:p>
    <w:p>
      <w:pPr>
        <w:ind w:right="120"/>
        <w:spacing w:after="0" w:line="341" w:lineRule="auto"/>
        <w:rPr>
          <w:sz w:val="20"/>
          <w:szCs w:val="20"/>
          <w:color w:val="auto"/>
        </w:rPr>
      </w:pPr>
      <w:r>
        <w:rPr>
          <w:rFonts w:ascii="Arial" w:cs="Arial" w:eastAsia="Arial" w:hAnsi="Arial"/>
          <w:sz w:val="14"/>
          <w:szCs w:val="14"/>
          <w:color w:val="0E1020"/>
        </w:rPr>
        <w:t>Fiscal 2026 was a year of meaningful progress in positioning DXC for the next phase of enterprise IT and AI-driven transformation. We strengthened our foundation to bring new AI-based solutions to market and reshape how we operate.</w:t>
      </w:r>
    </w:p>
    <w:p>
      <w:pPr>
        <w:spacing w:after="0" w:line="38" w:lineRule="exact"/>
        <w:rPr>
          <w:sz w:val="20"/>
          <w:szCs w:val="20"/>
          <w:color w:val="auto"/>
        </w:rPr>
      </w:pPr>
    </w:p>
    <w:p>
      <w:pPr>
        <w:jc w:val="both"/>
        <w:ind w:right="80"/>
        <w:spacing w:after="0" w:line="310" w:lineRule="auto"/>
        <w:rPr>
          <w:sz w:val="20"/>
          <w:szCs w:val="20"/>
          <w:color w:val="auto"/>
        </w:rPr>
      </w:pPr>
      <w:r>
        <w:rPr>
          <w:rFonts w:ascii="Arial" w:cs="Arial" w:eastAsia="Arial" w:hAnsi="Arial"/>
          <w:sz w:val="14"/>
          <w:szCs w:val="14"/>
          <w:color w:val="0E1020"/>
        </w:rPr>
        <w:t>The enterprise market is changing rapidly. The challenge is no longer access to AI, but where and how it is applied, how workflows are redesigned, and how it is scaled to deliver business outcomes. DXC is positioned to help customers meet that challenge by embedding AI into their operations, drawing on our deep domain expertise and decades of experience across complex technology environments.</w:t>
      </w:r>
    </w:p>
    <w:p>
      <w:pPr>
        <w:spacing w:after="0" w:line="60" w:lineRule="exact"/>
        <w:rPr>
          <w:sz w:val="20"/>
          <w:szCs w:val="20"/>
          <w:color w:val="auto"/>
        </w:rPr>
      </w:pPr>
    </w:p>
    <w:p>
      <w:pPr>
        <w:ind w:right="220"/>
        <w:spacing w:after="0" w:line="341" w:lineRule="auto"/>
        <w:rPr>
          <w:sz w:val="20"/>
          <w:szCs w:val="20"/>
          <w:color w:val="auto"/>
        </w:rPr>
      </w:pPr>
      <w:r>
        <w:rPr>
          <w:rFonts w:ascii="Arial" w:cs="Arial" w:eastAsia="Arial" w:hAnsi="Arial"/>
          <w:sz w:val="14"/>
          <w:szCs w:val="14"/>
          <w:color w:val="0E1020"/>
        </w:rPr>
        <w:t>We are confident in our strategy and remain focused on improving execution, positioning DXC on a path to sustainable and profitable growth in the years ahead.</w:t>
      </w:r>
    </w:p>
    <w:p>
      <w:pPr>
        <w:spacing w:after="0" w:line="113"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Attend our virtual meeting</w:t>
      </w:r>
    </w:p>
    <w:p>
      <w:pPr>
        <w:spacing w:after="0" w:line="153" w:lineRule="exact"/>
        <w:rPr>
          <w:sz w:val="20"/>
          <w:szCs w:val="20"/>
          <w:color w:val="auto"/>
        </w:rPr>
      </w:pPr>
    </w:p>
    <w:p>
      <w:pPr>
        <w:spacing w:after="0" w:line="320" w:lineRule="auto"/>
        <w:rPr>
          <w:sz w:val="20"/>
          <w:szCs w:val="20"/>
          <w:color w:val="auto"/>
        </w:rPr>
      </w:pPr>
      <w:r>
        <w:rPr>
          <w:rFonts w:ascii="Arial" w:cs="Arial" w:eastAsia="Arial" w:hAnsi="Arial"/>
          <w:sz w:val="14"/>
          <w:szCs w:val="14"/>
          <w:color w:val="0E1020"/>
        </w:rPr>
        <w:t>You can attend the annual meeting online and submit your questions during the meeting by visiting www.virtualshareholdermeeting.com/DXC2026. The Notice of Annual Meeting of Stockholders and the Proxy Statement that accompany this letter provide important information and will serve as a guide to the business that will be conducted.</w:t>
      </w:r>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Your vote is important</w:t>
      </w:r>
    </w:p>
    <w:p>
      <w:pPr>
        <w:spacing w:after="0" w:line="153" w:lineRule="exact"/>
        <w:rPr>
          <w:sz w:val="20"/>
          <w:szCs w:val="20"/>
          <w:color w:val="auto"/>
        </w:rPr>
      </w:pPr>
    </w:p>
    <w:p>
      <w:pPr>
        <w:ind w:right="100"/>
        <w:spacing w:after="0" w:line="313" w:lineRule="auto"/>
        <w:rPr>
          <w:sz w:val="20"/>
          <w:szCs w:val="20"/>
          <w:color w:val="auto"/>
        </w:rPr>
      </w:pPr>
      <w:r>
        <w:rPr>
          <w:rFonts w:ascii="Arial" w:cs="Arial" w:eastAsia="Arial" w:hAnsi="Arial"/>
          <w:sz w:val="14"/>
          <w:szCs w:val="14"/>
          <w:color w:val="0E1020"/>
        </w:rPr>
        <w:t>We encourage you to vote as soon as possible, whether you plan to participate in the meeting or not. You can vote by proxy over the Internet, by telephone or by completing and returning the printed proxy card, or voting instruction card if you are a beneficial owner and requested and received printed proxy materials from your broker, bank or other nominee. The printed card includes instructions for returning it by mail.</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E1020"/>
        </w:rPr>
        <w:t>Thank you for your trust and continued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269875</wp:posOffset>
            </wp:positionV>
            <wp:extent cx="894080" cy="894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94080" cy="894080"/>
                    </a:xfrm>
                    <a:prstGeom prst="rect">
                      <a:avLst/>
                    </a:prstGeom>
                    <a:noFill/>
                  </pic:spPr>
                </pic:pic>
              </a:graphicData>
            </a:graphic>
          </wp:anchor>
        </w:drawing>
        <w:drawing>
          <wp:anchor simplePos="0" relativeHeight="251657728" behindDoc="1" locked="0" layoutInCell="0" allowOverlap="1">
            <wp:simplePos x="0" y="0"/>
            <wp:positionH relativeFrom="column">
              <wp:posOffset>2827020</wp:posOffset>
            </wp:positionH>
            <wp:positionV relativeFrom="paragraph">
              <wp:posOffset>269875</wp:posOffset>
            </wp:positionV>
            <wp:extent cx="894080" cy="894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94080" cy="89408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1880"/>
        <w:spacing w:after="0"/>
        <w:tabs>
          <w:tab w:leader="none" w:pos="6320" w:val="left"/>
        </w:tabs>
        <w:rPr>
          <w:sz w:val="20"/>
          <w:szCs w:val="20"/>
          <w:color w:val="auto"/>
        </w:rPr>
      </w:pPr>
      <w:r>
        <w:rPr>
          <w:rFonts w:ascii="Times New Roman" w:cs="Times New Roman" w:eastAsia="Times New Roman" w:hAnsi="Times New Roman"/>
          <w:sz w:val="16"/>
          <w:szCs w:val="16"/>
          <w:b w:val="1"/>
          <w:bCs w:val="1"/>
          <w:color w:val="0E1020"/>
        </w:rPr>
        <w:t>RAUL FERNANDEZ</w:t>
      </w:r>
      <w:r>
        <w:rPr>
          <w:sz w:val="20"/>
          <w:szCs w:val="20"/>
          <w:color w:val="auto"/>
        </w:rPr>
        <w:tab/>
      </w:r>
      <w:r>
        <w:rPr>
          <w:rFonts w:ascii="Times New Roman" w:cs="Times New Roman" w:eastAsia="Times New Roman" w:hAnsi="Times New Roman"/>
          <w:sz w:val="15"/>
          <w:szCs w:val="15"/>
          <w:b w:val="1"/>
          <w:bCs w:val="1"/>
          <w:color w:val="0E1020"/>
        </w:rPr>
        <w:t>DAVID HERZOG</w:t>
      </w:r>
    </w:p>
    <w:p>
      <w:pPr>
        <w:spacing w:after="0" w:line="27" w:lineRule="exact"/>
        <w:rPr>
          <w:sz w:val="20"/>
          <w:szCs w:val="20"/>
          <w:color w:val="auto"/>
        </w:rPr>
      </w:pPr>
    </w:p>
    <w:p>
      <w:pPr>
        <w:ind w:left="1880"/>
        <w:spacing w:after="0"/>
        <w:tabs>
          <w:tab w:leader="none" w:pos="6320" w:val="left"/>
        </w:tabs>
        <w:rPr>
          <w:sz w:val="20"/>
          <w:szCs w:val="20"/>
          <w:color w:val="auto"/>
        </w:rPr>
      </w:pPr>
      <w:r>
        <w:rPr>
          <w:rFonts w:ascii="Arial" w:cs="Arial" w:eastAsia="Arial" w:hAnsi="Arial"/>
          <w:sz w:val="14"/>
          <w:szCs w:val="14"/>
          <w:color w:val="0E1020"/>
        </w:rPr>
        <w:t>President and</w:t>
      </w:r>
      <w:r>
        <w:rPr>
          <w:sz w:val="20"/>
          <w:szCs w:val="20"/>
          <w:color w:val="auto"/>
        </w:rPr>
        <w:tab/>
      </w:r>
      <w:r>
        <w:rPr>
          <w:rFonts w:ascii="Arial" w:cs="Arial" w:eastAsia="Arial" w:hAnsi="Arial"/>
          <w:sz w:val="14"/>
          <w:szCs w:val="14"/>
          <w:color w:val="0E1020"/>
        </w:rPr>
        <w:t>Chairman of the</w:t>
      </w:r>
    </w:p>
    <w:p>
      <w:pPr>
        <w:spacing w:after="0" w:line="24" w:lineRule="exact"/>
        <w:rPr>
          <w:sz w:val="20"/>
          <w:szCs w:val="20"/>
          <w:color w:val="auto"/>
        </w:rPr>
      </w:pPr>
    </w:p>
    <w:p>
      <w:pPr>
        <w:ind w:left="1880"/>
        <w:spacing w:after="0"/>
        <w:tabs>
          <w:tab w:leader="none" w:pos="6320" w:val="left"/>
        </w:tabs>
        <w:rPr>
          <w:sz w:val="20"/>
          <w:szCs w:val="20"/>
          <w:color w:val="auto"/>
        </w:rPr>
      </w:pPr>
      <w:r>
        <w:rPr>
          <w:rFonts w:ascii="Arial" w:cs="Arial" w:eastAsia="Arial" w:hAnsi="Arial"/>
          <w:sz w:val="14"/>
          <w:szCs w:val="14"/>
          <w:color w:val="0E1020"/>
        </w:rPr>
        <w:t>Chief Executive Officer</w:t>
      </w:r>
      <w:r>
        <w:rPr>
          <w:sz w:val="20"/>
          <w:szCs w:val="20"/>
          <w:color w:val="auto"/>
        </w:rPr>
        <w:tab/>
      </w:r>
      <w:r>
        <w:rPr>
          <w:rFonts w:ascii="Arial" w:cs="Arial" w:eastAsia="Arial" w:hAnsi="Arial"/>
          <w:sz w:val="14"/>
          <w:szCs w:val="14"/>
          <w:color w:val="0E1020"/>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1295400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2">
            <w:col w:w="1840" w:space="720"/>
            <w:col w:w="8600"/>
          </w:cols>
          <w:pgMar w:left="340" w:top="224" w:right="399" w:bottom="1440" w:gutter="0" w:footer="0" w:header="0"/>
        </w:sectPr>
      </w:pPr>
    </w:p>
    <w:bookmarkStart w:id="3" w:name="page4"/>
    <w:bookmarkEnd w:id="3"/>
    <w:p>
      <w:pPr>
        <w:ind w:left="2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6166485</wp:posOffset>
            </wp:positionH>
            <wp:positionV relativeFrom="page">
              <wp:posOffset>106045</wp:posOffset>
            </wp:positionV>
            <wp:extent cx="1166495" cy="3232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232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39"/>
          <w:szCs w:val="39"/>
          <w:b w:val="1"/>
          <w:bCs w:val="1"/>
          <w:color w:val="0E1020"/>
        </w:rPr>
        <w:t>NOTICE OF 2026 ANNUAL MEETING OF STOCKHOLDERS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0E1020"/>
        </w:rPr>
        <w:t>TO BE HELD JULY 21, 2026</w:t>
      </w:r>
    </w:p>
    <w:p>
      <w:pPr>
        <w:sectPr>
          <w:pgSz w:w="11900" w:h="16838" w:orient="portrait"/>
          <w:cols w:equalWidth="0" w:num="1">
            <w:col w:w="11300"/>
          </w:cols>
          <w:pgMar w:left="320" w:top="224" w:right="27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0E1020"/>
        </w:rPr>
        <w:t xml:space="preserve">The 2026 Annual Meeting of Stockholders (the Annual Meeting) of DXC Technology Company (DXC or the Company and sometimes referred to with the pronouns we, us, and our) will be held on Tuesday, July 21, 2026, at 8:00 a.m. Eastern Time, and will be a virtual meeting conducted via live webcast. You will be able to attend the meeting online and submit your questions during the meeting by visiting </w:t>
      </w:r>
      <w:r>
        <w:rPr>
          <w:rFonts w:ascii="Arial" w:cs="Arial" w:eastAsia="Arial" w:hAnsi="Arial"/>
          <w:sz w:val="16"/>
          <w:szCs w:val="16"/>
          <w:b w:val="1"/>
          <w:bCs w:val="1"/>
          <w:color w:val="0E1020"/>
        </w:rPr>
        <w:t>www.virtualshareholdermeeting.com/DXC2026</w:t>
      </w:r>
      <w:r>
        <w:rPr>
          <w:rFonts w:ascii="Arial" w:cs="Arial" w:eastAsia="Arial" w:hAnsi="Arial"/>
          <w:sz w:val="16"/>
          <w:szCs w:val="16"/>
          <w:color w:val="0E1020"/>
        </w:rPr>
        <w:t>. To participate in the Annual Meeting, you will need the</w:t>
      </w:r>
      <w:r>
        <w:rPr>
          <w:rFonts w:ascii="Arial" w:cs="Arial" w:eastAsia="Arial" w:hAnsi="Arial"/>
          <w:sz w:val="16"/>
          <w:szCs w:val="16"/>
          <w:b w:val="1"/>
          <w:bCs w:val="1"/>
          <w:color w:val="0E1020"/>
        </w:rPr>
        <w:t xml:space="preserve"> </w:t>
      </w:r>
      <w:r>
        <w:rPr>
          <w:rFonts w:ascii="Arial" w:cs="Arial" w:eastAsia="Arial" w:hAnsi="Arial"/>
          <w:sz w:val="16"/>
          <w:szCs w:val="16"/>
          <w:color w:val="0E1020"/>
        </w:rPr>
        <w:t>16-digit control number included on your notice of Internet availability of proxy materials, on your proxy card or on the instructions that accompanied your proxy materials.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0E1020"/>
        </w:rPr>
        <w:t>The purpose of the meeting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47840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84090" cy="8255"/>
                    </a:xfrm>
                    <a:prstGeom prst="rect">
                      <a:avLst/>
                    </a:prstGeom>
                    <a:noFill/>
                  </pic:spPr>
                </pic:pic>
              </a:graphicData>
            </a:graphic>
          </wp:anchor>
        </w:drawing>
        <w:drawing>
          <wp:anchor simplePos="0" relativeHeight="251657728" behindDoc="1" locked="0" layoutInCell="0" allowOverlap="1">
            <wp:simplePos x="0" y="0"/>
            <wp:positionH relativeFrom="column">
              <wp:posOffset>123825</wp:posOffset>
            </wp:positionH>
            <wp:positionV relativeFrom="paragraph">
              <wp:posOffset>122555</wp:posOffset>
            </wp:positionV>
            <wp:extent cx="221615" cy="221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1615" cy="221615"/>
                    </a:xfrm>
                    <a:prstGeom prst="rect">
                      <a:avLst/>
                    </a:prstGeom>
                    <a:noFill/>
                  </pic:spPr>
                </pic:pic>
              </a:graphicData>
            </a:graphic>
          </wp:anchor>
        </w:drawing>
      </w:r>
    </w:p>
    <w:p>
      <w:pPr>
        <w:spacing w:after="0" w:line="298" w:lineRule="exact"/>
        <w:rPr>
          <w:sz w:val="20"/>
          <w:szCs w:val="20"/>
          <w:color w:val="auto"/>
        </w:rPr>
      </w:pPr>
    </w:p>
    <w:p>
      <w:pPr>
        <w:ind w:left="740"/>
        <w:spacing w:after="0"/>
        <w:rPr>
          <w:sz w:val="20"/>
          <w:szCs w:val="20"/>
          <w:color w:val="auto"/>
        </w:rPr>
      </w:pPr>
      <w:r>
        <w:rPr>
          <w:rFonts w:ascii="Arial" w:cs="Arial" w:eastAsia="Arial" w:hAnsi="Arial"/>
          <w:sz w:val="14"/>
          <w:szCs w:val="14"/>
          <w:color w:val="0E1020"/>
        </w:rPr>
        <w:t>To elect the 9 director nominees listed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47840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84090" cy="8255"/>
                    </a:xfrm>
                    <a:prstGeom prst="rect">
                      <a:avLst/>
                    </a:prstGeom>
                    <a:noFill/>
                  </pic:spPr>
                </pic:pic>
              </a:graphicData>
            </a:graphic>
          </wp:anchor>
        </w:drawing>
        <w:drawing>
          <wp:anchor simplePos="0" relativeHeight="251657728" behindDoc="1" locked="0" layoutInCell="0" allowOverlap="1">
            <wp:simplePos x="0" y="0"/>
            <wp:positionH relativeFrom="column">
              <wp:posOffset>123825</wp:posOffset>
            </wp:positionH>
            <wp:positionV relativeFrom="paragraph">
              <wp:posOffset>133350</wp:posOffset>
            </wp:positionV>
            <wp:extent cx="221615" cy="221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1615" cy="221615"/>
                    </a:xfrm>
                    <a:prstGeom prst="rect">
                      <a:avLst/>
                    </a:prstGeom>
                    <a:noFill/>
                  </pic:spPr>
                </pic:pic>
              </a:graphicData>
            </a:graphic>
          </wp:anchor>
        </w:drawing>
      </w:r>
    </w:p>
    <w:p>
      <w:pPr>
        <w:spacing w:after="0" w:line="221" w:lineRule="exact"/>
        <w:rPr>
          <w:sz w:val="20"/>
          <w:szCs w:val="20"/>
          <w:color w:val="auto"/>
        </w:rPr>
      </w:pPr>
    </w:p>
    <w:p>
      <w:pPr>
        <w:ind w:left="740" w:right="40"/>
        <w:spacing w:after="0" w:line="302" w:lineRule="auto"/>
        <w:rPr>
          <w:sz w:val="20"/>
          <w:szCs w:val="20"/>
          <w:color w:val="auto"/>
        </w:rPr>
      </w:pPr>
      <w:r>
        <w:rPr>
          <w:rFonts w:ascii="Arial" w:cs="Arial" w:eastAsia="Arial" w:hAnsi="Arial"/>
          <w:sz w:val="14"/>
          <w:szCs w:val="14"/>
          <w:color w:val="0E1020"/>
        </w:rPr>
        <w:t>To ratify the appointment of Deloitte &amp; Touche LLP as our independent registered public accounting firm for the fiscal year ending March 31,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47840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84090" cy="8255"/>
                    </a:xfrm>
                    <a:prstGeom prst="rect">
                      <a:avLst/>
                    </a:prstGeom>
                    <a:noFill/>
                  </pic:spPr>
                </pic:pic>
              </a:graphicData>
            </a:graphic>
          </wp:anchor>
        </w:drawing>
        <w:drawing>
          <wp:anchor simplePos="0" relativeHeight="251657728" behindDoc="1" locked="0" layoutInCell="0" allowOverlap="1">
            <wp:simplePos x="0" y="0"/>
            <wp:positionH relativeFrom="column">
              <wp:posOffset>123825</wp:posOffset>
            </wp:positionH>
            <wp:positionV relativeFrom="paragraph">
              <wp:posOffset>38100</wp:posOffset>
            </wp:positionV>
            <wp:extent cx="221615" cy="2216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1615" cy="221615"/>
                    </a:xfrm>
                    <a:prstGeom prst="rect">
                      <a:avLst/>
                    </a:prstGeom>
                    <a:noFill/>
                  </pic:spPr>
                </pic:pic>
              </a:graphicData>
            </a:graphic>
          </wp:anchor>
        </w:drawing>
      </w:r>
    </w:p>
    <w:p>
      <w:pPr>
        <w:spacing w:after="0" w:line="165" w:lineRule="exact"/>
        <w:rPr>
          <w:sz w:val="20"/>
          <w:szCs w:val="20"/>
          <w:color w:val="auto"/>
        </w:rPr>
      </w:pPr>
    </w:p>
    <w:p>
      <w:pPr>
        <w:ind w:left="740"/>
        <w:spacing w:after="0"/>
        <w:rPr>
          <w:sz w:val="20"/>
          <w:szCs w:val="20"/>
          <w:color w:val="auto"/>
        </w:rPr>
      </w:pPr>
      <w:r>
        <w:rPr>
          <w:rFonts w:ascii="Arial" w:cs="Arial" w:eastAsia="Arial" w:hAnsi="Arial"/>
          <w:sz w:val="14"/>
          <w:szCs w:val="14"/>
          <w:color w:val="0E1020"/>
        </w:rPr>
        <w:t>To approve, in a non-binding advisory vote, our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47840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84090" cy="8255"/>
                    </a:xfrm>
                    <a:prstGeom prst="rect">
                      <a:avLst/>
                    </a:prstGeom>
                    <a:noFill/>
                  </pic:spPr>
                </pic:pic>
              </a:graphicData>
            </a:graphic>
          </wp:anchor>
        </w:drawing>
        <w:drawing>
          <wp:anchor simplePos="0" relativeHeight="251657728" behindDoc="1" locked="0" layoutInCell="0" allowOverlap="1">
            <wp:simplePos x="0" y="0"/>
            <wp:positionH relativeFrom="column">
              <wp:posOffset>123825</wp:posOffset>
            </wp:positionH>
            <wp:positionV relativeFrom="paragraph">
              <wp:posOffset>133350</wp:posOffset>
            </wp:positionV>
            <wp:extent cx="221615" cy="221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1615" cy="221615"/>
                    </a:xfrm>
                    <a:prstGeom prst="rect">
                      <a:avLst/>
                    </a:prstGeom>
                    <a:noFill/>
                  </pic:spPr>
                </pic:pic>
              </a:graphicData>
            </a:graphic>
          </wp:anchor>
        </w:drawing>
      </w:r>
    </w:p>
    <w:p>
      <w:pPr>
        <w:spacing w:after="0" w:line="221" w:lineRule="exact"/>
        <w:rPr>
          <w:sz w:val="20"/>
          <w:szCs w:val="20"/>
          <w:color w:val="auto"/>
        </w:rPr>
      </w:pPr>
    </w:p>
    <w:p>
      <w:pPr>
        <w:ind w:left="740" w:right="220"/>
        <w:spacing w:after="0" w:line="302" w:lineRule="auto"/>
        <w:rPr>
          <w:sz w:val="20"/>
          <w:szCs w:val="20"/>
          <w:color w:val="auto"/>
        </w:rPr>
      </w:pPr>
      <w:r>
        <w:rPr>
          <w:rFonts w:ascii="Arial" w:cs="Arial" w:eastAsia="Arial" w:hAnsi="Arial"/>
          <w:sz w:val="14"/>
          <w:szCs w:val="14"/>
          <w:color w:val="0E1020"/>
        </w:rPr>
        <w:t>To approve a term extension and an increase in the number of shares available under the amended and restated DXC Technology Company 2017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47840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84090" cy="8255"/>
                    </a:xfrm>
                    <a:prstGeom prst="rect">
                      <a:avLst/>
                    </a:prstGeom>
                    <a:noFill/>
                  </pic:spPr>
                </pic:pic>
              </a:graphicData>
            </a:graphic>
          </wp:anchor>
        </w:drawing>
        <w:drawing>
          <wp:anchor simplePos="0" relativeHeight="251657728" behindDoc="1" locked="0" layoutInCell="0" allowOverlap="1">
            <wp:simplePos x="0" y="0"/>
            <wp:positionH relativeFrom="column">
              <wp:posOffset>123825</wp:posOffset>
            </wp:positionH>
            <wp:positionV relativeFrom="paragraph">
              <wp:posOffset>38100</wp:posOffset>
            </wp:positionV>
            <wp:extent cx="221615" cy="221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1615" cy="221615"/>
                    </a:xfrm>
                    <a:prstGeom prst="rect">
                      <a:avLst/>
                    </a:prstGeom>
                    <a:noFill/>
                  </pic:spPr>
                </pic:pic>
              </a:graphicData>
            </a:graphic>
          </wp:anchor>
        </w:drawing>
      </w:r>
    </w:p>
    <w:p>
      <w:pPr>
        <w:spacing w:after="0" w:line="71" w:lineRule="exact"/>
        <w:rPr>
          <w:sz w:val="20"/>
          <w:szCs w:val="20"/>
          <w:color w:val="auto"/>
        </w:rPr>
      </w:pPr>
    </w:p>
    <w:p>
      <w:pPr>
        <w:ind w:left="740" w:right="220"/>
        <w:spacing w:after="0" w:line="302" w:lineRule="auto"/>
        <w:rPr>
          <w:sz w:val="20"/>
          <w:szCs w:val="20"/>
          <w:color w:val="auto"/>
        </w:rPr>
      </w:pPr>
      <w:r>
        <w:rPr>
          <w:rFonts w:ascii="Arial" w:cs="Arial" w:eastAsia="Arial" w:hAnsi="Arial"/>
          <w:sz w:val="14"/>
          <w:szCs w:val="14"/>
          <w:color w:val="0E1020"/>
        </w:rPr>
        <w:t>To approve a term extension and an increase in the number of shares available under the amended and restated DXC Technology Company 2017 Non-Employee Director Incentive Plan;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47840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84090" cy="8255"/>
                    </a:xfrm>
                    <a:prstGeom prst="rect">
                      <a:avLst/>
                    </a:prstGeom>
                    <a:noFill/>
                  </pic:spPr>
                </pic:pic>
              </a:graphicData>
            </a:graphic>
          </wp:anchor>
        </w:drawing>
        <w:drawing>
          <wp:anchor simplePos="0" relativeHeight="251657728" behindDoc="1" locked="0" layoutInCell="0" allowOverlap="1">
            <wp:simplePos x="0" y="0"/>
            <wp:positionH relativeFrom="column">
              <wp:posOffset>123825</wp:posOffset>
            </wp:positionH>
            <wp:positionV relativeFrom="paragraph">
              <wp:posOffset>38100</wp:posOffset>
            </wp:positionV>
            <wp:extent cx="221615" cy="221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1615" cy="221615"/>
                    </a:xfrm>
                    <a:prstGeom prst="rect">
                      <a:avLst/>
                    </a:prstGeom>
                    <a:noFill/>
                  </pic:spPr>
                </pic:pic>
              </a:graphicData>
            </a:graphic>
          </wp:anchor>
        </w:drawing>
      </w:r>
    </w:p>
    <w:p>
      <w:pPr>
        <w:spacing w:after="0" w:line="71" w:lineRule="exact"/>
        <w:rPr>
          <w:sz w:val="20"/>
          <w:szCs w:val="20"/>
          <w:color w:val="auto"/>
        </w:rPr>
      </w:pPr>
    </w:p>
    <w:p>
      <w:pPr>
        <w:ind w:left="740" w:right="360"/>
        <w:spacing w:after="0" w:line="302" w:lineRule="auto"/>
        <w:rPr>
          <w:sz w:val="20"/>
          <w:szCs w:val="20"/>
          <w:color w:val="auto"/>
        </w:rPr>
      </w:pPr>
      <w:r>
        <w:rPr>
          <w:rFonts w:ascii="Arial" w:cs="Arial" w:eastAsia="Arial" w:hAnsi="Arial"/>
          <w:sz w:val="14"/>
          <w:szCs w:val="14"/>
          <w:color w:val="0E1020"/>
        </w:rPr>
        <w:t>To transact any other business that may properly come before the meeting and any postponements or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wp:posOffset>
            </wp:positionV>
            <wp:extent cx="47840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84090" cy="8255"/>
                    </a:xfrm>
                    <a:prstGeom prst="rect">
                      <a:avLst/>
                    </a:prstGeom>
                    <a:noFill/>
                  </pic:spPr>
                </pic:pic>
              </a:graphicData>
            </a:graphic>
          </wp:anchor>
        </w:drawing>
      </w:r>
    </w:p>
    <w:p>
      <w:pPr>
        <w:spacing w:after="0" w:line="307"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color w:val="0E1020"/>
        </w:rPr>
        <w:t>Only stockholders of record at the close of business on May 28, 2026 will be entitled to vote electronically at the Annual Meeting and any postponements or adjournments thereof.</w:t>
      </w:r>
    </w:p>
    <w:p>
      <w:pPr>
        <w:spacing w:after="0" w:line="22"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0E1020"/>
        </w:rPr>
        <w:t>Your vote is important. Whether or not you plan to attend the meeting online, we encourage you to read this Proxy Statement and vote as soon as possible. Information on how to vote is contained in this Proxy Statement. In addition, voting instructions are provided in the notice of Internet availability of proxy materials, or, if you requested printed materials, the instructions are printed on your proxy card, or voting instruction card if you are a beneficial owner and requested and received printed proxy materials from your broker, bank or other nominee. You can revoke a proxy at any time prior to its exercise at the Annual Meeting by following the instructions in the Proxy Statement.</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0E1020"/>
        </w:rPr>
        <w:t>By Order of the Board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0E1020"/>
        </w:rPr>
        <w:t>MATTHEW FAWCETT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0E1020"/>
        </w:rPr>
        <w:t>Executive Vice President, General Counsel and Secretary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0E1020"/>
        </w:rPr>
        <w:t>Ashburn, Virginia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0E1020"/>
        </w:rPr>
        <w:t>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492125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Meeting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1969770" cy="4486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69770" cy="448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0E1020"/>
        </w:rPr>
        <w:t>DATE</w:t>
      </w:r>
    </w:p>
    <w:p>
      <w:pPr>
        <w:spacing w:after="0" w:line="51" w:lineRule="exact"/>
        <w:rPr>
          <w:sz w:val="20"/>
          <w:szCs w:val="20"/>
          <w:color w:val="auto"/>
        </w:rPr>
      </w:pPr>
    </w:p>
    <w:p>
      <w:pPr>
        <w:ind w:left="100"/>
        <w:spacing w:after="0"/>
        <w:rPr>
          <w:sz w:val="20"/>
          <w:szCs w:val="20"/>
          <w:color w:val="auto"/>
        </w:rPr>
      </w:pPr>
      <w:r>
        <w:rPr>
          <w:rFonts w:ascii="Arial" w:cs="Arial" w:eastAsia="Arial" w:hAnsi="Arial"/>
          <w:sz w:val="14"/>
          <w:szCs w:val="14"/>
          <w:color w:val="0E1020"/>
        </w:rPr>
        <w:t>Tuesday, July 21,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0E1020"/>
        </w:rPr>
        <w:t>TIME</w:t>
      </w:r>
    </w:p>
    <w:p>
      <w:pPr>
        <w:spacing w:after="0" w:line="51" w:lineRule="exact"/>
        <w:rPr>
          <w:sz w:val="20"/>
          <w:szCs w:val="20"/>
          <w:color w:val="auto"/>
        </w:rPr>
      </w:pPr>
    </w:p>
    <w:p>
      <w:pPr>
        <w:ind w:left="100"/>
        <w:spacing w:after="0"/>
        <w:rPr>
          <w:sz w:val="20"/>
          <w:szCs w:val="20"/>
          <w:color w:val="auto"/>
        </w:rPr>
      </w:pPr>
      <w:r>
        <w:rPr>
          <w:rFonts w:ascii="Arial" w:cs="Arial" w:eastAsia="Arial" w:hAnsi="Arial"/>
          <w:sz w:val="14"/>
          <w:szCs w:val="14"/>
          <w:color w:val="0E1020"/>
        </w:rPr>
        <w:t>8:00 a.m. Eastern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0E1020"/>
        </w:rPr>
        <w:t>PLACE</w:t>
      </w:r>
    </w:p>
    <w:p>
      <w:pPr>
        <w:spacing w:after="0" w:line="51" w:lineRule="exact"/>
        <w:rPr>
          <w:sz w:val="20"/>
          <w:szCs w:val="20"/>
          <w:color w:val="auto"/>
        </w:rPr>
      </w:pPr>
    </w:p>
    <w:p>
      <w:pPr>
        <w:ind w:left="100"/>
        <w:spacing w:after="0"/>
        <w:rPr>
          <w:sz w:val="20"/>
          <w:szCs w:val="20"/>
          <w:color w:val="auto"/>
        </w:rPr>
      </w:pPr>
      <w:r>
        <w:rPr>
          <w:rFonts w:ascii="Arial" w:cs="Arial" w:eastAsia="Arial" w:hAnsi="Arial"/>
          <w:sz w:val="14"/>
          <w:szCs w:val="14"/>
          <w:color w:val="0E1020"/>
        </w:rPr>
        <w:t>Online at</w:t>
      </w:r>
    </w:p>
    <w:p>
      <w:pPr>
        <w:spacing w:after="0" w:line="28" w:lineRule="exact"/>
        <w:rPr>
          <w:sz w:val="20"/>
          <w:szCs w:val="20"/>
          <w:color w:val="auto"/>
        </w:rPr>
      </w:pPr>
    </w:p>
    <w:p>
      <w:pPr>
        <w:ind w:left="100"/>
        <w:spacing w:after="0"/>
        <w:rPr>
          <w:sz w:val="20"/>
          <w:szCs w:val="20"/>
          <w:color w:val="auto"/>
        </w:rPr>
      </w:pPr>
      <w:r>
        <w:rPr>
          <w:rFonts w:ascii="Arial" w:cs="Arial" w:eastAsia="Arial" w:hAnsi="Arial"/>
          <w:sz w:val="14"/>
          <w:szCs w:val="14"/>
          <w:color w:val="0E1020"/>
        </w:rPr>
        <w:t>www.virtualshareholdermeeting.com/DXC2026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0E1020"/>
        </w:rPr>
        <w:t>YOUR VOTE IS IMPORTANT.</w:t>
      </w:r>
    </w:p>
    <w:p>
      <w:pPr>
        <w:spacing w:after="0" w:line="51" w:lineRule="exact"/>
        <w:rPr>
          <w:sz w:val="20"/>
          <w:szCs w:val="20"/>
          <w:color w:val="auto"/>
        </w:rPr>
      </w:pPr>
    </w:p>
    <w:p>
      <w:pPr>
        <w:ind w:left="100" w:right="380"/>
        <w:spacing w:after="0" w:line="322" w:lineRule="auto"/>
        <w:rPr>
          <w:sz w:val="20"/>
          <w:szCs w:val="20"/>
          <w:color w:val="auto"/>
        </w:rPr>
      </w:pPr>
      <w:r>
        <w:rPr>
          <w:rFonts w:ascii="Arial" w:cs="Arial" w:eastAsia="Arial" w:hAnsi="Arial"/>
          <w:sz w:val="14"/>
          <w:szCs w:val="14"/>
          <w:color w:val="0E1020"/>
        </w:rPr>
        <w:t>We encourage you to read this Proxy Statement and vote as soon as possible.</w:t>
      </w:r>
    </w:p>
    <w:p>
      <w:pPr>
        <w:spacing w:after="0" w:line="10" w:lineRule="exact"/>
        <w:rPr>
          <w:sz w:val="20"/>
          <w:szCs w:val="20"/>
          <w:color w:val="auto"/>
        </w:rPr>
      </w:pPr>
    </w:p>
    <w:p>
      <w:pPr>
        <w:ind w:left="100" w:right="420"/>
        <w:spacing w:after="0" w:line="320" w:lineRule="auto"/>
        <w:rPr>
          <w:sz w:val="20"/>
          <w:szCs w:val="20"/>
          <w:color w:val="auto"/>
        </w:rPr>
      </w:pPr>
      <w:r>
        <w:rPr>
          <w:rFonts w:ascii="Arial" w:cs="Arial" w:eastAsia="Arial" w:hAnsi="Arial"/>
          <w:sz w:val="14"/>
          <w:szCs w:val="14"/>
          <w:color w:val="0E1020"/>
        </w:rPr>
        <w:t>This notice of annual meeting and Proxy Statement were first made available to stockholders on or about June 4, 2026.</w:t>
      </w:r>
    </w:p>
    <w:p>
      <w:pPr>
        <w:sectPr>
          <w:pgSz w:w="11900" w:h="16838" w:orient="portrait"/>
          <w:cols w:equalWidth="0" w:num="2">
            <w:col w:w="7520" w:space="720"/>
            <w:col w:w="3060"/>
          </w:cols>
          <w:pgMar w:left="320" w:top="224" w:right="27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216535</wp:posOffset>
            </wp:positionH>
            <wp:positionV relativeFrom="page">
              <wp:posOffset>106045</wp:posOffset>
            </wp:positionV>
            <wp:extent cx="1166495" cy="3232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232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39"/>
          <w:szCs w:val="39"/>
          <w:b w:val="1"/>
          <w:bCs w:val="1"/>
          <w:color w:val="0E1020"/>
        </w:rPr>
        <w:t>TABLE OF CONTENTS</w:t>
      </w:r>
    </w:p>
    <w:p>
      <w:pPr>
        <w:sectPr>
          <w:pgSz w:w="11900" w:h="16838" w:orient="portrait"/>
          <w:cols w:equalWidth="0" w:num="1">
            <w:col w:w="11220"/>
          </w:cols>
          <w:pgMar w:left="320" w:top="224"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0"/>
        </w:trPr>
        <w:tc>
          <w:tcPr>
            <w:tcW w:w="6300" w:type="dxa"/>
            <w:vAlign w:val="bottom"/>
          </w:tcPr>
          <w:p>
            <w:pPr>
              <w:spacing w:after="0"/>
              <w:rPr>
                <w:sz w:val="20"/>
                <w:szCs w:val="20"/>
                <w:color w:val="auto"/>
              </w:rPr>
            </w:pPr>
            <w:r>
              <w:rPr>
                <w:rFonts w:ascii="Times New Roman" w:cs="Times New Roman" w:eastAsia="Times New Roman" w:hAnsi="Times New Roman"/>
                <w:sz w:val="16"/>
                <w:szCs w:val="16"/>
                <w:b w:val="1"/>
                <w:bCs w:val="1"/>
                <w:color w:val="0E1020"/>
              </w:rPr>
              <w:t>PROXY SUMMARY</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0E1020"/>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106045</wp:posOffset>
            </wp:positionV>
            <wp:extent cx="71335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88900</wp:posOffset>
            </wp:positionV>
            <wp:extent cx="71335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00"/>
          </w:cols>
          <w:pgMar w:left="340" w:top="246" w:right="359" w:bottom="144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E1020"/>
        </w:rPr>
        <w:t>PROPOSALS</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Proposal 1: Election of Directors</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Vote Required</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Director Nomination Process</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2026 Director Nominees</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Board Skills Matrix</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Board Composition and Refreshment</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2026 Director Nominees Biographies</w:t>
      </w:r>
    </w:p>
    <w:p>
      <w:pPr>
        <w:spacing w:after="0" w:line="111" w:lineRule="exact"/>
        <w:rPr>
          <w:sz w:val="20"/>
          <w:szCs w:val="20"/>
          <w:color w:val="auto"/>
        </w:rPr>
      </w:pPr>
    </w:p>
    <w:p>
      <w:pPr>
        <w:ind w:left="560"/>
        <w:spacing w:after="0" w:line="276" w:lineRule="auto"/>
        <w:rPr>
          <w:sz w:val="20"/>
          <w:szCs w:val="20"/>
          <w:color w:val="auto"/>
        </w:rPr>
      </w:pPr>
      <w:r>
        <w:rPr>
          <w:rFonts w:ascii="Arial" w:cs="Arial" w:eastAsia="Arial" w:hAnsi="Arial"/>
          <w:sz w:val="16"/>
          <w:szCs w:val="16"/>
          <w:b w:val="1"/>
          <w:bCs w:val="1"/>
          <w:color w:val="auto"/>
        </w:rPr>
        <w:t>Proposal 2: Ratification of the Appointment of Deloitte &amp; Touche LLP as our Independent Registered Public Accounting Firm for the Fiscal Year Ending March 31, 2027</w:t>
      </w:r>
    </w:p>
    <w:p>
      <w:pPr>
        <w:spacing w:after="0" w:line="59"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Proposal 3: Non-Binding Advisory Vote to Approve Our Named Executive Officer Compensation</w:t>
      </w:r>
    </w:p>
    <w:p>
      <w:pPr>
        <w:spacing w:after="0" w:line="111" w:lineRule="exact"/>
        <w:rPr>
          <w:sz w:val="20"/>
          <w:szCs w:val="20"/>
          <w:color w:val="auto"/>
        </w:rPr>
      </w:pPr>
    </w:p>
    <w:p>
      <w:pPr>
        <w:ind w:left="560" w:right="240"/>
        <w:spacing w:after="0" w:line="271" w:lineRule="auto"/>
        <w:rPr>
          <w:sz w:val="20"/>
          <w:szCs w:val="20"/>
          <w:color w:val="auto"/>
        </w:rPr>
      </w:pPr>
      <w:r>
        <w:rPr>
          <w:rFonts w:ascii="Arial" w:cs="Arial" w:eastAsia="Arial" w:hAnsi="Arial"/>
          <w:sz w:val="16"/>
          <w:szCs w:val="16"/>
          <w:b w:val="1"/>
          <w:bCs w:val="1"/>
          <w:color w:val="auto"/>
        </w:rPr>
        <w:t>Proposal 4: Approval of term extension and increase in the number of shares available under the amended and restated DXC Technology Company 2017 Omnibus Incentive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E1020"/>
        </w:rPr>
        <w:t>4</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6"/>
          <w:szCs w:val="16"/>
          <w:color w:val="0E1020"/>
        </w:rPr>
        <w:t>4</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6"/>
          <w:szCs w:val="16"/>
          <w:color w:val="0E1020"/>
        </w:rPr>
        <w:t>4</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6"/>
          <w:szCs w:val="16"/>
          <w:color w:val="0E1020"/>
        </w:rPr>
        <w:t>6</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6"/>
          <w:szCs w:val="16"/>
          <w:color w:val="0E1020"/>
        </w:rPr>
        <w:t>6</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6"/>
          <w:szCs w:val="16"/>
          <w:color w:val="0E1020"/>
        </w:rPr>
        <w:t>7</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6"/>
          <w:szCs w:val="16"/>
          <w:color w:val="0E1020"/>
        </w:rPr>
        <w:t>8</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0E1020"/>
        </w:rPr>
        <w:t>17</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0E1020"/>
        </w:rPr>
        <w:t>19</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0E1020"/>
        </w:rPr>
        <w:t>20</w:t>
      </w:r>
    </w:p>
    <w:p>
      <w:pPr>
        <w:spacing w:after="0" w:line="178" w:lineRule="exact"/>
        <w:rPr>
          <w:sz w:val="20"/>
          <w:szCs w:val="20"/>
          <w:color w:val="auto"/>
        </w:rPr>
      </w:pPr>
    </w:p>
    <w:p>
      <w:pPr>
        <w:sectPr>
          <w:pgSz w:w="11900" w:h="16838" w:orient="portrait"/>
          <w:cols w:equalWidth="0" w:num="2">
            <w:col w:w="10340" w:space="680"/>
            <w:col w:w="180"/>
          </w:cols>
          <w:pgMar w:left="340" w:top="246" w:right="359" w:bottom="1440" w:gutter="0" w:footer="0" w:header="0"/>
          <w:type w:val="continuous"/>
        </w:sectPr>
      </w:pPr>
    </w:p>
    <w:p>
      <w:pPr>
        <w:ind w:left="560" w:right="200"/>
        <w:spacing w:after="0" w:line="276" w:lineRule="auto"/>
        <w:rPr>
          <w:sz w:val="20"/>
          <w:szCs w:val="20"/>
          <w:color w:val="auto"/>
        </w:rPr>
      </w:pPr>
      <w:r>
        <w:rPr>
          <w:rFonts w:ascii="Arial" w:cs="Arial" w:eastAsia="Arial" w:hAnsi="Arial"/>
          <w:sz w:val="16"/>
          <w:szCs w:val="16"/>
          <w:b w:val="1"/>
          <w:bCs w:val="1"/>
          <w:color w:val="auto"/>
        </w:rPr>
        <w:t>Proposal 5: Approval of term extension and increase in the number of shares available under the amended and restated DXC Technology Company 2017 Non-Employee Director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29845</wp:posOffset>
            </wp:positionV>
            <wp:extent cx="71335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E1020"/>
        </w:rPr>
        <w:t>CORPORATE GOVERNANCE</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The Board</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0E1020"/>
        </w:rPr>
        <w:t>30</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0E1020"/>
        </w:rPr>
        <w:t>35</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E1020"/>
        </w:rPr>
        <w:t>35</w:t>
      </w:r>
    </w:p>
    <w:p>
      <w:pPr>
        <w:spacing w:after="0" w:line="178" w:lineRule="exact"/>
        <w:rPr>
          <w:sz w:val="20"/>
          <w:szCs w:val="20"/>
          <w:color w:val="auto"/>
        </w:rPr>
      </w:pPr>
    </w:p>
    <w:p>
      <w:pPr>
        <w:sectPr>
          <w:pgSz w:w="11900" w:h="16838" w:orient="portrait"/>
          <w:cols w:equalWidth="0" w:num="2">
            <w:col w:w="10300" w:space="720"/>
            <w:col w:w="180"/>
          </w:cols>
          <w:pgMar w:left="340" w:top="246" w:right="359" w:bottom="1440" w:gutter="0" w:footer="0" w:header="0"/>
          <w:type w:val="continuous"/>
        </w:sectPr>
      </w:pPr>
    </w:p>
    <w:tbl>
      <w:tblPr>
        <w:tblLayout w:type="fixed"/>
        <w:tblInd w:w="560" w:type="dxa"/>
        <w:tblCellMar>
          <w:top w:w="0" w:type="dxa"/>
          <w:left w:w="0" w:type="dxa"/>
          <w:bottom w:w="0" w:type="dxa"/>
          <w:right w:w="0" w:type="dxa"/>
        </w:tblCellMar>
      </w:tblPr>
      <w:tr>
        <w:trPr>
          <w:trHeight w:val="254"/>
        </w:trPr>
        <w:tc>
          <w:tcPr>
            <w:tcW w:w="7480" w:type="dxa"/>
            <w:vAlign w:val="bottom"/>
          </w:tcPr>
          <w:p>
            <w:pPr>
              <w:ind w:left="240"/>
              <w:spacing w:after="0"/>
              <w:rPr>
                <w:sz w:val="20"/>
                <w:szCs w:val="20"/>
                <w:color w:val="auto"/>
              </w:rPr>
            </w:pPr>
            <w:r>
              <w:rPr>
                <w:rFonts w:ascii="Arial" w:cs="Arial" w:eastAsia="Arial" w:hAnsi="Arial"/>
                <w:sz w:val="16"/>
                <w:szCs w:val="16"/>
                <w:color w:val="auto"/>
              </w:rPr>
              <w:t>Corporate Governance Guidelines</w:t>
            </w:r>
          </w:p>
        </w:tc>
        <w:tc>
          <w:tcPr>
            <w:tcW w:w="3160" w:type="dxa"/>
            <w:vAlign w:val="bottom"/>
          </w:tcPr>
          <w:p>
            <w:pPr>
              <w:jc w:val="right"/>
              <w:spacing w:after="0"/>
              <w:rPr>
                <w:sz w:val="20"/>
                <w:szCs w:val="20"/>
                <w:color w:val="auto"/>
              </w:rPr>
            </w:pPr>
            <w:r>
              <w:rPr>
                <w:rFonts w:ascii="Arial" w:cs="Arial" w:eastAsia="Arial" w:hAnsi="Arial"/>
                <w:sz w:val="16"/>
                <w:szCs w:val="16"/>
                <w:color w:val="0E1020"/>
              </w:rPr>
              <w:t>35</w:t>
            </w:r>
          </w:p>
        </w:tc>
      </w:tr>
      <w:tr>
        <w:trPr>
          <w:trHeight w:val="362"/>
        </w:trPr>
        <w:tc>
          <w:tcPr>
            <w:tcW w:w="7480" w:type="dxa"/>
            <w:vAlign w:val="bottom"/>
          </w:tcPr>
          <w:p>
            <w:pPr>
              <w:ind w:left="240"/>
              <w:spacing w:after="0"/>
              <w:rPr>
                <w:sz w:val="20"/>
                <w:szCs w:val="20"/>
                <w:color w:val="auto"/>
              </w:rPr>
            </w:pPr>
            <w:r>
              <w:rPr>
                <w:rFonts w:ascii="Arial" w:cs="Arial" w:eastAsia="Arial" w:hAnsi="Arial"/>
                <w:sz w:val="16"/>
                <w:szCs w:val="16"/>
                <w:color w:val="auto"/>
              </w:rPr>
              <w:t>Board Leadership Structure</w:t>
            </w:r>
          </w:p>
        </w:tc>
        <w:tc>
          <w:tcPr>
            <w:tcW w:w="3160" w:type="dxa"/>
            <w:vAlign w:val="bottom"/>
          </w:tcPr>
          <w:p>
            <w:pPr>
              <w:jc w:val="right"/>
              <w:spacing w:after="0"/>
              <w:rPr>
                <w:sz w:val="20"/>
                <w:szCs w:val="20"/>
                <w:color w:val="auto"/>
              </w:rPr>
            </w:pPr>
            <w:r>
              <w:rPr>
                <w:rFonts w:ascii="Arial" w:cs="Arial" w:eastAsia="Arial" w:hAnsi="Arial"/>
                <w:sz w:val="16"/>
                <w:szCs w:val="16"/>
                <w:color w:val="0E1020"/>
              </w:rPr>
              <w:t>35</w:t>
            </w:r>
          </w:p>
        </w:tc>
      </w:tr>
      <w:tr>
        <w:trPr>
          <w:trHeight w:val="362"/>
        </w:trPr>
        <w:tc>
          <w:tcPr>
            <w:tcW w:w="7480" w:type="dxa"/>
            <w:vAlign w:val="bottom"/>
          </w:tcPr>
          <w:p>
            <w:pPr>
              <w:ind w:left="240"/>
              <w:spacing w:after="0"/>
              <w:rPr>
                <w:sz w:val="20"/>
                <w:szCs w:val="20"/>
                <w:color w:val="auto"/>
              </w:rPr>
            </w:pPr>
            <w:r>
              <w:rPr>
                <w:rFonts w:ascii="Arial" w:cs="Arial" w:eastAsia="Arial" w:hAnsi="Arial"/>
                <w:sz w:val="16"/>
                <w:szCs w:val="16"/>
                <w:color w:val="auto"/>
              </w:rPr>
              <w:t>Separation of CEO and Board Chairman Positions</w:t>
            </w:r>
          </w:p>
        </w:tc>
        <w:tc>
          <w:tcPr>
            <w:tcW w:w="3160" w:type="dxa"/>
            <w:vAlign w:val="bottom"/>
          </w:tcPr>
          <w:p>
            <w:pPr>
              <w:jc w:val="right"/>
              <w:spacing w:after="0"/>
              <w:rPr>
                <w:sz w:val="20"/>
                <w:szCs w:val="20"/>
                <w:color w:val="auto"/>
              </w:rPr>
            </w:pPr>
            <w:r>
              <w:rPr>
                <w:rFonts w:ascii="Arial" w:cs="Arial" w:eastAsia="Arial" w:hAnsi="Arial"/>
                <w:sz w:val="16"/>
                <w:szCs w:val="16"/>
                <w:color w:val="0E1020"/>
              </w:rPr>
              <w:t>36</w:t>
            </w:r>
          </w:p>
        </w:tc>
      </w:tr>
      <w:tr>
        <w:trPr>
          <w:trHeight w:val="362"/>
        </w:trPr>
        <w:tc>
          <w:tcPr>
            <w:tcW w:w="7480" w:type="dxa"/>
            <w:vAlign w:val="bottom"/>
          </w:tcPr>
          <w:p>
            <w:pPr>
              <w:ind w:left="240"/>
              <w:spacing w:after="0"/>
              <w:rPr>
                <w:sz w:val="20"/>
                <w:szCs w:val="20"/>
                <w:color w:val="auto"/>
              </w:rPr>
            </w:pPr>
            <w:r>
              <w:rPr>
                <w:rFonts w:ascii="Arial" w:cs="Arial" w:eastAsia="Arial" w:hAnsi="Arial"/>
                <w:sz w:val="16"/>
                <w:szCs w:val="16"/>
                <w:color w:val="0E1020"/>
              </w:rPr>
              <w:t>Independent Board Chairman Duties and Responsibilities</w:t>
            </w:r>
          </w:p>
        </w:tc>
        <w:tc>
          <w:tcPr>
            <w:tcW w:w="3160" w:type="dxa"/>
            <w:vAlign w:val="bottom"/>
          </w:tcPr>
          <w:p>
            <w:pPr>
              <w:jc w:val="right"/>
              <w:spacing w:after="0"/>
              <w:rPr>
                <w:sz w:val="20"/>
                <w:szCs w:val="20"/>
                <w:color w:val="auto"/>
              </w:rPr>
            </w:pPr>
            <w:r>
              <w:rPr>
                <w:rFonts w:ascii="Arial" w:cs="Arial" w:eastAsia="Arial" w:hAnsi="Arial"/>
                <w:sz w:val="16"/>
                <w:szCs w:val="16"/>
                <w:color w:val="0E1020"/>
              </w:rPr>
              <w:t>36</w:t>
            </w:r>
          </w:p>
        </w:tc>
      </w:tr>
      <w:tr>
        <w:trPr>
          <w:trHeight w:val="362"/>
        </w:trPr>
        <w:tc>
          <w:tcPr>
            <w:tcW w:w="7480" w:type="dxa"/>
            <w:vAlign w:val="bottom"/>
          </w:tcPr>
          <w:p>
            <w:pPr>
              <w:ind w:left="240"/>
              <w:spacing w:after="0"/>
              <w:rPr>
                <w:sz w:val="20"/>
                <w:szCs w:val="20"/>
                <w:color w:val="auto"/>
              </w:rPr>
            </w:pPr>
            <w:r>
              <w:rPr>
                <w:rFonts w:ascii="Arial" w:cs="Arial" w:eastAsia="Arial" w:hAnsi="Arial"/>
                <w:sz w:val="16"/>
                <w:szCs w:val="16"/>
                <w:color w:val="auto"/>
              </w:rPr>
              <w:t>Director Independence</w:t>
            </w:r>
          </w:p>
        </w:tc>
        <w:tc>
          <w:tcPr>
            <w:tcW w:w="3160" w:type="dxa"/>
            <w:vAlign w:val="bottom"/>
          </w:tcPr>
          <w:p>
            <w:pPr>
              <w:jc w:val="right"/>
              <w:spacing w:after="0"/>
              <w:rPr>
                <w:sz w:val="20"/>
                <w:szCs w:val="20"/>
                <w:color w:val="auto"/>
              </w:rPr>
            </w:pPr>
            <w:r>
              <w:rPr>
                <w:rFonts w:ascii="Arial" w:cs="Arial" w:eastAsia="Arial" w:hAnsi="Arial"/>
                <w:sz w:val="16"/>
                <w:szCs w:val="16"/>
                <w:color w:val="0E1020"/>
              </w:rPr>
              <w:t>36</w:t>
            </w:r>
          </w:p>
        </w:tc>
      </w:tr>
      <w:tr>
        <w:trPr>
          <w:trHeight w:val="362"/>
        </w:trPr>
        <w:tc>
          <w:tcPr>
            <w:tcW w:w="7480" w:type="dxa"/>
            <w:vAlign w:val="bottom"/>
          </w:tcPr>
          <w:p>
            <w:pPr>
              <w:ind w:left="240"/>
              <w:spacing w:after="0"/>
              <w:rPr>
                <w:sz w:val="20"/>
                <w:szCs w:val="20"/>
                <w:color w:val="auto"/>
              </w:rPr>
            </w:pPr>
            <w:r>
              <w:rPr>
                <w:rFonts w:ascii="Arial" w:cs="Arial" w:eastAsia="Arial" w:hAnsi="Arial"/>
                <w:sz w:val="16"/>
                <w:szCs w:val="16"/>
                <w:color w:val="auto"/>
              </w:rPr>
              <w:t>Limits on Director Service on other Public Company Boards</w:t>
            </w:r>
          </w:p>
        </w:tc>
        <w:tc>
          <w:tcPr>
            <w:tcW w:w="3160" w:type="dxa"/>
            <w:vAlign w:val="bottom"/>
          </w:tcPr>
          <w:p>
            <w:pPr>
              <w:jc w:val="right"/>
              <w:spacing w:after="0"/>
              <w:rPr>
                <w:sz w:val="20"/>
                <w:szCs w:val="20"/>
                <w:color w:val="auto"/>
              </w:rPr>
            </w:pPr>
            <w:r>
              <w:rPr>
                <w:rFonts w:ascii="Arial" w:cs="Arial" w:eastAsia="Arial" w:hAnsi="Arial"/>
                <w:sz w:val="16"/>
                <w:szCs w:val="16"/>
                <w:color w:val="0E1020"/>
              </w:rPr>
              <w:t>37</w:t>
            </w:r>
          </w:p>
        </w:tc>
      </w:tr>
      <w:tr>
        <w:trPr>
          <w:trHeight w:val="362"/>
        </w:trPr>
        <w:tc>
          <w:tcPr>
            <w:tcW w:w="7480" w:type="dxa"/>
            <w:vAlign w:val="bottom"/>
          </w:tcPr>
          <w:p>
            <w:pPr>
              <w:ind w:left="240"/>
              <w:spacing w:after="0"/>
              <w:rPr>
                <w:sz w:val="20"/>
                <w:szCs w:val="20"/>
                <w:color w:val="auto"/>
              </w:rPr>
            </w:pPr>
            <w:r>
              <w:rPr>
                <w:rFonts w:ascii="Arial" w:cs="Arial" w:eastAsia="Arial" w:hAnsi="Arial"/>
                <w:sz w:val="16"/>
                <w:szCs w:val="16"/>
                <w:color w:val="auto"/>
              </w:rPr>
              <w:t>Director Attendance</w:t>
            </w:r>
          </w:p>
        </w:tc>
        <w:tc>
          <w:tcPr>
            <w:tcW w:w="3160" w:type="dxa"/>
            <w:vAlign w:val="bottom"/>
          </w:tcPr>
          <w:p>
            <w:pPr>
              <w:jc w:val="right"/>
              <w:spacing w:after="0"/>
              <w:rPr>
                <w:sz w:val="20"/>
                <w:szCs w:val="20"/>
                <w:color w:val="auto"/>
              </w:rPr>
            </w:pPr>
            <w:r>
              <w:rPr>
                <w:rFonts w:ascii="Arial" w:cs="Arial" w:eastAsia="Arial" w:hAnsi="Arial"/>
                <w:sz w:val="16"/>
                <w:szCs w:val="16"/>
                <w:color w:val="0E1020"/>
              </w:rPr>
              <w:t>37</w:t>
            </w:r>
          </w:p>
        </w:tc>
      </w:tr>
      <w:tr>
        <w:trPr>
          <w:trHeight w:val="362"/>
        </w:trPr>
        <w:tc>
          <w:tcPr>
            <w:tcW w:w="7480" w:type="dxa"/>
            <w:vAlign w:val="bottom"/>
          </w:tcPr>
          <w:p>
            <w:pPr>
              <w:ind w:left="240"/>
              <w:spacing w:after="0"/>
              <w:rPr>
                <w:sz w:val="20"/>
                <w:szCs w:val="20"/>
                <w:color w:val="auto"/>
              </w:rPr>
            </w:pPr>
            <w:r>
              <w:rPr>
                <w:rFonts w:ascii="Arial" w:cs="Arial" w:eastAsia="Arial" w:hAnsi="Arial"/>
                <w:sz w:val="16"/>
                <w:szCs w:val="16"/>
                <w:color w:val="auto"/>
              </w:rPr>
              <w:t>Stockholder Engagement</w:t>
            </w:r>
          </w:p>
        </w:tc>
        <w:tc>
          <w:tcPr>
            <w:tcW w:w="3160" w:type="dxa"/>
            <w:vAlign w:val="bottom"/>
          </w:tcPr>
          <w:p>
            <w:pPr>
              <w:jc w:val="right"/>
              <w:spacing w:after="0"/>
              <w:rPr>
                <w:sz w:val="20"/>
                <w:szCs w:val="20"/>
                <w:color w:val="auto"/>
              </w:rPr>
            </w:pPr>
            <w:r>
              <w:rPr>
                <w:rFonts w:ascii="Arial" w:cs="Arial" w:eastAsia="Arial" w:hAnsi="Arial"/>
                <w:sz w:val="16"/>
                <w:szCs w:val="16"/>
                <w:color w:val="0E1020"/>
              </w:rPr>
              <w:t>37</w:t>
            </w:r>
          </w:p>
        </w:tc>
      </w:tr>
      <w:tr>
        <w:trPr>
          <w:trHeight w:val="362"/>
        </w:trPr>
        <w:tc>
          <w:tcPr>
            <w:tcW w:w="7480" w:type="dxa"/>
            <w:vAlign w:val="bottom"/>
          </w:tcPr>
          <w:p>
            <w:pPr>
              <w:ind w:left="240"/>
              <w:spacing w:after="0"/>
              <w:rPr>
                <w:sz w:val="20"/>
                <w:szCs w:val="20"/>
                <w:color w:val="auto"/>
              </w:rPr>
            </w:pPr>
            <w:r>
              <w:rPr>
                <w:rFonts w:ascii="Arial" w:cs="Arial" w:eastAsia="Arial" w:hAnsi="Arial"/>
                <w:sz w:val="16"/>
                <w:szCs w:val="16"/>
                <w:color w:val="auto"/>
              </w:rPr>
              <w:t>Risk Oversight</w:t>
            </w:r>
          </w:p>
        </w:tc>
        <w:tc>
          <w:tcPr>
            <w:tcW w:w="3160" w:type="dxa"/>
            <w:vAlign w:val="bottom"/>
          </w:tcPr>
          <w:p>
            <w:pPr>
              <w:jc w:val="right"/>
              <w:spacing w:after="0"/>
              <w:rPr>
                <w:sz w:val="20"/>
                <w:szCs w:val="20"/>
                <w:color w:val="auto"/>
              </w:rPr>
            </w:pPr>
            <w:r>
              <w:rPr>
                <w:rFonts w:ascii="Arial" w:cs="Arial" w:eastAsia="Arial" w:hAnsi="Arial"/>
                <w:sz w:val="16"/>
                <w:szCs w:val="16"/>
                <w:color w:val="0E1020"/>
              </w:rPr>
              <w:t>38</w:t>
            </w:r>
          </w:p>
        </w:tc>
      </w:tr>
      <w:tr>
        <w:trPr>
          <w:trHeight w:val="362"/>
        </w:trPr>
        <w:tc>
          <w:tcPr>
            <w:tcW w:w="7480" w:type="dxa"/>
            <w:vAlign w:val="bottom"/>
          </w:tcPr>
          <w:p>
            <w:pPr>
              <w:ind w:left="240"/>
              <w:spacing w:after="0"/>
              <w:rPr>
                <w:sz w:val="20"/>
                <w:szCs w:val="20"/>
                <w:color w:val="auto"/>
              </w:rPr>
            </w:pPr>
            <w:r>
              <w:rPr>
                <w:rFonts w:ascii="Arial" w:cs="Arial" w:eastAsia="Arial" w:hAnsi="Arial"/>
                <w:sz w:val="16"/>
                <w:szCs w:val="16"/>
                <w:color w:val="auto"/>
              </w:rPr>
              <w:t>Cybersecurity Risk</w:t>
            </w:r>
          </w:p>
        </w:tc>
        <w:tc>
          <w:tcPr>
            <w:tcW w:w="3160" w:type="dxa"/>
            <w:vAlign w:val="bottom"/>
          </w:tcPr>
          <w:p>
            <w:pPr>
              <w:jc w:val="right"/>
              <w:spacing w:after="0"/>
              <w:rPr>
                <w:sz w:val="20"/>
                <w:szCs w:val="20"/>
                <w:color w:val="auto"/>
              </w:rPr>
            </w:pPr>
            <w:r>
              <w:rPr>
                <w:rFonts w:ascii="Arial" w:cs="Arial" w:eastAsia="Arial" w:hAnsi="Arial"/>
                <w:sz w:val="16"/>
                <w:szCs w:val="16"/>
                <w:color w:val="0E1020"/>
              </w:rPr>
              <w:t>39</w:t>
            </w:r>
          </w:p>
        </w:tc>
      </w:tr>
      <w:tr>
        <w:trPr>
          <w:trHeight w:val="362"/>
        </w:trPr>
        <w:tc>
          <w:tcPr>
            <w:tcW w:w="7480" w:type="dxa"/>
            <w:vAlign w:val="bottom"/>
          </w:tcPr>
          <w:p>
            <w:pPr>
              <w:ind w:left="240"/>
              <w:spacing w:after="0"/>
              <w:rPr>
                <w:sz w:val="20"/>
                <w:szCs w:val="20"/>
                <w:color w:val="auto"/>
              </w:rPr>
            </w:pPr>
            <w:r>
              <w:rPr>
                <w:rFonts w:ascii="Arial" w:cs="Arial" w:eastAsia="Arial" w:hAnsi="Arial"/>
                <w:sz w:val="16"/>
                <w:szCs w:val="16"/>
                <w:color w:val="0E1020"/>
              </w:rPr>
              <w:t>AI Risk Management</w:t>
            </w:r>
          </w:p>
        </w:tc>
        <w:tc>
          <w:tcPr>
            <w:tcW w:w="3160" w:type="dxa"/>
            <w:vAlign w:val="bottom"/>
          </w:tcPr>
          <w:p>
            <w:pPr>
              <w:jc w:val="right"/>
              <w:spacing w:after="0"/>
              <w:rPr>
                <w:sz w:val="20"/>
                <w:szCs w:val="20"/>
                <w:color w:val="auto"/>
              </w:rPr>
            </w:pPr>
            <w:r>
              <w:rPr>
                <w:rFonts w:ascii="Arial" w:cs="Arial" w:eastAsia="Arial" w:hAnsi="Arial"/>
                <w:sz w:val="16"/>
                <w:szCs w:val="16"/>
                <w:color w:val="0E1020"/>
              </w:rPr>
              <w:t>39</w:t>
            </w:r>
          </w:p>
        </w:tc>
      </w:tr>
      <w:tr>
        <w:trPr>
          <w:trHeight w:val="362"/>
        </w:trPr>
        <w:tc>
          <w:tcPr>
            <w:tcW w:w="7480" w:type="dxa"/>
            <w:vAlign w:val="bottom"/>
          </w:tcPr>
          <w:p>
            <w:pPr>
              <w:ind w:left="240"/>
              <w:spacing w:after="0"/>
              <w:rPr>
                <w:sz w:val="20"/>
                <w:szCs w:val="20"/>
                <w:color w:val="auto"/>
              </w:rPr>
            </w:pPr>
            <w:r>
              <w:rPr>
                <w:rFonts w:ascii="Arial" w:cs="Arial" w:eastAsia="Arial" w:hAnsi="Arial"/>
                <w:sz w:val="16"/>
                <w:szCs w:val="16"/>
                <w:color w:val="auto"/>
              </w:rPr>
              <w:t>Compensation and Risk</w:t>
            </w:r>
          </w:p>
        </w:tc>
        <w:tc>
          <w:tcPr>
            <w:tcW w:w="3160" w:type="dxa"/>
            <w:vAlign w:val="bottom"/>
          </w:tcPr>
          <w:p>
            <w:pPr>
              <w:jc w:val="right"/>
              <w:spacing w:after="0"/>
              <w:rPr>
                <w:sz w:val="20"/>
                <w:szCs w:val="20"/>
                <w:color w:val="auto"/>
              </w:rPr>
            </w:pPr>
            <w:r>
              <w:rPr>
                <w:rFonts w:ascii="Arial" w:cs="Arial" w:eastAsia="Arial" w:hAnsi="Arial"/>
                <w:sz w:val="16"/>
                <w:szCs w:val="16"/>
                <w:color w:val="0E1020"/>
              </w:rPr>
              <w:t>39</w:t>
            </w:r>
          </w:p>
        </w:tc>
      </w:tr>
      <w:tr>
        <w:trPr>
          <w:trHeight w:val="362"/>
        </w:trPr>
        <w:tc>
          <w:tcPr>
            <w:tcW w:w="7480" w:type="dxa"/>
            <w:vAlign w:val="bottom"/>
          </w:tcPr>
          <w:p>
            <w:pPr>
              <w:ind w:left="240"/>
              <w:spacing w:after="0"/>
              <w:rPr>
                <w:sz w:val="20"/>
                <w:szCs w:val="20"/>
                <w:color w:val="auto"/>
              </w:rPr>
            </w:pPr>
            <w:r>
              <w:rPr>
                <w:rFonts w:ascii="Arial" w:cs="Arial" w:eastAsia="Arial" w:hAnsi="Arial"/>
                <w:sz w:val="16"/>
                <w:szCs w:val="16"/>
                <w:color w:val="0E1020"/>
              </w:rPr>
              <w:t>Insider Trading Policies and Procedures</w:t>
            </w:r>
          </w:p>
        </w:tc>
        <w:tc>
          <w:tcPr>
            <w:tcW w:w="3160" w:type="dxa"/>
            <w:vAlign w:val="bottom"/>
          </w:tcPr>
          <w:p>
            <w:pPr>
              <w:jc w:val="right"/>
              <w:spacing w:after="0"/>
              <w:rPr>
                <w:sz w:val="20"/>
                <w:szCs w:val="20"/>
                <w:color w:val="auto"/>
              </w:rPr>
            </w:pPr>
            <w:r>
              <w:rPr>
                <w:rFonts w:ascii="Arial" w:cs="Arial" w:eastAsia="Arial" w:hAnsi="Arial"/>
                <w:sz w:val="16"/>
                <w:szCs w:val="16"/>
                <w:color w:val="0E1020"/>
              </w:rPr>
              <w:t>40</w:t>
            </w:r>
          </w:p>
        </w:tc>
      </w:tr>
      <w:tr>
        <w:trPr>
          <w:trHeight w:val="362"/>
        </w:trPr>
        <w:tc>
          <w:tcPr>
            <w:tcW w:w="7480" w:type="dxa"/>
            <w:vAlign w:val="bottom"/>
          </w:tcPr>
          <w:p>
            <w:pPr>
              <w:ind w:left="240"/>
              <w:spacing w:after="0"/>
              <w:rPr>
                <w:sz w:val="20"/>
                <w:szCs w:val="20"/>
                <w:color w:val="auto"/>
              </w:rPr>
            </w:pPr>
            <w:r>
              <w:rPr>
                <w:rFonts w:ascii="Arial" w:cs="Arial" w:eastAsia="Arial" w:hAnsi="Arial"/>
                <w:sz w:val="16"/>
                <w:szCs w:val="16"/>
                <w:color w:val="auto"/>
              </w:rPr>
              <w:t>Non-Employee Director Equity Ownership Guidelines</w:t>
            </w:r>
          </w:p>
        </w:tc>
        <w:tc>
          <w:tcPr>
            <w:tcW w:w="3160" w:type="dxa"/>
            <w:vAlign w:val="bottom"/>
          </w:tcPr>
          <w:p>
            <w:pPr>
              <w:jc w:val="right"/>
              <w:spacing w:after="0"/>
              <w:rPr>
                <w:sz w:val="20"/>
                <w:szCs w:val="20"/>
                <w:color w:val="auto"/>
              </w:rPr>
            </w:pPr>
            <w:r>
              <w:rPr>
                <w:rFonts w:ascii="Arial" w:cs="Arial" w:eastAsia="Arial" w:hAnsi="Arial"/>
                <w:sz w:val="16"/>
                <w:szCs w:val="16"/>
                <w:color w:val="0E1020"/>
              </w:rPr>
              <w:t>40</w:t>
            </w:r>
          </w:p>
        </w:tc>
      </w:tr>
      <w:tr>
        <w:trPr>
          <w:trHeight w:val="362"/>
        </w:trPr>
        <w:tc>
          <w:tcPr>
            <w:tcW w:w="7480" w:type="dxa"/>
            <w:vAlign w:val="bottom"/>
          </w:tcPr>
          <w:p>
            <w:pPr>
              <w:ind w:left="240"/>
              <w:spacing w:after="0"/>
              <w:rPr>
                <w:sz w:val="20"/>
                <w:szCs w:val="20"/>
                <w:color w:val="auto"/>
              </w:rPr>
            </w:pPr>
            <w:r>
              <w:rPr>
                <w:rFonts w:ascii="Arial" w:cs="Arial" w:eastAsia="Arial" w:hAnsi="Arial"/>
                <w:sz w:val="16"/>
                <w:szCs w:val="16"/>
                <w:color w:val="auto"/>
              </w:rPr>
              <w:t>Talent Management and Executive Succession Planning</w:t>
            </w:r>
          </w:p>
        </w:tc>
        <w:tc>
          <w:tcPr>
            <w:tcW w:w="3160" w:type="dxa"/>
            <w:vAlign w:val="bottom"/>
          </w:tcPr>
          <w:p>
            <w:pPr>
              <w:jc w:val="right"/>
              <w:spacing w:after="0"/>
              <w:rPr>
                <w:sz w:val="20"/>
                <w:szCs w:val="20"/>
                <w:color w:val="auto"/>
              </w:rPr>
            </w:pPr>
            <w:r>
              <w:rPr>
                <w:rFonts w:ascii="Arial" w:cs="Arial" w:eastAsia="Arial" w:hAnsi="Arial"/>
                <w:sz w:val="16"/>
                <w:szCs w:val="16"/>
                <w:color w:val="0E1020"/>
              </w:rPr>
              <w:t>40</w:t>
            </w:r>
          </w:p>
        </w:tc>
      </w:tr>
      <w:tr>
        <w:trPr>
          <w:trHeight w:val="362"/>
        </w:trPr>
        <w:tc>
          <w:tcPr>
            <w:tcW w:w="7480" w:type="dxa"/>
            <w:vAlign w:val="bottom"/>
          </w:tcPr>
          <w:p>
            <w:pPr>
              <w:ind w:left="240"/>
              <w:spacing w:after="0"/>
              <w:rPr>
                <w:sz w:val="20"/>
                <w:szCs w:val="20"/>
                <w:color w:val="auto"/>
              </w:rPr>
            </w:pPr>
            <w:r>
              <w:rPr>
                <w:rFonts w:ascii="Arial" w:cs="Arial" w:eastAsia="Arial" w:hAnsi="Arial"/>
                <w:sz w:val="16"/>
                <w:szCs w:val="16"/>
                <w:color w:val="auto"/>
              </w:rPr>
              <w:t>Director Education</w:t>
            </w:r>
          </w:p>
        </w:tc>
        <w:tc>
          <w:tcPr>
            <w:tcW w:w="3160" w:type="dxa"/>
            <w:vAlign w:val="bottom"/>
          </w:tcPr>
          <w:p>
            <w:pPr>
              <w:jc w:val="right"/>
              <w:spacing w:after="0"/>
              <w:rPr>
                <w:sz w:val="20"/>
                <w:szCs w:val="20"/>
                <w:color w:val="auto"/>
              </w:rPr>
            </w:pPr>
            <w:r>
              <w:rPr>
                <w:rFonts w:ascii="Arial" w:cs="Arial" w:eastAsia="Arial" w:hAnsi="Arial"/>
                <w:sz w:val="16"/>
                <w:szCs w:val="16"/>
                <w:color w:val="0E1020"/>
              </w:rPr>
              <w:t>40</w:t>
            </w:r>
          </w:p>
        </w:tc>
      </w:tr>
      <w:tr>
        <w:trPr>
          <w:trHeight w:val="362"/>
        </w:trPr>
        <w:tc>
          <w:tcPr>
            <w:tcW w:w="7480" w:type="dxa"/>
            <w:vAlign w:val="bottom"/>
          </w:tcPr>
          <w:p>
            <w:pPr>
              <w:ind w:left="240"/>
              <w:spacing w:after="0"/>
              <w:rPr>
                <w:sz w:val="20"/>
                <w:szCs w:val="20"/>
                <w:color w:val="auto"/>
              </w:rPr>
            </w:pPr>
            <w:r>
              <w:rPr>
                <w:rFonts w:ascii="Arial" w:cs="Arial" w:eastAsia="Arial" w:hAnsi="Arial"/>
                <w:sz w:val="16"/>
                <w:szCs w:val="16"/>
                <w:color w:val="auto"/>
              </w:rPr>
              <w:t>Code of Conduct</w:t>
            </w:r>
          </w:p>
        </w:tc>
        <w:tc>
          <w:tcPr>
            <w:tcW w:w="3160" w:type="dxa"/>
            <w:vAlign w:val="bottom"/>
          </w:tcPr>
          <w:p>
            <w:pPr>
              <w:jc w:val="right"/>
              <w:spacing w:after="0"/>
              <w:rPr>
                <w:sz w:val="20"/>
                <w:szCs w:val="20"/>
                <w:color w:val="auto"/>
              </w:rPr>
            </w:pPr>
            <w:r>
              <w:rPr>
                <w:rFonts w:ascii="Arial" w:cs="Arial" w:eastAsia="Arial" w:hAnsi="Arial"/>
                <w:sz w:val="16"/>
                <w:szCs w:val="16"/>
                <w:color w:val="0E1020"/>
              </w:rPr>
              <w:t>40</w:t>
            </w:r>
          </w:p>
        </w:tc>
      </w:tr>
      <w:tr>
        <w:trPr>
          <w:trHeight w:val="362"/>
        </w:trPr>
        <w:tc>
          <w:tcPr>
            <w:tcW w:w="7480" w:type="dxa"/>
            <w:vAlign w:val="bottom"/>
          </w:tcPr>
          <w:p>
            <w:pPr>
              <w:ind w:left="240"/>
              <w:spacing w:after="0"/>
              <w:rPr>
                <w:sz w:val="20"/>
                <w:szCs w:val="20"/>
                <w:color w:val="auto"/>
              </w:rPr>
            </w:pPr>
            <w:r>
              <w:rPr>
                <w:rFonts w:ascii="Arial" w:cs="Arial" w:eastAsia="Arial" w:hAnsi="Arial"/>
                <w:sz w:val="16"/>
                <w:szCs w:val="16"/>
                <w:color w:val="auto"/>
              </w:rPr>
              <w:t>Retirement of Directors</w:t>
            </w:r>
          </w:p>
        </w:tc>
        <w:tc>
          <w:tcPr>
            <w:tcW w:w="3160" w:type="dxa"/>
            <w:vAlign w:val="bottom"/>
          </w:tcPr>
          <w:p>
            <w:pPr>
              <w:jc w:val="right"/>
              <w:spacing w:after="0"/>
              <w:rPr>
                <w:sz w:val="20"/>
                <w:szCs w:val="20"/>
                <w:color w:val="auto"/>
              </w:rPr>
            </w:pPr>
            <w:r>
              <w:rPr>
                <w:rFonts w:ascii="Arial" w:cs="Arial" w:eastAsia="Arial" w:hAnsi="Arial"/>
                <w:sz w:val="16"/>
                <w:szCs w:val="16"/>
                <w:color w:val="0E1020"/>
              </w:rPr>
              <w:t>41</w:t>
            </w:r>
          </w:p>
        </w:tc>
      </w:tr>
      <w:tr>
        <w:trPr>
          <w:trHeight w:val="362"/>
        </w:trPr>
        <w:tc>
          <w:tcPr>
            <w:tcW w:w="7480" w:type="dxa"/>
            <w:vAlign w:val="bottom"/>
          </w:tcPr>
          <w:p>
            <w:pPr>
              <w:ind w:left="240"/>
              <w:spacing w:after="0"/>
              <w:rPr>
                <w:sz w:val="20"/>
                <w:szCs w:val="20"/>
                <w:color w:val="auto"/>
              </w:rPr>
            </w:pPr>
            <w:r>
              <w:rPr>
                <w:rFonts w:ascii="Arial" w:cs="Arial" w:eastAsia="Arial" w:hAnsi="Arial"/>
                <w:sz w:val="16"/>
                <w:szCs w:val="16"/>
                <w:color w:val="auto"/>
              </w:rPr>
              <w:t>Board Evaluations</w:t>
            </w:r>
          </w:p>
        </w:tc>
        <w:tc>
          <w:tcPr>
            <w:tcW w:w="3160" w:type="dxa"/>
            <w:vAlign w:val="bottom"/>
          </w:tcPr>
          <w:p>
            <w:pPr>
              <w:jc w:val="right"/>
              <w:spacing w:after="0"/>
              <w:rPr>
                <w:sz w:val="20"/>
                <w:szCs w:val="20"/>
                <w:color w:val="auto"/>
              </w:rPr>
            </w:pPr>
            <w:r>
              <w:rPr>
                <w:rFonts w:ascii="Arial" w:cs="Arial" w:eastAsia="Arial" w:hAnsi="Arial"/>
                <w:sz w:val="16"/>
                <w:szCs w:val="16"/>
                <w:color w:val="0E1020"/>
              </w:rPr>
              <w:t>41</w:t>
            </w:r>
          </w:p>
        </w:tc>
      </w:tr>
      <w:tr>
        <w:trPr>
          <w:trHeight w:val="362"/>
        </w:trPr>
        <w:tc>
          <w:tcPr>
            <w:tcW w:w="7480" w:type="dxa"/>
            <w:vAlign w:val="bottom"/>
          </w:tcPr>
          <w:p>
            <w:pPr>
              <w:ind w:left="240"/>
              <w:spacing w:after="0"/>
              <w:rPr>
                <w:sz w:val="20"/>
                <w:szCs w:val="20"/>
                <w:color w:val="auto"/>
              </w:rPr>
            </w:pPr>
            <w:r>
              <w:rPr>
                <w:rFonts w:ascii="Arial" w:cs="Arial" w:eastAsia="Arial" w:hAnsi="Arial"/>
                <w:sz w:val="16"/>
                <w:szCs w:val="16"/>
                <w:color w:val="auto"/>
              </w:rPr>
              <w:t>Resignation of Employee Directors</w:t>
            </w:r>
          </w:p>
        </w:tc>
        <w:tc>
          <w:tcPr>
            <w:tcW w:w="3160" w:type="dxa"/>
            <w:vAlign w:val="bottom"/>
          </w:tcPr>
          <w:p>
            <w:pPr>
              <w:jc w:val="right"/>
              <w:spacing w:after="0"/>
              <w:rPr>
                <w:sz w:val="20"/>
                <w:szCs w:val="20"/>
                <w:color w:val="auto"/>
              </w:rPr>
            </w:pPr>
            <w:r>
              <w:rPr>
                <w:rFonts w:ascii="Arial" w:cs="Arial" w:eastAsia="Arial" w:hAnsi="Arial"/>
                <w:sz w:val="16"/>
                <w:szCs w:val="16"/>
                <w:color w:val="0E1020"/>
              </w:rPr>
              <w:t>41</w:t>
            </w:r>
          </w:p>
        </w:tc>
      </w:tr>
      <w:tr>
        <w:trPr>
          <w:trHeight w:val="362"/>
        </w:trPr>
        <w:tc>
          <w:tcPr>
            <w:tcW w:w="7480" w:type="dxa"/>
            <w:vAlign w:val="bottom"/>
          </w:tcPr>
          <w:p>
            <w:pPr>
              <w:ind w:left="240"/>
              <w:spacing w:after="0"/>
              <w:rPr>
                <w:sz w:val="20"/>
                <w:szCs w:val="20"/>
                <w:color w:val="auto"/>
              </w:rPr>
            </w:pPr>
            <w:r>
              <w:rPr>
                <w:rFonts w:ascii="Arial" w:cs="Arial" w:eastAsia="Arial" w:hAnsi="Arial"/>
                <w:sz w:val="16"/>
                <w:szCs w:val="16"/>
                <w:color w:val="auto"/>
              </w:rPr>
              <w:t>Communicating with the Board</w:t>
            </w:r>
          </w:p>
        </w:tc>
        <w:tc>
          <w:tcPr>
            <w:tcW w:w="3160" w:type="dxa"/>
            <w:vAlign w:val="bottom"/>
          </w:tcPr>
          <w:p>
            <w:pPr>
              <w:jc w:val="right"/>
              <w:spacing w:after="0"/>
              <w:rPr>
                <w:sz w:val="20"/>
                <w:szCs w:val="20"/>
                <w:color w:val="auto"/>
              </w:rPr>
            </w:pPr>
            <w:r>
              <w:rPr>
                <w:rFonts w:ascii="Arial" w:cs="Arial" w:eastAsia="Arial" w:hAnsi="Arial"/>
                <w:sz w:val="16"/>
                <w:szCs w:val="16"/>
                <w:color w:val="0E1020"/>
              </w:rPr>
              <w:t>41</w:t>
            </w:r>
          </w:p>
        </w:tc>
      </w:tr>
      <w:tr>
        <w:trPr>
          <w:trHeight w:val="370"/>
        </w:trPr>
        <w:tc>
          <w:tcPr>
            <w:tcW w:w="7480" w:type="dxa"/>
            <w:vAlign w:val="bottom"/>
          </w:tcPr>
          <w:p>
            <w:pPr>
              <w:spacing w:after="0"/>
              <w:rPr>
                <w:sz w:val="20"/>
                <w:szCs w:val="20"/>
                <w:color w:val="auto"/>
              </w:rPr>
            </w:pPr>
            <w:r>
              <w:rPr>
                <w:rFonts w:ascii="Arial" w:cs="Arial" w:eastAsia="Arial" w:hAnsi="Arial"/>
                <w:sz w:val="16"/>
                <w:szCs w:val="16"/>
                <w:b w:val="1"/>
                <w:bCs w:val="1"/>
                <w:color w:val="auto"/>
              </w:rPr>
              <w:t>Committees of the Board</w:t>
            </w:r>
          </w:p>
        </w:tc>
        <w:tc>
          <w:tcPr>
            <w:tcW w:w="3160" w:type="dxa"/>
            <w:vAlign w:val="bottom"/>
          </w:tcPr>
          <w:p>
            <w:pPr>
              <w:jc w:val="right"/>
              <w:spacing w:after="0"/>
              <w:rPr>
                <w:sz w:val="20"/>
                <w:szCs w:val="20"/>
                <w:color w:val="auto"/>
              </w:rPr>
            </w:pPr>
            <w:r>
              <w:rPr>
                <w:rFonts w:ascii="Arial" w:cs="Arial" w:eastAsia="Arial" w:hAnsi="Arial"/>
                <w:sz w:val="16"/>
                <w:szCs w:val="16"/>
                <w:b w:val="1"/>
                <w:bCs w:val="1"/>
                <w:color w:val="0E1020"/>
              </w:rPr>
              <w:t>42</w:t>
            </w:r>
          </w:p>
        </w:tc>
      </w:tr>
      <w:tr>
        <w:trPr>
          <w:trHeight w:val="354"/>
        </w:trPr>
        <w:tc>
          <w:tcPr>
            <w:tcW w:w="7480" w:type="dxa"/>
            <w:vAlign w:val="bottom"/>
          </w:tcPr>
          <w:p>
            <w:pPr>
              <w:ind w:left="240"/>
              <w:spacing w:after="0"/>
              <w:rPr>
                <w:sz w:val="20"/>
                <w:szCs w:val="20"/>
                <w:color w:val="auto"/>
              </w:rPr>
            </w:pPr>
            <w:r>
              <w:rPr>
                <w:rFonts w:ascii="Arial" w:cs="Arial" w:eastAsia="Arial" w:hAnsi="Arial"/>
                <w:sz w:val="16"/>
                <w:szCs w:val="16"/>
                <w:color w:val="auto"/>
              </w:rPr>
              <w:t>Audit Committee</w:t>
            </w:r>
          </w:p>
        </w:tc>
        <w:tc>
          <w:tcPr>
            <w:tcW w:w="3160" w:type="dxa"/>
            <w:vAlign w:val="bottom"/>
          </w:tcPr>
          <w:p>
            <w:pPr>
              <w:jc w:val="right"/>
              <w:spacing w:after="0"/>
              <w:rPr>
                <w:sz w:val="20"/>
                <w:szCs w:val="20"/>
                <w:color w:val="auto"/>
              </w:rPr>
            </w:pPr>
            <w:r>
              <w:rPr>
                <w:rFonts w:ascii="Arial" w:cs="Arial" w:eastAsia="Arial" w:hAnsi="Arial"/>
                <w:sz w:val="16"/>
                <w:szCs w:val="16"/>
                <w:color w:val="0E1020"/>
              </w:rPr>
              <w:t>43</w:t>
            </w:r>
          </w:p>
        </w:tc>
      </w:tr>
      <w:tr>
        <w:trPr>
          <w:trHeight w:val="362"/>
        </w:trPr>
        <w:tc>
          <w:tcPr>
            <w:tcW w:w="7480" w:type="dxa"/>
            <w:vAlign w:val="bottom"/>
          </w:tcPr>
          <w:p>
            <w:pPr>
              <w:ind w:left="240"/>
              <w:spacing w:after="0"/>
              <w:rPr>
                <w:sz w:val="20"/>
                <w:szCs w:val="20"/>
                <w:color w:val="auto"/>
              </w:rPr>
            </w:pPr>
            <w:r>
              <w:rPr>
                <w:rFonts w:ascii="Arial" w:cs="Arial" w:eastAsia="Arial" w:hAnsi="Arial"/>
                <w:sz w:val="16"/>
                <w:szCs w:val="16"/>
                <w:color w:val="auto"/>
              </w:rPr>
              <w:t>Compensation Committee</w:t>
            </w:r>
          </w:p>
        </w:tc>
        <w:tc>
          <w:tcPr>
            <w:tcW w:w="3160" w:type="dxa"/>
            <w:vAlign w:val="bottom"/>
          </w:tcPr>
          <w:p>
            <w:pPr>
              <w:jc w:val="right"/>
              <w:spacing w:after="0"/>
              <w:rPr>
                <w:sz w:val="20"/>
                <w:szCs w:val="20"/>
                <w:color w:val="auto"/>
              </w:rPr>
            </w:pPr>
            <w:r>
              <w:rPr>
                <w:rFonts w:ascii="Arial" w:cs="Arial" w:eastAsia="Arial" w:hAnsi="Arial"/>
                <w:sz w:val="16"/>
                <w:szCs w:val="16"/>
                <w:color w:val="0E1020"/>
              </w:rPr>
              <w:t>43</w:t>
            </w:r>
          </w:p>
        </w:tc>
      </w:tr>
      <w:tr>
        <w:trPr>
          <w:trHeight w:val="362"/>
        </w:trPr>
        <w:tc>
          <w:tcPr>
            <w:tcW w:w="7480" w:type="dxa"/>
            <w:vAlign w:val="bottom"/>
          </w:tcPr>
          <w:p>
            <w:pPr>
              <w:ind w:left="240"/>
              <w:spacing w:after="0"/>
              <w:rPr>
                <w:sz w:val="20"/>
                <w:szCs w:val="20"/>
                <w:color w:val="auto"/>
              </w:rPr>
            </w:pPr>
            <w:r>
              <w:rPr>
                <w:rFonts w:ascii="Arial" w:cs="Arial" w:eastAsia="Arial" w:hAnsi="Arial"/>
                <w:sz w:val="16"/>
                <w:szCs w:val="16"/>
                <w:color w:val="auto"/>
              </w:rPr>
              <w:t>Nominating/Corporate Governance Committee</w:t>
            </w:r>
          </w:p>
        </w:tc>
        <w:tc>
          <w:tcPr>
            <w:tcW w:w="3160" w:type="dxa"/>
            <w:vAlign w:val="bottom"/>
          </w:tcPr>
          <w:p>
            <w:pPr>
              <w:jc w:val="right"/>
              <w:spacing w:after="0"/>
              <w:rPr>
                <w:sz w:val="20"/>
                <w:szCs w:val="20"/>
                <w:color w:val="auto"/>
              </w:rPr>
            </w:pPr>
            <w:r>
              <w:rPr>
                <w:rFonts w:ascii="Arial" w:cs="Arial" w:eastAsia="Arial" w:hAnsi="Arial"/>
                <w:sz w:val="16"/>
                <w:szCs w:val="16"/>
                <w:color w:val="0E1020"/>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728980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246" w:right="359" w:bottom="1440" w:gutter="0" w:footer="0" w:header="0"/>
          <w:type w:val="continuous"/>
        </w:sectPr>
      </w:pPr>
    </w:p>
    <w:bookmarkStart w:id="6" w:name="page7"/>
    <w:bookmarkEnd w:id="6"/>
    <w:p>
      <w:pPr>
        <w:ind w:left="10120"/>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720" w:type="dxa"/>
            <w:vAlign w:val="bottom"/>
          </w:tcPr>
          <w:p>
            <w:pPr>
              <w:ind w:left="580"/>
              <w:spacing w:after="0"/>
              <w:rPr>
                <w:sz w:val="20"/>
                <w:szCs w:val="20"/>
                <w:color w:val="auto"/>
              </w:rPr>
            </w:pPr>
            <w:r>
              <w:rPr>
                <w:rFonts w:ascii="Arial" w:cs="Arial" w:eastAsia="Arial" w:hAnsi="Arial"/>
                <w:sz w:val="16"/>
                <w:szCs w:val="16"/>
                <w:b w:val="1"/>
                <w:bCs w:val="1"/>
                <w:color w:val="auto"/>
              </w:rPr>
              <w:t>Environmental, Social and Corporate Governance</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45</w:t>
            </w:r>
          </w:p>
        </w:tc>
      </w:tr>
      <w:tr>
        <w:trPr>
          <w:trHeight w:val="362"/>
        </w:trPr>
        <w:tc>
          <w:tcPr>
            <w:tcW w:w="8720" w:type="dxa"/>
            <w:vAlign w:val="bottom"/>
          </w:tcPr>
          <w:p>
            <w:pPr>
              <w:ind w:left="580"/>
              <w:spacing w:after="0"/>
              <w:rPr>
                <w:sz w:val="20"/>
                <w:szCs w:val="20"/>
                <w:color w:val="auto"/>
              </w:rPr>
            </w:pPr>
            <w:r>
              <w:rPr>
                <w:rFonts w:ascii="Arial" w:cs="Arial" w:eastAsia="Arial" w:hAnsi="Arial"/>
                <w:sz w:val="16"/>
                <w:szCs w:val="16"/>
                <w:b w:val="1"/>
                <w:bCs w:val="1"/>
                <w:color w:val="auto"/>
              </w:rPr>
              <w:t>Political Contributions and Lobbying</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48</w:t>
            </w:r>
          </w:p>
        </w:tc>
      </w:tr>
      <w:tr>
        <w:trPr>
          <w:trHeight w:val="128"/>
        </w:trPr>
        <w:tc>
          <w:tcPr>
            <w:tcW w:w="8720" w:type="dxa"/>
            <w:vAlign w:val="bottom"/>
            <w:tcBorders>
              <w:bottom w:val="single" w:sz="8" w:color="CFCFD2"/>
            </w:tcBorders>
          </w:tcPr>
          <w:p>
            <w:pPr>
              <w:spacing w:after="0"/>
              <w:rPr>
                <w:sz w:val="11"/>
                <w:szCs w:val="11"/>
                <w:color w:val="auto"/>
              </w:rPr>
            </w:pPr>
          </w:p>
        </w:tc>
        <w:tc>
          <w:tcPr>
            <w:tcW w:w="2520" w:type="dxa"/>
            <w:vAlign w:val="bottom"/>
            <w:tcBorders>
              <w:bottom w:val="single" w:sz="8" w:color="CFCFD2"/>
            </w:tcBorders>
          </w:tcPr>
          <w:p>
            <w:pPr>
              <w:spacing w:after="0"/>
              <w:rPr>
                <w:sz w:val="11"/>
                <w:szCs w:val="11"/>
                <w:color w:val="auto"/>
              </w:rPr>
            </w:pPr>
          </w:p>
        </w:tc>
      </w:tr>
      <w:tr>
        <w:trPr>
          <w:trHeight w:val="310"/>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E1020"/>
              </w:rPr>
              <w:t>AUDIT COMMITTEE REPORT</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49</w:t>
            </w:r>
          </w:p>
        </w:tc>
      </w:tr>
      <w:tr>
        <w:trPr>
          <w:trHeight w:val="140"/>
        </w:trPr>
        <w:tc>
          <w:tcPr>
            <w:tcW w:w="8720" w:type="dxa"/>
            <w:vAlign w:val="bottom"/>
            <w:tcBorders>
              <w:bottom w:val="single" w:sz="8" w:color="CFCFD2"/>
            </w:tcBorders>
          </w:tcPr>
          <w:p>
            <w:pPr>
              <w:spacing w:after="0"/>
              <w:rPr>
                <w:sz w:val="12"/>
                <w:szCs w:val="12"/>
                <w:color w:val="auto"/>
              </w:rPr>
            </w:pPr>
          </w:p>
        </w:tc>
        <w:tc>
          <w:tcPr>
            <w:tcW w:w="2520" w:type="dxa"/>
            <w:vAlign w:val="bottom"/>
            <w:tcBorders>
              <w:bottom w:val="single" w:sz="8" w:color="CFCFD2"/>
            </w:tcBorders>
          </w:tcPr>
          <w:p>
            <w:pPr>
              <w:spacing w:after="0"/>
              <w:rPr>
                <w:sz w:val="12"/>
                <w:szCs w:val="12"/>
                <w:color w:val="auto"/>
              </w:rPr>
            </w:pPr>
          </w:p>
        </w:tc>
      </w:tr>
      <w:tr>
        <w:trPr>
          <w:trHeight w:val="310"/>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E1020"/>
              </w:rPr>
              <w:t>DIRECTOR COMPENSATION</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50</w:t>
            </w:r>
          </w:p>
        </w:tc>
      </w:tr>
      <w:tr>
        <w:trPr>
          <w:trHeight w:val="140"/>
        </w:trPr>
        <w:tc>
          <w:tcPr>
            <w:tcW w:w="8720" w:type="dxa"/>
            <w:vAlign w:val="bottom"/>
            <w:tcBorders>
              <w:bottom w:val="single" w:sz="8" w:color="CFCFD2"/>
            </w:tcBorders>
          </w:tcPr>
          <w:p>
            <w:pPr>
              <w:spacing w:after="0"/>
              <w:rPr>
                <w:sz w:val="12"/>
                <w:szCs w:val="12"/>
                <w:color w:val="auto"/>
              </w:rPr>
            </w:pPr>
          </w:p>
        </w:tc>
        <w:tc>
          <w:tcPr>
            <w:tcW w:w="2520" w:type="dxa"/>
            <w:vAlign w:val="bottom"/>
            <w:tcBorders>
              <w:bottom w:val="single" w:sz="8" w:color="CFCFD2"/>
            </w:tcBorders>
          </w:tcPr>
          <w:p>
            <w:pPr>
              <w:spacing w:after="0"/>
              <w:rPr>
                <w:sz w:val="12"/>
                <w:szCs w:val="12"/>
                <w:color w:val="auto"/>
              </w:rPr>
            </w:pPr>
          </w:p>
        </w:tc>
      </w:tr>
      <w:tr>
        <w:trPr>
          <w:trHeight w:val="310"/>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E1020"/>
              </w:rPr>
              <w:t>SECURITY OWNERSHIP OF CERTAIN BENEFICIAL OWNERS AND MANAGEMENT</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53</w:t>
            </w:r>
          </w:p>
        </w:tc>
      </w:tr>
      <w:tr>
        <w:trPr>
          <w:trHeight w:val="374"/>
        </w:trPr>
        <w:tc>
          <w:tcPr>
            <w:tcW w:w="8720" w:type="dxa"/>
            <w:vAlign w:val="bottom"/>
          </w:tcPr>
          <w:p>
            <w:pPr>
              <w:ind w:left="580"/>
              <w:spacing w:after="0"/>
              <w:rPr>
                <w:sz w:val="20"/>
                <w:szCs w:val="20"/>
                <w:color w:val="auto"/>
              </w:rPr>
            </w:pPr>
            <w:r>
              <w:rPr>
                <w:rFonts w:ascii="Arial" w:cs="Arial" w:eastAsia="Arial" w:hAnsi="Arial"/>
                <w:sz w:val="16"/>
                <w:szCs w:val="16"/>
                <w:b w:val="1"/>
                <w:bCs w:val="1"/>
                <w:color w:val="auto"/>
              </w:rPr>
              <w:t>Security Ownership</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53</w:t>
            </w:r>
          </w:p>
        </w:tc>
      </w:tr>
      <w:tr>
        <w:trPr>
          <w:trHeight w:val="128"/>
        </w:trPr>
        <w:tc>
          <w:tcPr>
            <w:tcW w:w="8720" w:type="dxa"/>
            <w:vAlign w:val="bottom"/>
            <w:tcBorders>
              <w:bottom w:val="single" w:sz="8" w:color="CFCFD2"/>
            </w:tcBorders>
          </w:tcPr>
          <w:p>
            <w:pPr>
              <w:spacing w:after="0"/>
              <w:rPr>
                <w:sz w:val="11"/>
                <w:szCs w:val="11"/>
                <w:color w:val="auto"/>
              </w:rPr>
            </w:pPr>
          </w:p>
        </w:tc>
        <w:tc>
          <w:tcPr>
            <w:tcW w:w="2520" w:type="dxa"/>
            <w:vAlign w:val="bottom"/>
            <w:tcBorders>
              <w:bottom w:val="single" w:sz="8" w:color="CFCFD2"/>
            </w:tcBorders>
          </w:tcPr>
          <w:p>
            <w:pPr>
              <w:spacing w:after="0"/>
              <w:rPr>
                <w:sz w:val="11"/>
                <w:szCs w:val="11"/>
                <w:color w:val="auto"/>
              </w:rPr>
            </w:pPr>
          </w:p>
        </w:tc>
      </w:tr>
      <w:tr>
        <w:trPr>
          <w:trHeight w:val="310"/>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E1020"/>
              </w:rPr>
              <w:t>CERTAIN RELATIONSHIPS AND RELATED PARTY TRANSACTIONS</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55</w:t>
            </w:r>
          </w:p>
        </w:tc>
      </w:tr>
      <w:tr>
        <w:trPr>
          <w:trHeight w:val="374"/>
        </w:trPr>
        <w:tc>
          <w:tcPr>
            <w:tcW w:w="8720" w:type="dxa"/>
            <w:vAlign w:val="bottom"/>
          </w:tcPr>
          <w:p>
            <w:pPr>
              <w:ind w:left="580"/>
              <w:spacing w:after="0"/>
              <w:rPr>
                <w:sz w:val="20"/>
                <w:szCs w:val="20"/>
                <w:color w:val="auto"/>
              </w:rPr>
            </w:pPr>
            <w:r>
              <w:rPr>
                <w:rFonts w:ascii="Arial" w:cs="Arial" w:eastAsia="Arial" w:hAnsi="Arial"/>
                <w:sz w:val="16"/>
                <w:szCs w:val="16"/>
                <w:b w:val="1"/>
                <w:bCs w:val="1"/>
                <w:color w:val="auto"/>
              </w:rPr>
              <w:t>Related Party Transaction Policy</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55</w:t>
            </w:r>
          </w:p>
        </w:tc>
      </w:tr>
      <w:tr>
        <w:trPr>
          <w:trHeight w:val="362"/>
        </w:trPr>
        <w:tc>
          <w:tcPr>
            <w:tcW w:w="8720" w:type="dxa"/>
            <w:vAlign w:val="bottom"/>
          </w:tcPr>
          <w:p>
            <w:pPr>
              <w:ind w:left="580"/>
              <w:spacing w:after="0"/>
              <w:rPr>
                <w:sz w:val="20"/>
                <w:szCs w:val="20"/>
                <w:color w:val="auto"/>
              </w:rPr>
            </w:pPr>
            <w:r>
              <w:rPr>
                <w:rFonts w:ascii="Arial" w:cs="Arial" w:eastAsia="Arial" w:hAnsi="Arial"/>
                <w:sz w:val="16"/>
                <w:szCs w:val="16"/>
                <w:b w:val="1"/>
                <w:bCs w:val="1"/>
                <w:color w:val="auto"/>
              </w:rPr>
              <w:t>Fiscal 2026 Related Party Transactions</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55</w:t>
            </w:r>
          </w:p>
        </w:tc>
      </w:tr>
      <w:tr>
        <w:trPr>
          <w:trHeight w:val="128"/>
        </w:trPr>
        <w:tc>
          <w:tcPr>
            <w:tcW w:w="8720" w:type="dxa"/>
            <w:vAlign w:val="bottom"/>
            <w:tcBorders>
              <w:bottom w:val="single" w:sz="8" w:color="CFCFD2"/>
            </w:tcBorders>
          </w:tcPr>
          <w:p>
            <w:pPr>
              <w:spacing w:after="0"/>
              <w:rPr>
                <w:sz w:val="11"/>
                <w:szCs w:val="11"/>
                <w:color w:val="auto"/>
              </w:rPr>
            </w:pPr>
          </w:p>
        </w:tc>
        <w:tc>
          <w:tcPr>
            <w:tcW w:w="2520" w:type="dxa"/>
            <w:vAlign w:val="bottom"/>
            <w:tcBorders>
              <w:bottom w:val="single" w:sz="8" w:color="CFCFD2"/>
            </w:tcBorders>
          </w:tcPr>
          <w:p>
            <w:pPr>
              <w:spacing w:after="0"/>
              <w:rPr>
                <w:sz w:val="11"/>
                <w:szCs w:val="11"/>
                <w:color w:val="auto"/>
              </w:rPr>
            </w:pPr>
          </w:p>
        </w:tc>
      </w:tr>
      <w:tr>
        <w:trPr>
          <w:trHeight w:val="310"/>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E1020"/>
              </w:rPr>
              <w:t>EXECUTIVE COMPENSATION</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56</w:t>
            </w:r>
          </w:p>
        </w:tc>
      </w:tr>
      <w:tr>
        <w:trPr>
          <w:trHeight w:val="374"/>
        </w:trPr>
        <w:tc>
          <w:tcPr>
            <w:tcW w:w="8720" w:type="dxa"/>
            <w:vAlign w:val="bottom"/>
          </w:tcPr>
          <w:p>
            <w:pPr>
              <w:ind w:left="580"/>
              <w:spacing w:after="0"/>
              <w:rPr>
                <w:sz w:val="20"/>
                <w:szCs w:val="20"/>
                <w:color w:val="auto"/>
              </w:rPr>
            </w:pPr>
            <w:r>
              <w:rPr>
                <w:rFonts w:ascii="Arial" w:cs="Arial" w:eastAsia="Arial" w:hAnsi="Arial"/>
                <w:sz w:val="16"/>
                <w:szCs w:val="16"/>
                <w:b w:val="1"/>
                <w:bCs w:val="1"/>
                <w:color w:val="auto"/>
              </w:rPr>
              <w:t>DXC Letter from the Compensation Committee</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56</w:t>
            </w:r>
          </w:p>
        </w:tc>
      </w:tr>
      <w:tr>
        <w:trPr>
          <w:trHeight w:val="362"/>
        </w:trPr>
        <w:tc>
          <w:tcPr>
            <w:tcW w:w="8720" w:type="dxa"/>
            <w:vAlign w:val="bottom"/>
          </w:tcPr>
          <w:p>
            <w:pPr>
              <w:ind w:left="580"/>
              <w:spacing w:after="0"/>
              <w:rPr>
                <w:sz w:val="20"/>
                <w:szCs w:val="20"/>
                <w:color w:val="auto"/>
              </w:rPr>
            </w:pPr>
            <w:r>
              <w:rPr>
                <w:rFonts w:ascii="Arial" w:cs="Arial" w:eastAsia="Arial" w:hAnsi="Arial"/>
                <w:sz w:val="16"/>
                <w:szCs w:val="16"/>
                <w:b w:val="1"/>
                <w:bCs w:val="1"/>
                <w:color w:val="auto"/>
              </w:rPr>
              <w:t>Compensation Discussion and Analysis</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58</w:t>
            </w:r>
          </w:p>
        </w:tc>
      </w:tr>
      <w:tr>
        <w:trPr>
          <w:trHeight w:val="354"/>
        </w:trPr>
        <w:tc>
          <w:tcPr>
            <w:tcW w:w="8720" w:type="dxa"/>
            <w:vAlign w:val="bottom"/>
          </w:tcPr>
          <w:p>
            <w:pPr>
              <w:ind w:left="820"/>
              <w:spacing w:after="0"/>
              <w:rPr>
                <w:sz w:val="20"/>
                <w:szCs w:val="20"/>
                <w:color w:val="auto"/>
              </w:rPr>
            </w:pPr>
            <w:r>
              <w:rPr>
                <w:rFonts w:ascii="Arial" w:cs="Arial" w:eastAsia="Arial" w:hAnsi="Arial"/>
                <w:sz w:val="16"/>
                <w:szCs w:val="16"/>
                <w:color w:val="auto"/>
              </w:rPr>
              <w:t>Executive Summary</w:t>
            </w:r>
          </w:p>
        </w:tc>
        <w:tc>
          <w:tcPr>
            <w:tcW w:w="2520" w:type="dxa"/>
            <w:vAlign w:val="bottom"/>
          </w:tcPr>
          <w:p>
            <w:pPr>
              <w:jc w:val="right"/>
              <w:spacing w:after="0"/>
              <w:rPr>
                <w:sz w:val="20"/>
                <w:szCs w:val="20"/>
                <w:color w:val="auto"/>
              </w:rPr>
            </w:pPr>
            <w:r>
              <w:rPr>
                <w:rFonts w:ascii="Arial" w:cs="Arial" w:eastAsia="Arial" w:hAnsi="Arial"/>
                <w:sz w:val="16"/>
                <w:szCs w:val="16"/>
                <w:color w:val="0E1020"/>
              </w:rPr>
              <w:t>58</w:t>
            </w:r>
          </w:p>
        </w:tc>
      </w:tr>
      <w:tr>
        <w:trPr>
          <w:trHeight w:val="362"/>
        </w:trPr>
        <w:tc>
          <w:tcPr>
            <w:tcW w:w="8720" w:type="dxa"/>
            <w:vAlign w:val="bottom"/>
          </w:tcPr>
          <w:p>
            <w:pPr>
              <w:ind w:left="820"/>
              <w:spacing w:after="0"/>
              <w:rPr>
                <w:sz w:val="20"/>
                <w:szCs w:val="20"/>
                <w:color w:val="auto"/>
              </w:rPr>
            </w:pPr>
            <w:r>
              <w:rPr>
                <w:rFonts w:ascii="Arial" w:cs="Arial" w:eastAsia="Arial" w:hAnsi="Arial"/>
                <w:sz w:val="16"/>
                <w:szCs w:val="16"/>
                <w:color w:val="auto"/>
              </w:rPr>
              <w:t>2025 Say-on-Pay Vote and Stockholder Engagement</w:t>
            </w:r>
          </w:p>
        </w:tc>
        <w:tc>
          <w:tcPr>
            <w:tcW w:w="2520" w:type="dxa"/>
            <w:vAlign w:val="bottom"/>
          </w:tcPr>
          <w:p>
            <w:pPr>
              <w:jc w:val="right"/>
              <w:spacing w:after="0"/>
              <w:rPr>
                <w:sz w:val="20"/>
                <w:szCs w:val="20"/>
                <w:color w:val="auto"/>
              </w:rPr>
            </w:pPr>
            <w:r>
              <w:rPr>
                <w:rFonts w:ascii="Arial" w:cs="Arial" w:eastAsia="Arial" w:hAnsi="Arial"/>
                <w:sz w:val="16"/>
                <w:szCs w:val="16"/>
                <w:color w:val="0E1020"/>
              </w:rPr>
              <w:t>63</w:t>
            </w:r>
          </w:p>
        </w:tc>
      </w:tr>
      <w:tr>
        <w:trPr>
          <w:trHeight w:val="362"/>
        </w:trPr>
        <w:tc>
          <w:tcPr>
            <w:tcW w:w="8720" w:type="dxa"/>
            <w:vAlign w:val="bottom"/>
          </w:tcPr>
          <w:p>
            <w:pPr>
              <w:ind w:left="820"/>
              <w:spacing w:after="0"/>
              <w:rPr>
                <w:sz w:val="20"/>
                <w:szCs w:val="20"/>
                <w:color w:val="auto"/>
              </w:rPr>
            </w:pPr>
            <w:r>
              <w:rPr>
                <w:rFonts w:ascii="Arial" w:cs="Arial" w:eastAsia="Arial" w:hAnsi="Arial"/>
                <w:sz w:val="16"/>
                <w:szCs w:val="16"/>
                <w:color w:val="auto"/>
              </w:rPr>
              <w:t>Compensation Philosophy and Objectives</w:t>
            </w:r>
          </w:p>
        </w:tc>
        <w:tc>
          <w:tcPr>
            <w:tcW w:w="2520" w:type="dxa"/>
            <w:vAlign w:val="bottom"/>
          </w:tcPr>
          <w:p>
            <w:pPr>
              <w:jc w:val="right"/>
              <w:spacing w:after="0"/>
              <w:rPr>
                <w:sz w:val="20"/>
                <w:szCs w:val="20"/>
                <w:color w:val="auto"/>
              </w:rPr>
            </w:pPr>
            <w:r>
              <w:rPr>
                <w:rFonts w:ascii="Arial" w:cs="Arial" w:eastAsia="Arial" w:hAnsi="Arial"/>
                <w:sz w:val="16"/>
                <w:szCs w:val="16"/>
                <w:color w:val="0E1020"/>
              </w:rPr>
              <w:t>65</w:t>
            </w:r>
          </w:p>
        </w:tc>
      </w:tr>
      <w:tr>
        <w:trPr>
          <w:trHeight w:val="362"/>
        </w:trPr>
        <w:tc>
          <w:tcPr>
            <w:tcW w:w="8720" w:type="dxa"/>
            <w:vAlign w:val="bottom"/>
          </w:tcPr>
          <w:p>
            <w:pPr>
              <w:ind w:left="820"/>
              <w:spacing w:after="0"/>
              <w:rPr>
                <w:sz w:val="20"/>
                <w:szCs w:val="20"/>
                <w:color w:val="auto"/>
              </w:rPr>
            </w:pPr>
            <w:r>
              <w:rPr>
                <w:rFonts w:ascii="Arial" w:cs="Arial" w:eastAsia="Arial" w:hAnsi="Arial"/>
                <w:sz w:val="16"/>
                <w:szCs w:val="16"/>
                <w:color w:val="auto"/>
              </w:rPr>
              <w:t>Compensation Determination Process</w:t>
            </w:r>
          </w:p>
        </w:tc>
        <w:tc>
          <w:tcPr>
            <w:tcW w:w="2520" w:type="dxa"/>
            <w:vAlign w:val="bottom"/>
          </w:tcPr>
          <w:p>
            <w:pPr>
              <w:jc w:val="right"/>
              <w:spacing w:after="0"/>
              <w:rPr>
                <w:sz w:val="20"/>
                <w:szCs w:val="20"/>
                <w:color w:val="auto"/>
              </w:rPr>
            </w:pPr>
            <w:r>
              <w:rPr>
                <w:rFonts w:ascii="Arial" w:cs="Arial" w:eastAsia="Arial" w:hAnsi="Arial"/>
                <w:sz w:val="16"/>
                <w:szCs w:val="16"/>
                <w:color w:val="0E1020"/>
              </w:rPr>
              <w:t>65</w:t>
            </w:r>
          </w:p>
        </w:tc>
      </w:tr>
      <w:tr>
        <w:trPr>
          <w:trHeight w:val="362"/>
        </w:trPr>
        <w:tc>
          <w:tcPr>
            <w:tcW w:w="8720" w:type="dxa"/>
            <w:vAlign w:val="bottom"/>
          </w:tcPr>
          <w:p>
            <w:pPr>
              <w:ind w:left="820"/>
              <w:spacing w:after="0"/>
              <w:rPr>
                <w:sz w:val="20"/>
                <w:szCs w:val="20"/>
                <w:color w:val="auto"/>
              </w:rPr>
            </w:pPr>
            <w:r>
              <w:rPr>
                <w:rFonts w:ascii="Arial" w:cs="Arial" w:eastAsia="Arial" w:hAnsi="Arial"/>
                <w:sz w:val="16"/>
                <w:szCs w:val="16"/>
                <w:color w:val="auto"/>
              </w:rPr>
              <w:t>Components of Our Compensation Program</w:t>
            </w:r>
          </w:p>
        </w:tc>
        <w:tc>
          <w:tcPr>
            <w:tcW w:w="2520" w:type="dxa"/>
            <w:vAlign w:val="bottom"/>
          </w:tcPr>
          <w:p>
            <w:pPr>
              <w:jc w:val="right"/>
              <w:spacing w:after="0"/>
              <w:rPr>
                <w:sz w:val="20"/>
                <w:szCs w:val="20"/>
                <w:color w:val="auto"/>
              </w:rPr>
            </w:pPr>
            <w:r>
              <w:rPr>
                <w:rFonts w:ascii="Arial" w:cs="Arial" w:eastAsia="Arial" w:hAnsi="Arial"/>
                <w:sz w:val="16"/>
                <w:szCs w:val="16"/>
                <w:color w:val="0E1020"/>
              </w:rPr>
              <w:t>68</w:t>
            </w:r>
          </w:p>
        </w:tc>
      </w:tr>
      <w:tr>
        <w:trPr>
          <w:trHeight w:val="362"/>
        </w:trPr>
        <w:tc>
          <w:tcPr>
            <w:tcW w:w="8720" w:type="dxa"/>
            <w:vAlign w:val="bottom"/>
          </w:tcPr>
          <w:p>
            <w:pPr>
              <w:ind w:left="820"/>
              <w:spacing w:after="0"/>
              <w:rPr>
                <w:sz w:val="20"/>
                <w:szCs w:val="20"/>
                <w:color w:val="auto"/>
              </w:rPr>
            </w:pPr>
            <w:r>
              <w:rPr>
                <w:rFonts w:ascii="Arial" w:cs="Arial" w:eastAsia="Arial" w:hAnsi="Arial"/>
                <w:sz w:val="16"/>
                <w:szCs w:val="16"/>
                <w:color w:val="auto"/>
              </w:rPr>
              <w:t>Additional Compensation Policies and Practices</w:t>
            </w:r>
          </w:p>
        </w:tc>
        <w:tc>
          <w:tcPr>
            <w:tcW w:w="2520" w:type="dxa"/>
            <w:vAlign w:val="bottom"/>
          </w:tcPr>
          <w:p>
            <w:pPr>
              <w:jc w:val="right"/>
              <w:spacing w:after="0"/>
              <w:rPr>
                <w:sz w:val="20"/>
                <w:szCs w:val="20"/>
                <w:color w:val="auto"/>
              </w:rPr>
            </w:pPr>
            <w:r>
              <w:rPr>
                <w:rFonts w:ascii="Arial" w:cs="Arial" w:eastAsia="Arial" w:hAnsi="Arial"/>
                <w:sz w:val="16"/>
                <w:szCs w:val="16"/>
                <w:color w:val="0E1020"/>
              </w:rPr>
              <w:t>81</w:t>
            </w:r>
          </w:p>
        </w:tc>
      </w:tr>
      <w:tr>
        <w:trPr>
          <w:trHeight w:val="136"/>
        </w:trPr>
        <w:tc>
          <w:tcPr>
            <w:tcW w:w="8720" w:type="dxa"/>
            <w:vAlign w:val="bottom"/>
            <w:tcBorders>
              <w:bottom w:val="single" w:sz="8" w:color="CFCFD2"/>
            </w:tcBorders>
          </w:tcPr>
          <w:p>
            <w:pPr>
              <w:spacing w:after="0"/>
              <w:rPr>
                <w:sz w:val="11"/>
                <w:szCs w:val="11"/>
                <w:color w:val="auto"/>
              </w:rPr>
            </w:pPr>
          </w:p>
        </w:tc>
        <w:tc>
          <w:tcPr>
            <w:tcW w:w="2520" w:type="dxa"/>
            <w:vAlign w:val="bottom"/>
            <w:tcBorders>
              <w:bottom w:val="single" w:sz="8" w:color="CFCFD2"/>
            </w:tcBorders>
          </w:tcPr>
          <w:p>
            <w:pPr>
              <w:spacing w:after="0"/>
              <w:rPr>
                <w:sz w:val="11"/>
                <w:szCs w:val="11"/>
                <w:color w:val="auto"/>
              </w:rPr>
            </w:pPr>
          </w:p>
        </w:tc>
      </w:tr>
      <w:tr>
        <w:trPr>
          <w:trHeight w:val="310"/>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E1020"/>
              </w:rPr>
              <w:t>EXECUTIVE COMPENSATION TABLES</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84</w:t>
            </w:r>
          </w:p>
        </w:tc>
      </w:tr>
      <w:tr>
        <w:trPr>
          <w:trHeight w:val="374"/>
        </w:trPr>
        <w:tc>
          <w:tcPr>
            <w:tcW w:w="8720" w:type="dxa"/>
            <w:vAlign w:val="bottom"/>
          </w:tcPr>
          <w:p>
            <w:pPr>
              <w:ind w:left="580"/>
              <w:spacing w:after="0"/>
              <w:rPr>
                <w:sz w:val="20"/>
                <w:szCs w:val="20"/>
                <w:color w:val="auto"/>
              </w:rPr>
            </w:pPr>
            <w:r>
              <w:rPr>
                <w:rFonts w:ascii="Arial" w:cs="Arial" w:eastAsia="Arial" w:hAnsi="Arial"/>
                <w:sz w:val="16"/>
                <w:szCs w:val="16"/>
                <w:b w:val="1"/>
                <w:bCs w:val="1"/>
                <w:color w:val="0E1020"/>
              </w:rPr>
              <w:t>Summary Compensation Table</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84</w:t>
            </w:r>
          </w:p>
        </w:tc>
      </w:tr>
      <w:tr>
        <w:trPr>
          <w:trHeight w:val="362"/>
        </w:trPr>
        <w:tc>
          <w:tcPr>
            <w:tcW w:w="8720" w:type="dxa"/>
            <w:vAlign w:val="bottom"/>
          </w:tcPr>
          <w:p>
            <w:pPr>
              <w:ind w:left="580"/>
              <w:spacing w:after="0"/>
              <w:rPr>
                <w:sz w:val="20"/>
                <w:szCs w:val="20"/>
                <w:color w:val="auto"/>
              </w:rPr>
            </w:pPr>
            <w:r>
              <w:rPr>
                <w:rFonts w:ascii="Arial" w:cs="Arial" w:eastAsia="Arial" w:hAnsi="Arial"/>
                <w:sz w:val="16"/>
                <w:szCs w:val="16"/>
                <w:b w:val="1"/>
                <w:bCs w:val="1"/>
                <w:color w:val="0E1020"/>
              </w:rPr>
              <w:t>Grants of Plan-Based Awards</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87</w:t>
            </w:r>
          </w:p>
        </w:tc>
      </w:tr>
      <w:tr>
        <w:trPr>
          <w:trHeight w:val="362"/>
        </w:trPr>
        <w:tc>
          <w:tcPr>
            <w:tcW w:w="8720" w:type="dxa"/>
            <w:vAlign w:val="bottom"/>
          </w:tcPr>
          <w:p>
            <w:pPr>
              <w:ind w:left="580"/>
              <w:spacing w:after="0"/>
              <w:rPr>
                <w:sz w:val="20"/>
                <w:szCs w:val="20"/>
                <w:color w:val="auto"/>
              </w:rPr>
            </w:pPr>
            <w:r>
              <w:rPr>
                <w:rFonts w:ascii="Arial" w:cs="Arial" w:eastAsia="Arial" w:hAnsi="Arial"/>
                <w:sz w:val="16"/>
                <w:szCs w:val="16"/>
                <w:b w:val="1"/>
                <w:bCs w:val="1"/>
                <w:color w:val="0E1020"/>
              </w:rPr>
              <w:t>Outstanding Equity Awards at Fiscal Year-End March 31, 2026</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89</w:t>
            </w:r>
          </w:p>
        </w:tc>
      </w:tr>
      <w:tr>
        <w:trPr>
          <w:trHeight w:val="362"/>
        </w:trPr>
        <w:tc>
          <w:tcPr>
            <w:tcW w:w="8720" w:type="dxa"/>
            <w:vAlign w:val="bottom"/>
          </w:tcPr>
          <w:p>
            <w:pPr>
              <w:ind w:left="580"/>
              <w:spacing w:after="0"/>
              <w:rPr>
                <w:sz w:val="20"/>
                <w:szCs w:val="20"/>
                <w:color w:val="auto"/>
              </w:rPr>
            </w:pPr>
            <w:r>
              <w:rPr>
                <w:rFonts w:ascii="Arial" w:cs="Arial" w:eastAsia="Arial" w:hAnsi="Arial"/>
                <w:sz w:val="16"/>
                <w:szCs w:val="16"/>
                <w:b w:val="1"/>
                <w:bCs w:val="1"/>
                <w:color w:val="0E1020"/>
              </w:rPr>
              <w:t>Option Exercises and Stock Vested</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90</w:t>
            </w:r>
          </w:p>
        </w:tc>
      </w:tr>
      <w:tr>
        <w:trPr>
          <w:trHeight w:val="362"/>
        </w:trPr>
        <w:tc>
          <w:tcPr>
            <w:tcW w:w="8720" w:type="dxa"/>
            <w:vAlign w:val="bottom"/>
          </w:tcPr>
          <w:p>
            <w:pPr>
              <w:ind w:left="580"/>
              <w:spacing w:after="0"/>
              <w:rPr>
                <w:sz w:val="20"/>
                <w:szCs w:val="20"/>
                <w:color w:val="auto"/>
              </w:rPr>
            </w:pPr>
            <w:r>
              <w:rPr>
                <w:rFonts w:ascii="Arial" w:cs="Arial" w:eastAsia="Arial" w:hAnsi="Arial"/>
                <w:sz w:val="16"/>
                <w:szCs w:val="16"/>
                <w:b w:val="1"/>
                <w:bCs w:val="1"/>
                <w:color w:val="0E1020"/>
              </w:rPr>
              <w:t>Pension Benefits</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90</w:t>
            </w:r>
          </w:p>
        </w:tc>
      </w:tr>
      <w:tr>
        <w:trPr>
          <w:trHeight w:val="362"/>
        </w:trPr>
        <w:tc>
          <w:tcPr>
            <w:tcW w:w="8720" w:type="dxa"/>
            <w:vAlign w:val="bottom"/>
          </w:tcPr>
          <w:p>
            <w:pPr>
              <w:ind w:left="580"/>
              <w:spacing w:after="0"/>
              <w:rPr>
                <w:sz w:val="20"/>
                <w:szCs w:val="20"/>
                <w:color w:val="auto"/>
              </w:rPr>
            </w:pPr>
            <w:r>
              <w:rPr>
                <w:rFonts w:ascii="Arial" w:cs="Arial" w:eastAsia="Arial" w:hAnsi="Arial"/>
                <w:sz w:val="16"/>
                <w:szCs w:val="16"/>
                <w:b w:val="1"/>
                <w:bCs w:val="1"/>
                <w:color w:val="0E1020"/>
              </w:rPr>
              <w:t>Fiscal 2026 Nonqualified Deferred Compensation</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91</w:t>
            </w:r>
          </w:p>
        </w:tc>
      </w:tr>
      <w:tr>
        <w:trPr>
          <w:trHeight w:val="362"/>
        </w:trPr>
        <w:tc>
          <w:tcPr>
            <w:tcW w:w="8720" w:type="dxa"/>
            <w:vAlign w:val="bottom"/>
          </w:tcPr>
          <w:p>
            <w:pPr>
              <w:ind w:left="580"/>
              <w:spacing w:after="0"/>
              <w:rPr>
                <w:sz w:val="20"/>
                <w:szCs w:val="20"/>
                <w:color w:val="auto"/>
              </w:rPr>
            </w:pPr>
            <w:r>
              <w:rPr>
                <w:rFonts w:ascii="Arial" w:cs="Arial" w:eastAsia="Arial" w:hAnsi="Arial"/>
                <w:sz w:val="16"/>
                <w:szCs w:val="16"/>
                <w:b w:val="1"/>
                <w:bCs w:val="1"/>
                <w:color w:val="0E1020"/>
              </w:rPr>
              <w:t>Potential Payments Upon Change of Control and Termination of Employment</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91</w:t>
            </w:r>
          </w:p>
        </w:tc>
      </w:tr>
      <w:tr>
        <w:trPr>
          <w:trHeight w:val="362"/>
        </w:trPr>
        <w:tc>
          <w:tcPr>
            <w:tcW w:w="8720" w:type="dxa"/>
            <w:vAlign w:val="bottom"/>
          </w:tcPr>
          <w:p>
            <w:pPr>
              <w:ind w:left="580"/>
              <w:spacing w:after="0"/>
              <w:rPr>
                <w:sz w:val="20"/>
                <w:szCs w:val="20"/>
                <w:color w:val="auto"/>
              </w:rPr>
            </w:pPr>
            <w:r>
              <w:rPr>
                <w:rFonts w:ascii="Arial" w:cs="Arial" w:eastAsia="Arial" w:hAnsi="Arial"/>
                <w:sz w:val="16"/>
                <w:szCs w:val="16"/>
                <w:b w:val="1"/>
                <w:bCs w:val="1"/>
                <w:color w:val="auto"/>
              </w:rPr>
              <w:t>Fiscal 2026 CEO Pay Ratio</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97</w:t>
            </w:r>
          </w:p>
        </w:tc>
      </w:tr>
      <w:tr>
        <w:trPr>
          <w:trHeight w:val="362"/>
        </w:trPr>
        <w:tc>
          <w:tcPr>
            <w:tcW w:w="8720" w:type="dxa"/>
            <w:vAlign w:val="bottom"/>
          </w:tcPr>
          <w:p>
            <w:pPr>
              <w:ind w:left="580"/>
              <w:spacing w:after="0"/>
              <w:rPr>
                <w:sz w:val="20"/>
                <w:szCs w:val="20"/>
                <w:color w:val="auto"/>
              </w:rPr>
            </w:pPr>
            <w:r>
              <w:rPr>
                <w:rFonts w:ascii="Arial" w:cs="Arial" w:eastAsia="Arial" w:hAnsi="Arial"/>
                <w:sz w:val="16"/>
                <w:szCs w:val="16"/>
                <w:b w:val="1"/>
                <w:bCs w:val="1"/>
                <w:color w:val="auto"/>
              </w:rPr>
              <w:t>Pay versus Performance Disclosure</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98</w:t>
            </w:r>
          </w:p>
        </w:tc>
      </w:tr>
      <w:tr>
        <w:trPr>
          <w:trHeight w:val="128"/>
        </w:trPr>
        <w:tc>
          <w:tcPr>
            <w:tcW w:w="8720" w:type="dxa"/>
            <w:vAlign w:val="bottom"/>
            <w:tcBorders>
              <w:bottom w:val="single" w:sz="8" w:color="CFCFD2"/>
            </w:tcBorders>
          </w:tcPr>
          <w:p>
            <w:pPr>
              <w:spacing w:after="0"/>
              <w:rPr>
                <w:sz w:val="11"/>
                <w:szCs w:val="11"/>
                <w:color w:val="auto"/>
              </w:rPr>
            </w:pPr>
          </w:p>
        </w:tc>
        <w:tc>
          <w:tcPr>
            <w:tcW w:w="2520" w:type="dxa"/>
            <w:vAlign w:val="bottom"/>
            <w:tcBorders>
              <w:bottom w:val="single" w:sz="8" w:color="CFCFD2"/>
            </w:tcBorders>
          </w:tcPr>
          <w:p>
            <w:pPr>
              <w:spacing w:after="0"/>
              <w:rPr>
                <w:sz w:val="11"/>
                <w:szCs w:val="11"/>
                <w:color w:val="auto"/>
              </w:rPr>
            </w:pPr>
          </w:p>
        </w:tc>
      </w:tr>
      <w:tr>
        <w:trPr>
          <w:trHeight w:val="310"/>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E1020"/>
              </w:rPr>
              <w:t>ABOUT THE ANNUAL MEETING</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104</w:t>
            </w:r>
          </w:p>
        </w:tc>
      </w:tr>
      <w:tr>
        <w:trPr>
          <w:trHeight w:val="374"/>
        </w:trPr>
        <w:tc>
          <w:tcPr>
            <w:tcW w:w="8720" w:type="dxa"/>
            <w:vAlign w:val="bottom"/>
          </w:tcPr>
          <w:p>
            <w:pPr>
              <w:ind w:left="580"/>
              <w:spacing w:after="0"/>
              <w:rPr>
                <w:sz w:val="20"/>
                <w:szCs w:val="20"/>
                <w:color w:val="auto"/>
              </w:rPr>
            </w:pPr>
            <w:r>
              <w:rPr>
                <w:rFonts w:ascii="Arial" w:cs="Arial" w:eastAsia="Arial" w:hAnsi="Arial"/>
                <w:sz w:val="16"/>
                <w:szCs w:val="16"/>
                <w:b w:val="1"/>
                <w:bCs w:val="1"/>
                <w:color w:val="auto"/>
              </w:rPr>
              <w:t>Questions and Answers about the Annual Meeting and Voting</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104</w:t>
            </w:r>
          </w:p>
        </w:tc>
      </w:tr>
      <w:tr>
        <w:trPr>
          <w:trHeight w:val="128"/>
        </w:trPr>
        <w:tc>
          <w:tcPr>
            <w:tcW w:w="8720" w:type="dxa"/>
            <w:vAlign w:val="bottom"/>
            <w:tcBorders>
              <w:bottom w:val="single" w:sz="8" w:color="CFCFD2"/>
            </w:tcBorders>
          </w:tcPr>
          <w:p>
            <w:pPr>
              <w:spacing w:after="0"/>
              <w:rPr>
                <w:sz w:val="11"/>
                <w:szCs w:val="11"/>
                <w:color w:val="auto"/>
              </w:rPr>
            </w:pPr>
          </w:p>
        </w:tc>
        <w:tc>
          <w:tcPr>
            <w:tcW w:w="2520" w:type="dxa"/>
            <w:vAlign w:val="bottom"/>
            <w:tcBorders>
              <w:bottom w:val="single" w:sz="8" w:color="CFCFD2"/>
            </w:tcBorders>
          </w:tcPr>
          <w:p>
            <w:pPr>
              <w:spacing w:after="0"/>
              <w:rPr>
                <w:sz w:val="11"/>
                <w:szCs w:val="11"/>
                <w:color w:val="auto"/>
              </w:rPr>
            </w:pPr>
          </w:p>
        </w:tc>
      </w:tr>
      <w:tr>
        <w:trPr>
          <w:trHeight w:val="310"/>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E1020"/>
              </w:rPr>
              <w:t>ADDITIONAL INFORMATION</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111</w:t>
            </w:r>
          </w:p>
        </w:tc>
      </w:tr>
      <w:tr>
        <w:trPr>
          <w:trHeight w:val="374"/>
        </w:trPr>
        <w:tc>
          <w:tcPr>
            <w:tcW w:w="8720" w:type="dxa"/>
            <w:vAlign w:val="bottom"/>
          </w:tcPr>
          <w:p>
            <w:pPr>
              <w:ind w:left="580"/>
              <w:spacing w:after="0"/>
              <w:rPr>
                <w:sz w:val="20"/>
                <w:szCs w:val="20"/>
                <w:color w:val="auto"/>
              </w:rPr>
            </w:pPr>
            <w:r>
              <w:rPr>
                <w:rFonts w:ascii="Arial" w:cs="Arial" w:eastAsia="Arial" w:hAnsi="Arial"/>
                <w:sz w:val="16"/>
                <w:szCs w:val="16"/>
                <w:b w:val="1"/>
                <w:bCs w:val="1"/>
                <w:color w:val="0E1020"/>
              </w:rPr>
              <w:t>Business for 2027 Annual Meeting</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111</w:t>
            </w:r>
          </w:p>
        </w:tc>
      </w:tr>
      <w:tr>
        <w:trPr>
          <w:trHeight w:val="362"/>
        </w:trPr>
        <w:tc>
          <w:tcPr>
            <w:tcW w:w="8720" w:type="dxa"/>
            <w:vAlign w:val="bottom"/>
          </w:tcPr>
          <w:p>
            <w:pPr>
              <w:ind w:left="580"/>
              <w:spacing w:after="0"/>
              <w:rPr>
                <w:sz w:val="20"/>
                <w:szCs w:val="20"/>
                <w:color w:val="auto"/>
              </w:rPr>
            </w:pPr>
            <w:r>
              <w:rPr>
                <w:rFonts w:ascii="Arial" w:cs="Arial" w:eastAsia="Arial" w:hAnsi="Arial"/>
                <w:sz w:val="16"/>
                <w:szCs w:val="16"/>
                <w:b w:val="1"/>
                <w:bCs w:val="1"/>
                <w:color w:val="0E1020"/>
              </w:rPr>
              <w:t>Cautionary Statement Regarding Forward-Looking Statements</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112</w:t>
            </w:r>
          </w:p>
        </w:tc>
      </w:tr>
      <w:tr>
        <w:trPr>
          <w:trHeight w:val="128"/>
        </w:trPr>
        <w:tc>
          <w:tcPr>
            <w:tcW w:w="8720" w:type="dxa"/>
            <w:vAlign w:val="bottom"/>
            <w:tcBorders>
              <w:bottom w:val="single" w:sz="8" w:color="CFCFD2"/>
            </w:tcBorders>
          </w:tcPr>
          <w:p>
            <w:pPr>
              <w:spacing w:after="0"/>
              <w:rPr>
                <w:sz w:val="11"/>
                <w:szCs w:val="11"/>
                <w:color w:val="auto"/>
              </w:rPr>
            </w:pPr>
          </w:p>
        </w:tc>
        <w:tc>
          <w:tcPr>
            <w:tcW w:w="2520" w:type="dxa"/>
            <w:vAlign w:val="bottom"/>
            <w:tcBorders>
              <w:bottom w:val="single" w:sz="8" w:color="CFCFD2"/>
            </w:tcBorders>
          </w:tcPr>
          <w:p>
            <w:pPr>
              <w:spacing w:after="0"/>
              <w:rPr>
                <w:sz w:val="11"/>
                <w:szCs w:val="11"/>
                <w:color w:val="auto"/>
              </w:rPr>
            </w:pPr>
          </w:p>
        </w:tc>
      </w:tr>
      <w:tr>
        <w:trPr>
          <w:trHeight w:val="310"/>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E1020"/>
              </w:rPr>
              <w:t>APPENDIX A: NON-GAAP FINANCIAL MEASURES</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0E1020"/>
              </w:rPr>
              <w:t>A-1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88900</wp:posOffset>
            </wp:positionV>
            <wp:extent cx="71335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224" w:right="339" w:bottom="0" w:gutter="0" w:footer="0" w:header="0"/>
        </w:sectPr>
      </w:pPr>
    </w:p>
    <w:p>
      <w:pPr>
        <w:spacing w:after="0" w:line="218" w:lineRule="exact"/>
        <w:rPr>
          <w:sz w:val="20"/>
          <w:szCs w:val="20"/>
          <w:color w:val="auto"/>
        </w:rPr>
      </w:pPr>
    </w:p>
    <w:p>
      <w:pPr>
        <w:ind w:left="20" w:right="320"/>
        <w:spacing w:after="0" w:line="315" w:lineRule="auto"/>
        <w:rPr>
          <w:sz w:val="20"/>
          <w:szCs w:val="20"/>
          <w:color w:val="auto"/>
        </w:rPr>
      </w:pPr>
      <w:r>
        <w:rPr>
          <w:rFonts w:ascii="Times New Roman" w:cs="Times New Roman" w:eastAsia="Times New Roman" w:hAnsi="Times New Roman"/>
          <w:sz w:val="16"/>
          <w:szCs w:val="16"/>
          <w:b w:val="1"/>
          <w:bCs w:val="1"/>
          <w:color w:val="0E1020"/>
        </w:rPr>
        <w:t>APPENDIX B: RESOLUTION ADOPTING AMENDMENTS TO THE AMENDED AND RESTATED DXC TECHNOLOGY COMPANY 2017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35560</wp:posOffset>
            </wp:positionV>
            <wp:extent cx="71335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14" w:lineRule="exact"/>
        <w:rPr>
          <w:sz w:val="20"/>
          <w:szCs w:val="20"/>
          <w:color w:val="auto"/>
        </w:rPr>
      </w:pPr>
    </w:p>
    <w:p>
      <w:pPr>
        <w:ind w:left="20" w:right="320"/>
        <w:spacing w:after="0" w:line="315" w:lineRule="auto"/>
        <w:rPr>
          <w:sz w:val="20"/>
          <w:szCs w:val="20"/>
          <w:color w:val="auto"/>
        </w:rPr>
      </w:pPr>
      <w:r>
        <w:rPr>
          <w:rFonts w:ascii="Times New Roman" w:cs="Times New Roman" w:eastAsia="Times New Roman" w:hAnsi="Times New Roman"/>
          <w:sz w:val="16"/>
          <w:szCs w:val="16"/>
          <w:b w:val="1"/>
          <w:bCs w:val="1"/>
          <w:color w:val="0E1020"/>
        </w:rPr>
        <w:t>APPENDIX C: RESOLUTION ADOPTING AMENDMENTS TO THE AMENDED AND RESTATED DXC TECHNOLOGY COMPANY 2017 NON-EMPLOYEE DIRECTOR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35560</wp:posOffset>
            </wp:positionV>
            <wp:extent cx="71335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0E1020"/>
        </w:rPr>
        <w:t>B-1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0E1020"/>
        </w:rPr>
        <w:t>C-1</w:t>
      </w:r>
    </w:p>
    <w:p>
      <w:pPr>
        <w:sectPr>
          <w:pgSz w:w="11900" w:h="16838" w:orient="portrait"/>
          <w:cols w:equalWidth="0" w:num="2">
            <w:col w:w="10240" w:space="720"/>
            <w:col w:w="280"/>
          </w:cols>
          <w:pgMar w:left="320" w:top="224" w:right="339" w:bottom="0" w:gutter="0" w:footer="0" w:header="0"/>
          <w:type w:val="continuous"/>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561340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ind w:left="2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6166485</wp:posOffset>
            </wp:positionH>
            <wp:positionV relativeFrom="page">
              <wp:posOffset>106045</wp:posOffset>
            </wp:positionV>
            <wp:extent cx="1166495" cy="3232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232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39"/>
          <w:szCs w:val="39"/>
          <w:b w:val="1"/>
          <w:bCs w:val="1"/>
          <w:color w:val="0E1020"/>
        </w:rPr>
        <w:t>PROXY SUMMARY</w:t>
      </w:r>
    </w:p>
    <w:p>
      <w:pPr>
        <w:spacing w:after="0" w:line="200" w:lineRule="exact"/>
        <w:rPr>
          <w:sz w:val="20"/>
          <w:szCs w:val="20"/>
          <w:color w:val="auto"/>
        </w:rPr>
      </w:pPr>
    </w:p>
    <w:p>
      <w:pPr>
        <w:spacing w:after="0" w:line="303" w:lineRule="exact"/>
        <w:rPr>
          <w:sz w:val="20"/>
          <w:szCs w:val="20"/>
          <w:color w:val="auto"/>
        </w:rPr>
      </w:pPr>
    </w:p>
    <w:p>
      <w:pPr>
        <w:ind w:right="100"/>
        <w:spacing w:after="0" w:line="335" w:lineRule="auto"/>
        <w:rPr>
          <w:sz w:val="20"/>
          <w:szCs w:val="20"/>
          <w:color w:val="auto"/>
        </w:rPr>
      </w:pPr>
      <w:r>
        <w:rPr>
          <w:rFonts w:ascii="Arial" w:cs="Arial" w:eastAsia="Arial" w:hAnsi="Arial"/>
          <w:sz w:val="16"/>
          <w:szCs w:val="16"/>
          <w:color w:val="0E1020"/>
        </w:rPr>
        <w:t>This summary highlights information contained elsewhere in this Proxy Statement. This summary does not contain all of the information you should consider, and you should read the entire Proxy Statement carefully before voting.</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Annual Meeting of Stockholders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20" w:type="dxa"/>
            <w:vAlign w:val="bottom"/>
            <w:shd w:val="clear" w:color="auto" w:fill="F6F3F0"/>
          </w:tcPr>
          <w:p>
            <w:pPr>
              <w:spacing w:after="0"/>
              <w:rPr>
                <w:sz w:val="23"/>
                <w:szCs w:val="23"/>
                <w:color w:val="auto"/>
              </w:rPr>
            </w:pPr>
          </w:p>
        </w:tc>
        <w:tc>
          <w:tcPr>
            <w:tcW w:w="2300" w:type="dxa"/>
            <w:vAlign w:val="bottom"/>
            <w:vMerge w:val="restart"/>
            <w:shd w:val="clear" w:color="auto" w:fill="F6F3F0"/>
          </w:tcPr>
          <w:p>
            <w:pPr>
              <w:ind w:left="20"/>
              <w:spacing w:after="0"/>
              <w:rPr>
                <w:sz w:val="20"/>
                <w:szCs w:val="20"/>
                <w:color w:val="auto"/>
              </w:rPr>
            </w:pPr>
            <w:r>
              <w:rPr>
                <w:rFonts w:ascii="Times New Roman" w:cs="Times New Roman" w:eastAsia="Times New Roman" w:hAnsi="Times New Roman"/>
                <w:sz w:val="16"/>
                <w:szCs w:val="16"/>
                <w:b w:val="1"/>
                <w:bCs w:val="1"/>
                <w:color w:val="0E1020"/>
              </w:rPr>
              <w:t>DATE</w:t>
            </w:r>
          </w:p>
        </w:tc>
        <w:tc>
          <w:tcPr>
            <w:tcW w:w="260" w:type="dxa"/>
            <w:vAlign w:val="bottom"/>
            <w:tcBorders>
              <w:right w:val="single" w:sz="8" w:color="F6F3F0"/>
            </w:tcBorders>
            <w:shd w:val="clear" w:color="auto" w:fill="F6F3F0"/>
          </w:tcPr>
          <w:p>
            <w:pPr>
              <w:spacing w:after="0"/>
              <w:rPr>
                <w:sz w:val="23"/>
                <w:szCs w:val="23"/>
                <w:color w:val="auto"/>
              </w:rPr>
            </w:pPr>
          </w:p>
        </w:tc>
        <w:tc>
          <w:tcPr>
            <w:tcW w:w="2780" w:type="dxa"/>
            <w:vAlign w:val="bottom"/>
            <w:vMerge w:val="restart"/>
            <w:shd w:val="clear" w:color="auto" w:fill="F6F3F0"/>
          </w:tcPr>
          <w:p>
            <w:pPr>
              <w:ind w:left="240"/>
              <w:spacing w:after="0"/>
              <w:rPr>
                <w:sz w:val="20"/>
                <w:szCs w:val="20"/>
                <w:color w:val="auto"/>
              </w:rPr>
            </w:pPr>
            <w:r>
              <w:rPr>
                <w:rFonts w:ascii="Times New Roman" w:cs="Times New Roman" w:eastAsia="Times New Roman" w:hAnsi="Times New Roman"/>
                <w:sz w:val="16"/>
                <w:szCs w:val="16"/>
                <w:b w:val="1"/>
                <w:bCs w:val="1"/>
                <w:color w:val="0E1020"/>
              </w:rPr>
              <w:t>TIME</w:t>
            </w:r>
          </w:p>
        </w:tc>
        <w:tc>
          <w:tcPr>
            <w:tcW w:w="20" w:type="dxa"/>
            <w:vAlign w:val="bottom"/>
            <w:shd w:val="clear" w:color="auto" w:fill="F6F3F0"/>
          </w:tcPr>
          <w:p>
            <w:pPr>
              <w:spacing w:after="0"/>
              <w:rPr>
                <w:sz w:val="23"/>
                <w:szCs w:val="23"/>
                <w:color w:val="auto"/>
              </w:rPr>
            </w:pPr>
          </w:p>
        </w:tc>
        <w:tc>
          <w:tcPr>
            <w:tcW w:w="2320" w:type="dxa"/>
            <w:vAlign w:val="bottom"/>
            <w:vMerge w:val="restart"/>
            <w:shd w:val="clear" w:color="auto" w:fill="F6F3F0"/>
          </w:tcPr>
          <w:p>
            <w:pPr>
              <w:ind w:left="240"/>
              <w:spacing w:after="0"/>
              <w:rPr>
                <w:sz w:val="20"/>
                <w:szCs w:val="20"/>
                <w:color w:val="auto"/>
              </w:rPr>
            </w:pPr>
            <w:r>
              <w:rPr>
                <w:rFonts w:ascii="Times New Roman" w:cs="Times New Roman" w:eastAsia="Times New Roman" w:hAnsi="Times New Roman"/>
                <w:sz w:val="16"/>
                <w:szCs w:val="16"/>
                <w:b w:val="1"/>
                <w:bCs w:val="1"/>
                <w:color w:val="0E1020"/>
              </w:rPr>
              <w:t>PLACE</w:t>
            </w:r>
          </w:p>
        </w:tc>
        <w:tc>
          <w:tcPr>
            <w:tcW w:w="520" w:type="dxa"/>
            <w:vAlign w:val="bottom"/>
            <w:tcBorders>
              <w:right w:val="single" w:sz="8" w:color="F6F3F0"/>
            </w:tcBorders>
            <w:shd w:val="clear" w:color="auto" w:fill="F6F3F0"/>
          </w:tcPr>
          <w:p>
            <w:pPr>
              <w:spacing w:after="0"/>
              <w:rPr>
                <w:sz w:val="23"/>
                <w:szCs w:val="23"/>
                <w:color w:val="auto"/>
              </w:rPr>
            </w:pPr>
          </w:p>
        </w:tc>
        <w:tc>
          <w:tcPr>
            <w:tcW w:w="2080" w:type="dxa"/>
            <w:vAlign w:val="bottom"/>
            <w:shd w:val="clear" w:color="auto" w:fill="F6F3F0"/>
          </w:tcPr>
          <w:p>
            <w:pPr>
              <w:spacing w:after="0"/>
              <w:rPr>
                <w:sz w:val="23"/>
                <w:szCs w:val="23"/>
                <w:color w:val="auto"/>
              </w:rPr>
            </w:pPr>
          </w:p>
        </w:tc>
        <w:tc>
          <w:tcPr>
            <w:tcW w:w="500" w:type="dxa"/>
            <w:vAlign w:val="bottom"/>
            <w:shd w:val="clear" w:color="auto" w:fill="F6F3F0"/>
          </w:tcPr>
          <w:p>
            <w:pPr>
              <w:spacing w:after="0"/>
              <w:rPr>
                <w:sz w:val="23"/>
                <w:szCs w:val="23"/>
                <w:color w:val="auto"/>
              </w:rPr>
            </w:pPr>
          </w:p>
        </w:tc>
        <w:tc>
          <w:tcPr>
            <w:tcW w:w="240" w:type="dxa"/>
            <w:vAlign w:val="bottom"/>
            <w:shd w:val="clear" w:color="auto" w:fill="F6F3F0"/>
          </w:tcPr>
          <w:p>
            <w:pPr>
              <w:spacing w:after="0"/>
              <w:rPr>
                <w:sz w:val="23"/>
                <w:szCs w:val="23"/>
                <w:color w:val="auto"/>
              </w:rPr>
            </w:pPr>
          </w:p>
        </w:tc>
        <w:tc>
          <w:tcPr>
            <w:tcW w:w="0" w:type="dxa"/>
            <w:vAlign w:val="bottom"/>
          </w:tcPr>
          <w:p>
            <w:pPr>
              <w:spacing w:after="0"/>
              <w:rPr>
                <w:sz w:val="1"/>
                <w:szCs w:val="1"/>
                <w:color w:val="auto"/>
              </w:rPr>
            </w:pPr>
          </w:p>
        </w:tc>
      </w:tr>
      <w:tr>
        <w:trPr>
          <w:trHeight w:val="732"/>
        </w:trPr>
        <w:tc>
          <w:tcPr>
            <w:tcW w:w="220" w:type="dxa"/>
            <w:vAlign w:val="bottom"/>
            <w:shd w:val="clear" w:color="auto" w:fill="F6F3F0"/>
          </w:tcPr>
          <w:p>
            <w:pPr>
              <w:spacing w:after="0"/>
              <w:rPr>
                <w:sz w:val="24"/>
                <w:szCs w:val="24"/>
                <w:color w:val="auto"/>
              </w:rPr>
            </w:pPr>
          </w:p>
        </w:tc>
        <w:tc>
          <w:tcPr>
            <w:tcW w:w="2300" w:type="dxa"/>
            <w:vAlign w:val="bottom"/>
            <w:vMerge w:val="continue"/>
            <w:shd w:val="clear" w:color="auto" w:fill="F6F3F0"/>
          </w:tcPr>
          <w:p>
            <w:pPr>
              <w:spacing w:after="0"/>
              <w:rPr>
                <w:sz w:val="24"/>
                <w:szCs w:val="24"/>
                <w:color w:val="auto"/>
              </w:rPr>
            </w:pPr>
          </w:p>
        </w:tc>
        <w:tc>
          <w:tcPr>
            <w:tcW w:w="260" w:type="dxa"/>
            <w:vAlign w:val="bottom"/>
            <w:tcBorders>
              <w:right w:val="single" w:sz="8" w:color="CFCFD2"/>
            </w:tcBorders>
            <w:shd w:val="clear" w:color="auto" w:fill="F6F3F0"/>
          </w:tcPr>
          <w:p>
            <w:pPr>
              <w:spacing w:after="0"/>
              <w:rPr>
                <w:sz w:val="24"/>
                <w:szCs w:val="24"/>
                <w:color w:val="auto"/>
              </w:rPr>
            </w:pPr>
          </w:p>
        </w:tc>
        <w:tc>
          <w:tcPr>
            <w:tcW w:w="2780" w:type="dxa"/>
            <w:vAlign w:val="bottom"/>
            <w:vMerge w:val="continue"/>
            <w:shd w:val="clear" w:color="auto" w:fill="F6F3F0"/>
          </w:tcPr>
          <w:p>
            <w:pPr>
              <w:spacing w:after="0"/>
              <w:rPr>
                <w:sz w:val="24"/>
                <w:szCs w:val="24"/>
                <w:color w:val="auto"/>
              </w:rPr>
            </w:pPr>
          </w:p>
        </w:tc>
        <w:tc>
          <w:tcPr>
            <w:tcW w:w="20" w:type="dxa"/>
            <w:vAlign w:val="bottom"/>
            <w:shd w:val="clear" w:color="auto" w:fill="CFCFD2"/>
          </w:tcPr>
          <w:p>
            <w:pPr>
              <w:spacing w:after="0"/>
              <w:rPr>
                <w:sz w:val="24"/>
                <w:szCs w:val="24"/>
                <w:color w:val="auto"/>
              </w:rPr>
            </w:pPr>
          </w:p>
        </w:tc>
        <w:tc>
          <w:tcPr>
            <w:tcW w:w="2320" w:type="dxa"/>
            <w:vAlign w:val="bottom"/>
            <w:vMerge w:val="continue"/>
            <w:shd w:val="clear" w:color="auto" w:fill="F6F3F0"/>
          </w:tcPr>
          <w:p>
            <w:pPr>
              <w:spacing w:after="0"/>
              <w:rPr>
                <w:sz w:val="24"/>
                <w:szCs w:val="24"/>
                <w:color w:val="auto"/>
              </w:rPr>
            </w:pPr>
          </w:p>
        </w:tc>
        <w:tc>
          <w:tcPr>
            <w:tcW w:w="520" w:type="dxa"/>
            <w:vAlign w:val="bottom"/>
            <w:tcBorders>
              <w:right w:val="single" w:sz="8" w:color="F6F3F0"/>
            </w:tcBorders>
            <w:shd w:val="clear" w:color="auto" w:fill="F6F3F0"/>
          </w:tcPr>
          <w:p>
            <w:pPr>
              <w:spacing w:after="0"/>
              <w:rPr>
                <w:sz w:val="24"/>
                <w:szCs w:val="24"/>
                <w:color w:val="auto"/>
              </w:rPr>
            </w:pPr>
          </w:p>
        </w:tc>
        <w:tc>
          <w:tcPr>
            <w:tcW w:w="2080" w:type="dxa"/>
            <w:vAlign w:val="bottom"/>
            <w:shd w:val="clear" w:color="auto" w:fill="F6F3F0"/>
          </w:tcPr>
          <w:p>
            <w:pPr>
              <w:spacing w:after="0"/>
              <w:rPr>
                <w:sz w:val="24"/>
                <w:szCs w:val="24"/>
                <w:color w:val="auto"/>
              </w:rPr>
            </w:pPr>
          </w:p>
        </w:tc>
        <w:tc>
          <w:tcPr>
            <w:tcW w:w="500" w:type="dxa"/>
            <w:vAlign w:val="bottom"/>
            <w:shd w:val="clear" w:color="auto" w:fill="F6F3F0"/>
          </w:tcPr>
          <w:p>
            <w:pPr>
              <w:spacing w:after="0"/>
              <w:rPr>
                <w:sz w:val="24"/>
                <w:szCs w:val="24"/>
                <w:color w:val="auto"/>
              </w:rPr>
            </w:pPr>
          </w:p>
        </w:tc>
        <w:tc>
          <w:tcPr>
            <w:tcW w:w="240" w:type="dxa"/>
            <w:vAlign w:val="bottom"/>
            <w:shd w:val="clear" w:color="auto" w:fill="F6F3F0"/>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20" w:type="dxa"/>
            <w:vAlign w:val="bottom"/>
            <w:tcBorders>
              <w:bottom w:val="single" w:sz="8" w:color="F6F3F0"/>
            </w:tcBorders>
            <w:shd w:val="clear" w:color="auto" w:fill="F6F3F0"/>
          </w:tcPr>
          <w:p>
            <w:pPr>
              <w:spacing w:after="0"/>
              <w:rPr>
                <w:sz w:val="18"/>
                <w:szCs w:val="18"/>
                <w:color w:val="auto"/>
              </w:rPr>
            </w:pPr>
          </w:p>
        </w:tc>
        <w:tc>
          <w:tcPr>
            <w:tcW w:w="2300" w:type="dxa"/>
            <w:vAlign w:val="bottom"/>
            <w:tcBorders>
              <w:bottom w:val="single" w:sz="8" w:color="F6F3F0"/>
            </w:tcBorders>
            <w:shd w:val="clear" w:color="auto" w:fill="F6F3F0"/>
          </w:tcPr>
          <w:p>
            <w:pPr>
              <w:ind w:left="20"/>
              <w:spacing w:after="0"/>
              <w:rPr>
                <w:sz w:val="20"/>
                <w:szCs w:val="20"/>
                <w:color w:val="auto"/>
              </w:rPr>
            </w:pPr>
            <w:r>
              <w:rPr>
                <w:rFonts w:ascii="Arial" w:cs="Arial" w:eastAsia="Arial" w:hAnsi="Arial"/>
                <w:sz w:val="14"/>
                <w:szCs w:val="14"/>
                <w:color w:val="0E1020"/>
              </w:rPr>
              <w:t>July 21, 2026</w:t>
            </w:r>
          </w:p>
        </w:tc>
        <w:tc>
          <w:tcPr>
            <w:tcW w:w="260" w:type="dxa"/>
            <w:vAlign w:val="bottom"/>
            <w:tcBorders>
              <w:bottom w:val="single" w:sz="8" w:color="F6F3F0"/>
              <w:right w:val="single" w:sz="8" w:color="CFCFD2"/>
            </w:tcBorders>
            <w:shd w:val="clear" w:color="auto" w:fill="F6F3F0"/>
          </w:tcPr>
          <w:p>
            <w:pPr>
              <w:spacing w:after="0"/>
              <w:rPr>
                <w:sz w:val="18"/>
                <w:szCs w:val="18"/>
                <w:color w:val="auto"/>
              </w:rPr>
            </w:pPr>
          </w:p>
        </w:tc>
        <w:tc>
          <w:tcPr>
            <w:tcW w:w="2780" w:type="dxa"/>
            <w:vAlign w:val="bottom"/>
            <w:tcBorders>
              <w:bottom w:val="single" w:sz="8" w:color="F6F3F0"/>
            </w:tcBorders>
            <w:shd w:val="clear" w:color="auto" w:fill="F6F3F0"/>
          </w:tcPr>
          <w:p>
            <w:pPr>
              <w:ind w:left="240"/>
              <w:spacing w:after="0"/>
              <w:rPr>
                <w:sz w:val="20"/>
                <w:szCs w:val="20"/>
                <w:color w:val="auto"/>
              </w:rPr>
            </w:pPr>
            <w:r>
              <w:rPr>
                <w:rFonts w:ascii="Arial" w:cs="Arial" w:eastAsia="Arial" w:hAnsi="Arial"/>
                <w:sz w:val="14"/>
                <w:szCs w:val="14"/>
                <w:color w:val="0E1020"/>
              </w:rPr>
              <w:t>8:00 a.m. Eastern Time</w:t>
            </w:r>
          </w:p>
        </w:tc>
        <w:tc>
          <w:tcPr>
            <w:tcW w:w="20" w:type="dxa"/>
            <w:vAlign w:val="bottom"/>
            <w:tcBorders>
              <w:bottom w:val="single" w:sz="8" w:color="CFCFD2"/>
            </w:tcBorders>
            <w:shd w:val="clear" w:color="auto" w:fill="CFCFD2"/>
          </w:tcPr>
          <w:p>
            <w:pPr>
              <w:spacing w:after="0"/>
              <w:rPr>
                <w:sz w:val="18"/>
                <w:szCs w:val="18"/>
                <w:color w:val="auto"/>
              </w:rPr>
            </w:pPr>
          </w:p>
        </w:tc>
        <w:tc>
          <w:tcPr>
            <w:tcW w:w="4920" w:type="dxa"/>
            <w:vAlign w:val="bottom"/>
            <w:tcBorders>
              <w:bottom w:val="single" w:sz="8" w:color="F6F3F0"/>
            </w:tcBorders>
            <w:gridSpan w:val="3"/>
            <w:shd w:val="clear" w:color="auto" w:fill="F6F3F0"/>
          </w:tcPr>
          <w:p>
            <w:pPr>
              <w:ind w:left="240"/>
              <w:spacing w:after="0"/>
              <w:rPr>
                <w:sz w:val="20"/>
                <w:szCs w:val="20"/>
                <w:color w:val="auto"/>
              </w:rPr>
            </w:pPr>
            <w:r>
              <w:rPr>
                <w:rFonts w:ascii="Arial" w:cs="Arial" w:eastAsia="Arial" w:hAnsi="Arial"/>
                <w:sz w:val="14"/>
                <w:szCs w:val="14"/>
                <w:color w:val="0E1020"/>
              </w:rPr>
              <w:t>Online at www.virtualshareholdermeeting.com/DXC2026</w:t>
            </w:r>
          </w:p>
        </w:tc>
        <w:tc>
          <w:tcPr>
            <w:tcW w:w="500" w:type="dxa"/>
            <w:vAlign w:val="bottom"/>
            <w:tcBorders>
              <w:bottom w:val="single" w:sz="8" w:color="F6F3F0"/>
            </w:tcBorders>
            <w:shd w:val="clear" w:color="auto" w:fill="F6F3F0"/>
          </w:tcPr>
          <w:p>
            <w:pPr>
              <w:spacing w:after="0"/>
              <w:rPr>
                <w:sz w:val="18"/>
                <w:szCs w:val="18"/>
                <w:color w:val="auto"/>
              </w:rPr>
            </w:pPr>
          </w:p>
        </w:tc>
        <w:tc>
          <w:tcPr>
            <w:tcW w:w="240" w:type="dxa"/>
            <w:vAlign w:val="bottom"/>
            <w:tcBorders>
              <w:bottom w:val="single" w:sz="8" w:color="F6F3F0"/>
            </w:tcBorders>
            <w:shd w:val="clear" w:color="auto" w:fill="F6F3F0"/>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20" w:type="dxa"/>
            <w:vAlign w:val="bottom"/>
            <w:tcBorders>
              <w:bottom w:val="single" w:sz="8" w:color="F6F3F0"/>
            </w:tcBorders>
            <w:shd w:val="clear" w:color="auto" w:fill="F6F3F0"/>
          </w:tcPr>
          <w:p>
            <w:pPr>
              <w:spacing w:after="0"/>
              <w:rPr>
                <w:sz w:val="23"/>
                <w:szCs w:val="23"/>
                <w:color w:val="auto"/>
              </w:rPr>
            </w:pPr>
          </w:p>
        </w:tc>
        <w:tc>
          <w:tcPr>
            <w:tcW w:w="2300" w:type="dxa"/>
            <w:vAlign w:val="bottom"/>
            <w:tcBorders>
              <w:bottom w:val="single" w:sz="8" w:color="CFCFD2"/>
            </w:tcBorders>
            <w:shd w:val="clear" w:color="auto" w:fill="F6F3F0"/>
          </w:tcPr>
          <w:p>
            <w:pPr>
              <w:spacing w:after="0"/>
              <w:rPr>
                <w:sz w:val="23"/>
                <w:szCs w:val="23"/>
                <w:color w:val="auto"/>
              </w:rPr>
            </w:pPr>
          </w:p>
        </w:tc>
        <w:tc>
          <w:tcPr>
            <w:tcW w:w="260" w:type="dxa"/>
            <w:vAlign w:val="bottom"/>
            <w:tcBorders>
              <w:bottom w:val="single" w:sz="8" w:color="CFCFD2"/>
              <w:right w:val="single" w:sz="8" w:color="F6F3F0"/>
            </w:tcBorders>
            <w:shd w:val="clear" w:color="auto" w:fill="F6F3F0"/>
          </w:tcPr>
          <w:p>
            <w:pPr>
              <w:spacing w:after="0"/>
              <w:rPr>
                <w:sz w:val="23"/>
                <w:szCs w:val="23"/>
                <w:color w:val="auto"/>
              </w:rPr>
            </w:pPr>
          </w:p>
        </w:tc>
        <w:tc>
          <w:tcPr>
            <w:tcW w:w="2780" w:type="dxa"/>
            <w:vAlign w:val="bottom"/>
            <w:tcBorders>
              <w:bottom w:val="single" w:sz="8" w:color="CFCFD2"/>
            </w:tcBorders>
            <w:shd w:val="clear" w:color="auto" w:fill="F6F3F0"/>
          </w:tcPr>
          <w:p>
            <w:pPr>
              <w:spacing w:after="0"/>
              <w:rPr>
                <w:sz w:val="23"/>
                <w:szCs w:val="23"/>
                <w:color w:val="auto"/>
              </w:rPr>
            </w:pPr>
          </w:p>
        </w:tc>
        <w:tc>
          <w:tcPr>
            <w:tcW w:w="20" w:type="dxa"/>
            <w:vAlign w:val="bottom"/>
            <w:tcBorders>
              <w:bottom w:val="single" w:sz="8" w:color="CFCFD2"/>
            </w:tcBorders>
            <w:shd w:val="clear" w:color="auto" w:fill="F6F3F0"/>
          </w:tcPr>
          <w:p>
            <w:pPr>
              <w:spacing w:after="0"/>
              <w:rPr>
                <w:sz w:val="23"/>
                <w:szCs w:val="23"/>
                <w:color w:val="auto"/>
              </w:rPr>
            </w:pPr>
          </w:p>
        </w:tc>
        <w:tc>
          <w:tcPr>
            <w:tcW w:w="2320" w:type="dxa"/>
            <w:vAlign w:val="bottom"/>
            <w:tcBorders>
              <w:bottom w:val="single" w:sz="8" w:color="CFCFD2"/>
            </w:tcBorders>
            <w:shd w:val="clear" w:color="auto" w:fill="F6F3F0"/>
          </w:tcPr>
          <w:p>
            <w:pPr>
              <w:spacing w:after="0"/>
              <w:rPr>
                <w:sz w:val="23"/>
                <w:szCs w:val="23"/>
                <w:color w:val="auto"/>
              </w:rPr>
            </w:pPr>
          </w:p>
        </w:tc>
        <w:tc>
          <w:tcPr>
            <w:tcW w:w="520" w:type="dxa"/>
            <w:vAlign w:val="bottom"/>
            <w:tcBorders>
              <w:bottom w:val="single" w:sz="8" w:color="CFCFD2"/>
              <w:right w:val="single" w:sz="8" w:color="F6F3F0"/>
            </w:tcBorders>
            <w:shd w:val="clear" w:color="auto" w:fill="F6F3F0"/>
          </w:tcPr>
          <w:p>
            <w:pPr>
              <w:spacing w:after="0"/>
              <w:rPr>
                <w:sz w:val="23"/>
                <w:szCs w:val="23"/>
                <w:color w:val="auto"/>
              </w:rPr>
            </w:pPr>
          </w:p>
        </w:tc>
        <w:tc>
          <w:tcPr>
            <w:tcW w:w="2080" w:type="dxa"/>
            <w:vAlign w:val="bottom"/>
            <w:tcBorders>
              <w:bottom w:val="single" w:sz="8" w:color="CFCFD2"/>
            </w:tcBorders>
            <w:shd w:val="clear" w:color="auto" w:fill="F6F3F0"/>
          </w:tcPr>
          <w:p>
            <w:pPr>
              <w:spacing w:after="0"/>
              <w:rPr>
                <w:sz w:val="23"/>
                <w:szCs w:val="23"/>
                <w:color w:val="auto"/>
              </w:rPr>
            </w:pPr>
          </w:p>
        </w:tc>
        <w:tc>
          <w:tcPr>
            <w:tcW w:w="500" w:type="dxa"/>
            <w:vAlign w:val="bottom"/>
            <w:tcBorders>
              <w:bottom w:val="single" w:sz="8" w:color="CFCFD2"/>
            </w:tcBorders>
            <w:shd w:val="clear" w:color="auto" w:fill="F6F3F0"/>
          </w:tcPr>
          <w:p>
            <w:pPr>
              <w:spacing w:after="0"/>
              <w:rPr>
                <w:sz w:val="23"/>
                <w:szCs w:val="23"/>
                <w:color w:val="auto"/>
              </w:rPr>
            </w:pPr>
          </w:p>
        </w:tc>
        <w:tc>
          <w:tcPr>
            <w:tcW w:w="240" w:type="dxa"/>
            <w:vAlign w:val="bottom"/>
            <w:tcBorders>
              <w:bottom w:val="single" w:sz="8" w:color="F6F3F0"/>
            </w:tcBorders>
            <w:shd w:val="clear" w:color="auto" w:fill="F6F3F0"/>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20" w:type="dxa"/>
            <w:vAlign w:val="bottom"/>
            <w:shd w:val="clear" w:color="auto" w:fill="F6F3F0"/>
          </w:tcPr>
          <w:p>
            <w:pPr>
              <w:spacing w:after="0"/>
              <w:rPr>
                <w:sz w:val="21"/>
                <w:szCs w:val="21"/>
                <w:color w:val="auto"/>
              </w:rPr>
            </w:pPr>
          </w:p>
        </w:tc>
        <w:tc>
          <w:tcPr>
            <w:tcW w:w="2560" w:type="dxa"/>
            <w:vAlign w:val="bottom"/>
            <w:tcBorders>
              <w:right w:val="single" w:sz="8" w:color="F6F3F0"/>
            </w:tcBorders>
            <w:gridSpan w:val="2"/>
            <w:vMerge w:val="restart"/>
            <w:shd w:val="clear" w:color="auto" w:fill="F6F3F0"/>
          </w:tcPr>
          <w:p>
            <w:pPr>
              <w:ind w:left="20"/>
              <w:spacing w:after="0"/>
              <w:rPr>
                <w:sz w:val="20"/>
                <w:szCs w:val="20"/>
                <w:color w:val="auto"/>
              </w:rPr>
            </w:pPr>
            <w:r>
              <w:rPr>
                <w:rFonts w:ascii="Times New Roman" w:cs="Times New Roman" w:eastAsia="Times New Roman" w:hAnsi="Times New Roman"/>
                <w:sz w:val="16"/>
                <w:szCs w:val="16"/>
                <w:b w:val="1"/>
                <w:bCs w:val="1"/>
                <w:color w:val="0E1020"/>
                <w:w w:val="99"/>
              </w:rPr>
              <w:t>VIRTUAL MEETING ADMISSION</w:t>
            </w:r>
          </w:p>
        </w:tc>
        <w:tc>
          <w:tcPr>
            <w:tcW w:w="2780" w:type="dxa"/>
            <w:vAlign w:val="bottom"/>
            <w:shd w:val="clear" w:color="auto" w:fill="F6F3F0"/>
          </w:tcPr>
          <w:p>
            <w:pPr>
              <w:spacing w:after="0"/>
              <w:rPr>
                <w:sz w:val="21"/>
                <w:szCs w:val="21"/>
                <w:color w:val="auto"/>
              </w:rPr>
            </w:pPr>
          </w:p>
        </w:tc>
        <w:tc>
          <w:tcPr>
            <w:tcW w:w="20" w:type="dxa"/>
            <w:vAlign w:val="bottom"/>
            <w:shd w:val="clear" w:color="auto" w:fill="F6F3F0"/>
          </w:tcPr>
          <w:p>
            <w:pPr>
              <w:spacing w:after="0"/>
              <w:rPr>
                <w:sz w:val="21"/>
                <w:szCs w:val="21"/>
                <w:color w:val="auto"/>
              </w:rPr>
            </w:pPr>
          </w:p>
        </w:tc>
        <w:tc>
          <w:tcPr>
            <w:tcW w:w="2320" w:type="dxa"/>
            <w:vAlign w:val="bottom"/>
            <w:vMerge w:val="restart"/>
            <w:shd w:val="clear" w:color="auto" w:fill="F6F3F0"/>
          </w:tcPr>
          <w:p>
            <w:pPr>
              <w:ind w:left="240"/>
              <w:spacing w:after="0"/>
              <w:rPr>
                <w:sz w:val="20"/>
                <w:szCs w:val="20"/>
                <w:color w:val="auto"/>
              </w:rPr>
            </w:pPr>
            <w:r>
              <w:rPr>
                <w:rFonts w:ascii="Times New Roman" w:cs="Times New Roman" w:eastAsia="Times New Roman" w:hAnsi="Times New Roman"/>
                <w:sz w:val="16"/>
                <w:szCs w:val="16"/>
                <w:b w:val="1"/>
                <w:bCs w:val="1"/>
                <w:color w:val="0E1020"/>
              </w:rPr>
              <w:t>RECORD DATE</w:t>
            </w:r>
          </w:p>
        </w:tc>
        <w:tc>
          <w:tcPr>
            <w:tcW w:w="520" w:type="dxa"/>
            <w:vAlign w:val="bottom"/>
            <w:tcBorders>
              <w:right w:val="single" w:sz="8" w:color="F6F3F0"/>
            </w:tcBorders>
            <w:shd w:val="clear" w:color="auto" w:fill="F6F3F0"/>
          </w:tcPr>
          <w:p>
            <w:pPr>
              <w:spacing w:after="0"/>
              <w:rPr>
                <w:sz w:val="21"/>
                <w:szCs w:val="21"/>
                <w:color w:val="auto"/>
              </w:rPr>
            </w:pPr>
          </w:p>
        </w:tc>
        <w:tc>
          <w:tcPr>
            <w:tcW w:w="2080" w:type="dxa"/>
            <w:vAlign w:val="bottom"/>
            <w:vMerge w:val="restart"/>
            <w:shd w:val="clear" w:color="auto" w:fill="F6F3F0"/>
          </w:tcPr>
          <w:p>
            <w:pPr>
              <w:ind w:left="280"/>
              <w:spacing w:after="0"/>
              <w:rPr>
                <w:sz w:val="20"/>
                <w:szCs w:val="20"/>
                <w:color w:val="auto"/>
              </w:rPr>
            </w:pPr>
            <w:r>
              <w:rPr>
                <w:rFonts w:ascii="Times New Roman" w:cs="Times New Roman" w:eastAsia="Times New Roman" w:hAnsi="Times New Roman"/>
                <w:sz w:val="16"/>
                <w:szCs w:val="16"/>
                <w:b w:val="1"/>
                <w:bCs w:val="1"/>
                <w:color w:val="0E1020"/>
              </w:rPr>
              <w:t>VOTING</w:t>
            </w:r>
          </w:p>
        </w:tc>
        <w:tc>
          <w:tcPr>
            <w:tcW w:w="500" w:type="dxa"/>
            <w:vAlign w:val="bottom"/>
            <w:shd w:val="clear" w:color="auto" w:fill="F6F3F0"/>
          </w:tcPr>
          <w:p>
            <w:pPr>
              <w:spacing w:after="0"/>
              <w:rPr>
                <w:sz w:val="21"/>
                <w:szCs w:val="21"/>
                <w:color w:val="auto"/>
              </w:rPr>
            </w:pPr>
          </w:p>
        </w:tc>
        <w:tc>
          <w:tcPr>
            <w:tcW w:w="240" w:type="dxa"/>
            <w:vAlign w:val="bottom"/>
            <w:shd w:val="clear" w:color="auto" w:fill="F6F3F0"/>
          </w:tcPr>
          <w:p>
            <w:pPr>
              <w:spacing w:after="0"/>
              <w:rPr>
                <w:sz w:val="21"/>
                <w:szCs w:val="21"/>
                <w:color w:val="auto"/>
              </w:rPr>
            </w:pPr>
          </w:p>
        </w:tc>
        <w:tc>
          <w:tcPr>
            <w:tcW w:w="0" w:type="dxa"/>
            <w:vAlign w:val="bottom"/>
          </w:tcPr>
          <w:p>
            <w:pPr>
              <w:spacing w:after="0"/>
              <w:rPr>
                <w:sz w:val="1"/>
                <w:szCs w:val="1"/>
                <w:color w:val="auto"/>
              </w:rPr>
            </w:pPr>
          </w:p>
        </w:tc>
      </w:tr>
      <w:tr>
        <w:trPr>
          <w:trHeight w:val="732"/>
        </w:trPr>
        <w:tc>
          <w:tcPr>
            <w:tcW w:w="220" w:type="dxa"/>
            <w:vAlign w:val="bottom"/>
            <w:shd w:val="clear" w:color="auto" w:fill="F6F3F0"/>
          </w:tcPr>
          <w:p>
            <w:pPr>
              <w:spacing w:after="0"/>
              <w:rPr>
                <w:sz w:val="24"/>
                <w:szCs w:val="24"/>
                <w:color w:val="auto"/>
              </w:rPr>
            </w:pPr>
          </w:p>
        </w:tc>
        <w:tc>
          <w:tcPr>
            <w:tcW w:w="2560" w:type="dxa"/>
            <w:vAlign w:val="bottom"/>
            <w:tcBorders>
              <w:right w:val="single" w:sz="8" w:color="F6F3F0"/>
            </w:tcBorders>
            <w:gridSpan w:val="2"/>
            <w:vMerge w:val="continue"/>
            <w:shd w:val="clear" w:color="auto" w:fill="F6F3F0"/>
          </w:tcPr>
          <w:p>
            <w:pPr>
              <w:spacing w:after="0"/>
              <w:rPr>
                <w:sz w:val="24"/>
                <w:szCs w:val="24"/>
                <w:color w:val="auto"/>
              </w:rPr>
            </w:pPr>
          </w:p>
        </w:tc>
        <w:tc>
          <w:tcPr>
            <w:tcW w:w="2780" w:type="dxa"/>
            <w:vAlign w:val="bottom"/>
            <w:shd w:val="clear" w:color="auto" w:fill="F6F3F0"/>
          </w:tcPr>
          <w:p>
            <w:pPr>
              <w:spacing w:after="0"/>
              <w:rPr>
                <w:sz w:val="24"/>
                <w:szCs w:val="24"/>
                <w:color w:val="auto"/>
              </w:rPr>
            </w:pPr>
          </w:p>
        </w:tc>
        <w:tc>
          <w:tcPr>
            <w:tcW w:w="20" w:type="dxa"/>
            <w:vAlign w:val="bottom"/>
            <w:shd w:val="clear" w:color="auto" w:fill="CFCFD2"/>
          </w:tcPr>
          <w:p>
            <w:pPr>
              <w:spacing w:after="0"/>
              <w:rPr>
                <w:sz w:val="24"/>
                <w:szCs w:val="24"/>
                <w:color w:val="auto"/>
              </w:rPr>
            </w:pPr>
          </w:p>
        </w:tc>
        <w:tc>
          <w:tcPr>
            <w:tcW w:w="2320" w:type="dxa"/>
            <w:vAlign w:val="bottom"/>
            <w:vMerge w:val="continue"/>
            <w:shd w:val="clear" w:color="auto" w:fill="F6F3F0"/>
          </w:tcPr>
          <w:p>
            <w:pPr>
              <w:spacing w:after="0"/>
              <w:rPr>
                <w:sz w:val="24"/>
                <w:szCs w:val="24"/>
                <w:color w:val="auto"/>
              </w:rPr>
            </w:pPr>
          </w:p>
        </w:tc>
        <w:tc>
          <w:tcPr>
            <w:tcW w:w="520" w:type="dxa"/>
            <w:vAlign w:val="bottom"/>
            <w:tcBorders>
              <w:right w:val="single" w:sz="8" w:color="CFCFD2"/>
            </w:tcBorders>
            <w:shd w:val="clear" w:color="auto" w:fill="F6F3F0"/>
          </w:tcPr>
          <w:p>
            <w:pPr>
              <w:spacing w:after="0"/>
              <w:rPr>
                <w:sz w:val="24"/>
                <w:szCs w:val="24"/>
                <w:color w:val="auto"/>
              </w:rPr>
            </w:pPr>
          </w:p>
        </w:tc>
        <w:tc>
          <w:tcPr>
            <w:tcW w:w="2080" w:type="dxa"/>
            <w:vAlign w:val="bottom"/>
            <w:vMerge w:val="continue"/>
            <w:shd w:val="clear" w:color="auto" w:fill="F6F3F0"/>
          </w:tcPr>
          <w:p>
            <w:pPr>
              <w:spacing w:after="0"/>
              <w:rPr>
                <w:sz w:val="24"/>
                <w:szCs w:val="24"/>
                <w:color w:val="auto"/>
              </w:rPr>
            </w:pPr>
          </w:p>
        </w:tc>
        <w:tc>
          <w:tcPr>
            <w:tcW w:w="500" w:type="dxa"/>
            <w:vAlign w:val="bottom"/>
            <w:shd w:val="clear" w:color="auto" w:fill="F6F3F0"/>
          </w:tcPr>
          <w:p>
            <w:pPr>
              <w:spacing w:after="0"/>
              <w:rPr>
                <w:sz w:val="24"/>
                <w:szCs w:val="24"/>
                <w:color w:val="auto"/>
              </w:rPr>
            </w:pPr>
          </w:p>
        </w:tc>
        <w:tc>
          <w:tcPr>
            <w:tcW w:w="240" w:type="dxa"/>
            <w:vAlign w:val="bottom"/>
            <w:shd w:val="clear" w:color="auto" w:fill="F6F3F0"/>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20" w:type="dxa"/>
            <w:vAlign w:val="bottom"/>
            <w:shd w:val="clear" w:color="auto" w:fill="F6F3F0"/>
          </w:tcPr>
          <w:p>
            <w:pPr>
              <w:spacing w:after="0"/>
              <w:rPr>
                <w:sz w:val="18"/>
                <w:szCs w:val="18"/>
                <w:color w:val="auto"/>
              </w:rPr>
            </w:pPr>
          </w:p>
        </w:tc>
        <w:tc>
          <w:tcPr>
            <w:tcW w:w="5340" w:type="dxa"/>
            <w:vAlign w:val="bottom"/>
            <w:gridSpan w:val="3"/>
            <w:shd w:val="clear" w:color="auto" w:fill="F6F3F0"/>
          </w:tcPr>
          <w:p>
            <w:pPr>
              <w:ind w:left="20"/>
              <w:spacing w:after="0"/>
              <w:rPr>
                <w:sz w:val="20"/>
                <w:szCs w:val="20"/>
                <w:color w:val="auto"/>
              </w:rPr>
            </w:pPr>
            <w:r>
              <w:rPr>
                <w:rFonts w:ascii="Arial" w:cs="Arial" w:eastAsia="Arial" w:hAnsi="Arial"/>
                <w:sz w:val="14"/>
                <w:szCs w:val="14"/>
                <w:color w:val="0E1020"/>
              </w:rPr>
              <w:t>Stockholders as of the record date will be able to participate in the annual</w:t>
            </w:r>
          </w:p>
        </w:tc>
        <w:tc>
          <w:tcPr>
            <w:tcW w:w="20" w:type="dxa"/>
            <w:vAlign w:val="bottom"/>
            <w:shd w:val="clear" w:color="auto" w:fill="CFCFD2"/>
          </w:tcPr>
          <w:p>
            <w:pPr>
              <w:spacing w:after="0"/>
              <w:rPr>
                <w:sz w:val="18"/>
                <w:szCs w:val="18"/>
                <w:color w:val="auto"/>
              </w:rPr>
            </w:pPr>
          </w:p>
        </w:tc>
        <w:tc>
          <w:tcPr>
            <w:tcW w:w="2320" w:type="dxa"/>
            <w:vAlign w:val="bottom"/>
            <w:shd w:val="clear" w:color="auto" w:fill="F6F3F0"/>
          </w:tcPr>
          <w:p>
            <w:pPr>
              <w:ind w:left="240"/>
              <w:spacing w:after="0"/>
              <w:rPr>
                <w:sz w:val="20"/>
                <w:szCs w:val="20"/>
                <w:color w:val="auto"/>
              </w:rPr>
            </w:pPr>
            <w:r>
              <w:rPr>
                <w:rFonts w:ascii="Arial" w:cs="Arial" w:eastAsia="Arial" w:hAnsi="Arial"/>
                <w:sz w:val="14"/>
                <w:szCs w:val="14"/>
                <w:color w:val="0E1020"/>
              </w:rPr>
              <w:t>May 28, 2026</w:t>
            </w:r>
          </w:p>
        </w:tc>
        <w:tc>
          <w:tcPr>
            <w:tcW w:w="520" w:type="dxa"/>
            <w:vAlign w:val="bottom"/>
            <w:tcBorders>
              <w:right w:val="single" w:sz="8" w:color="CFCFD2"/>
            </w:tcBorders>
            <w:shd w:val="clear" w:color="auto" w:fill="F6F3F0"/>
          </w:tcPr>
          <w:p>
            <w:pPr>
              <w:spacing w:after="0"/>
              <w:rPr>
                <w:sz w:val="18"/>
                <w:szCs w:val="18"/>
                <w:color w:val="auto"/>
              </w:rPr>
            </w:pPr>
          </w:p>
        </w:tc>
        <w:tc>
          <w:tcPr>
            <w:tcW w:w="2820" w:type="dxa"/>
            <w:vAlign w:val="bottom"/>
            <w:gridSpan w:val="3"/>
            <w:shd w:val="clear" w:color="auto" w:fill="F6F3F0"/>
          </w:tcPr>
          <w:p>
            <w:pPr>
              <w:ind w:left="280"/>
              <w:spacing w:after="0"/>
              <w:rPr>
                <w:sz w:val="20"/>
                <w:szCs w:val="20"/>
                <w:color w:val="auto"/>
              </w:rPr>
            </w:pPr>
            <w:r>
              <w:rPr>
                <w:rFonts w:ascii="Arial" w:cs="Arial" w:eastAsia="Arial" w:hAnsi="Arial"/>
                <w:sz w:val="14"/>
                <w:szCs w:val="14"/>
                <w:color w:val="0E1020"/>
              </w:rPr>
              <w:t>Stockholders as of the record</w:t>
            </w:r>
          </w:p>
        </w:tc>
        <w:tc>
          <w:tcPr>
            <w:tcW w:w="0" w:type="dxa"/>
            <w:vAlign w:val="bottom"/>
          </w:tcPr>
          <w:p>
            <w:pPr>
              <w:spacing w:after="0"/>
              <w:rPr>
                <w:sz w:val="1"/>
                <w:szCs w:val="1"/>
                <w:color w:val="auto"/>
              </w:rPr>
            </w:pPr>
          </w:p>
        </w:tc>
      </w:tr>
      <w:tr>
        <w:trPr>
          <w:trHeight w:val="199"/>
        </w:trPr>
        <w:tc>
          <w:tcPr>
            <w:tcW w:w="220" w:type="dxa"/>
            <w:vAlign w:val="bottom"/>
            <w:shd w:val="clear" w:color="auto" w:fill="F6F3F0"/>
          </w:tcPr>
          <w:p>
            <w:pPr>
              <w:spacing w:after="0"/>
              <w:rPr>
                <w:sz w:val="17"/>
                <w:szCs w:val="17"/>
                <w:color w:val="auto"/>
              </w:rPr>
            </w:pPr>
          </w:p>
        </w:tc>
        <w:tc>
          <w:tcPr>
            <w:tcW w:w="5340" w:type="dxa"/>
            <w:vAlign w:val="bottom"/>
            <w:gridSpan w:val="3"/>
            <w:shd w:val="clear" w:color="auto" w:fill="F6F3F0"/>
          </w:tcPr>
          <w:p>
            <w:pPr>
              <w:ind w:left="20"/>
              <w:spacing w:after="0"/>
              <w:rPr>
                <w:sz w:val="20"/>
                <w:szCs w:val="20"/>
                <w:color w:val="auto"/>
              </w:rPr>
            </w:pPr>
            <w:r>
              <w:rPr>
                <w:rFonts w:ascii="Arial" w:cs="Arial" w:eastAsia="Arial" w:hAnsi="Arial"/>
                <w:sz w:val="14"/>
                <w:szCs w:val="14"/>
                <w:color w:val="0E1020"/>
              </w:rPr>
              <w:t>meeting by visiting www.virtualshareholdermeeting.com/DXC2026. To</w:t>
            </w:r>
          </w:p>
        </w:tc>
        <w:tc>
          <w:tcPr>
            <w:tcW w:w="20" w:type="dxa"/>
            <w:vAlign w:val="bottom"/>
            <w:shd w:val="clear" w:color="auto" w:fill="CFCFD2"/>
          </w:tcPr>
          <w:p>
            <w:pPr>
              <w:spacing w:after="0"/>
              <w:rPr>
                <w:sz w:val="17"/>
                <w:szCs w:val="17"/>
                <w:color w:val="auto"/>
              </w:rPr>
            </w:pPr>
          </w:p>
        </w:tc>
        <w:tc>
          <w:tcPr>
            <w:tcW w:w="2320" w:type="dxa"/>
            <w:vAlign w:val="bottom"/>
            <w:shd w:val="clear" w:color="auto" w:fill="F6F3F0"/>
          </w:tcPr>
          <w:p>
            <w:pPr>
              <w:spacing w:after="0"/>
              <w:rPr>
                <w:sz w:val="17"/>
                <w:szCs w:val="17"/>
                <w:color w:val="auto"/>
              </w:rPr>
            </w:pPr>
          </w:p>
        </w:tc>
        <w:tc>
          <w:tcPr>
            <w:tcW w:w="520" w:type="dxa"/>
            <w:vAlign w:val="bottom"/>
            <w:tcBorders>
              <w:right w:val="single" w:sz="8" w:color="CFCFD2"/>
            </w:tcBorders>
            <w:shd w:val="clear" w:color="auto" w:fill="F6F3F0"/>
          </w:tcPr>
          <w:p>
            <w:pPr>
              <w:spacing w:after="0"/>
              <w:rPr>
                <w:sz w:val="17"/>
                <w:szCs w:val="17"/>
                <w:color w:val="auto"/>
              </w:rPr>
            </w:pPr>
          </w:p>
        </w:tc>
        <w:tc>
          <w:tcPr>
            <w:tcW w:w="2820" w:type="dxa"/>
            <w:vAlign w:val="bottom"/>
            <w:gridSpan w:val="3"/>
            <w:shd w:val="clear" w:color="auto" w:fill="F6F3F0"/>
          </w:tcPr>
          <w:p>
            <w:pPr>
              <w:ind w:left="280"/>
              <w:spacing w:after="0"/>
              <w:rPr>
                <w:sz w:val="20"/>
                <w:szCs w:val="20"/>
                <w:color w:val="auto"/>
              </w:rPr>
            </w:pPr>
            <w:r>
              <w:rPr>
                <w:rFonts w:ascii="Arial" w:cs="Arial" w:eastAsia="Arial" w:hAnsi="Arial"/>
                <w:sz w:val="14"/>
                <w:szCs w:val="14"/>
                <w:color w:val="0E1020"/>
              </w:rPr>
              <w:t>date are entitled to vote. Each</w:t>
            </w:r>
          </w:p>
        </w:tc>
        <w:tc>
          <w:tcPr>
            <w:tcW w:w="0" w:type="dxa"/>
            <w:vAlign w:val="bottom"/>
          </w:tcPr>
          <w:p>
            <w:pPr>
              <w:spacing w:after="0"/>
              <w:rPr>
                <w:sz w:val="1"/>
                <w:szCs w:val="1"/>
                <w:color w:val="auto"/>
              </w:rPr>
            </w:pPr>
          </w:p>
        </w:tc>
      </w:tr>
      <w:tr>
        <w:trPr>
          <w:trHeight w:val="189"/>
        </w:trPr>
        <w:tc>
          <w:tcPr>
            <w:tcW w:w="220" w:type="dxa"/>
            <w:vAlign w:val="bottom"/>
            <w:shd w:val="clear" w:color="auto" w:fill="F6F3F0"/>
          </w:tcPr>
          <w:p>
            <w:pPr>
              <w:spacing w:after="0"/>
              <w:rPr>
                <w:sz w:val="16"/>
                <w:szCs w:val="16"/>
                <w:color w:val="auto"/>
              </w:rPr>
            </w:pPr>
          </w:p>
        </w:tc>
        <w:tc>
          <w:tcPr>
            <w:tcW w:w="5340" w:type="dxa"/>
            <w:vAlign w:val="bottom"/>
            <w:gridSpan w:val="3"/>
            <w:shd w:val="clear" w:color="auto" w:fill="F6F3F0"/>
          </w:tcPr>
          <w:p>
            <w:pPr>
              <w:ind w:left="20"/>
              <w:spacing w:after="0"/>
              <w:rPr>
                <w:sz w:val="20"/>
                <w:szCs w:val="20"/>
                <w:color w:val="auto"/>
              </w:rPr>
            </w:pPr>
            <w:r>
              <w:rPr>
                <w:rFonts w:ascii="Arial" w:cs="Arial" w:eastAsia="Arial" w:hAnsi="Arial"/>
                <w:sz w:val="14"/>
                <w:szCs w:val="14"/>
                <w:color w:val="0E1020"/>
              </w:rPr>
              <w:t>participate in the meeting, you will need the 16-digit control number included on</w:t>
            </w:r>
          </w:p>
        </w:tc>
        <w:tc>
          <w:tcPr>
            <w:tcW w:w="20" w:type="dxa"/>
            <w:vAlign w:val="bottom"/>
            <w:shd w:val="clear" w:color="auto" w:fill="CFCFD2"/>
          </w:tcPr>
          <w:p>
            <w:pPr>
              <w:spacing w:after="0"/>
              <w:rPr>
                <w:sz w:val="16"/>
                <w:szCs w:val="16"/>
                <w:color w:val="auto"/>
              </w:rPr>
            </w:pPr>
          </w:p>
        </w:tc>
        <w:tc>
          <w:tcPr>
            <w:tcW w:w="2320" w:type="dxa"/>
            <w:vAlign w:val="bottom"/>
            <w:shd w:val="clear" w:color="auto" w:fill="F6F3F0"/>
          </w:tcPr>
          <w:p>
            <w:pPr>
              <w:spacing w:after="0"/>
              <w:rPr>
                <w:sz w:val="16"/>
                <w:szCs w:val="16"/>
                <w:color w:val="auto"/>
              </w:rPr>
            </w:pPr>
          </w:p>
        </w:tc>
        <w:tc>
          <w:tcPr>
            <w:tcW w:w="520" w:type="dxa"/>
            <w:vAlign w:val="bottom"/>
            <w:tcBorders>
              <w:right w:val="single" w:sz="8" w:color="CFCFD2"/>
            </w:tcBorders>
            <w:shd w:val="clear" w:color="auto" w:fill="F6F3F0"/>
          </w:tcPr>
          <w:p>
            <w:pPr>
              <w:spacing w:after="0"/>
              <w:rPr>
                <w:sz w:val="16"/>
                <w:szCs w:val="16"/>
                <w:color w:val="auto"/>
              </w:rPr>
            </w:pPr>
          </w:p>
        </w:tc>
        <w:tc>
          <w:tcPr>
            <w:tcW w:w="2820" w:type="dxa"/>
            <w:vAlign w:val="bottom"/>
            <w:gridSpan w:val="3"/>
            <w:shd w:val="clear" w:color="auto" w:fill="F6F3F0"/>
          </w:tcPr>
          <w:p>
            <w:pPr>
              <w:ind w:left="280"/>
              <w:spacing w:after="0"/>
              <w:rPr>
                <w:sz w:val="20"/>
                <w:szCs w:val="20"/>
                <w:color w:val="auto"/>
              </w:rPr>
            </w:pPr>
            <w:r>
              <w:rPr>
                <w:rFonts w:ascii="Arial" w:cs="Arial" w:eastAsia="Arial" w:hAnsi="Arial"/>
                <w:sz w:val="14"/>
                <w:szCs w:val="14"/>
                <w:color w:val="0E1020"/>
              </w:rPr>
              <w:t>share of common stock is entitled</w:t>
            </w:r>
          </w:p>
        </w:tc>
        <w:tc>
          <w:tcPr>
            <w:tcW w:w="0" w:type="dxa"/>
            <w:vAlign w:val="bottom"/>
          </w:tcPr>
          <w:p>
            <w:pPr>
              <w:spacing w:after="0"/>
              <w:rPr>
                <w:sz w:val="1"/>
                <w:szCs w:val="1"/>
                <w:color w:val="auto"/>
              </w:rPr>
            </w:pPr>
          </w:p>
        </w:tc>
      </w:tr>
      <w:tr>
        <w:trPr>
          <w:trHeight w:val="201"/>
        </w:trPr>
        <w:tc>
          <w:tcPr>
            <w:tcW w:w="220" w:type="dxa"/>
            <w:vAlign w:val="bottom"/>
            <w:shd w:val="clear" w:color="auto" w:fill="F6F3F0"/>
          </w:tcPr>
          <w:p>
            <w:pPr>
              <w:spacing w:after="0"/>
              <w:rPr>
                <w:sz w:val="17"/>
                <w:szCs w:val="17"/>
                <w:color w:val="auto"/>
              </w:rPr>
            </w:pPr>
          </w:p>
        </w:tc>
        <w:tc>
          <w:tcPr>
            <w:tcW w:w="5340" w:type="dxa"/>
            <w:vAlign w:val="bottom"/>
            <w:gridSpan w:val="3"/>
            <w:shd w:val="clear" w:color="auto" w:fill="F6F3F0"/>
          </w:tcPr>
          <w:p>
            <w:pPr>
              <w:ind w:left="20"/>
              <w:spacing w:after="0"/>
              <w:rPr>
                <w:sz w:val="20"/>
                <w:szCs w:val="20"/>
                <w:color w:val="auto"/>
              </w:rPr>
            </w:pPr>
            <w:r>
              <w:rPr>
                <w:rFonts w:ascii="Arial" w:cs="Arial" w:eastAsia="Arial" w:hAnsi="Arial"/>
                <w:sz w:val="14"/>
                <w:szCs w:val="14"/>
                <w:color w:val="0E1020"/>
              </w:rPr>
              <w:t>your notice of Internet availability of proxy materials, on your proxy card or on</w:t>
            </w:r>
          </w:p>
        </w:tc>
        <w:tc>
          <w:tcPr>
            <w:tcW w:w="20" w:type="dxa"/>
            <w:vAlign w:val="bottom"/>
            <w:shd w:val="clear" w:color="auto" w:fill="CFCFD2"/>
          </w:tcPr>
          <w:p>
            <w:pPr>
              <w:spacing w:after="0"/>
              <w:rPr>
                <w:sz w:val="17"/>
                <w:szCs w:val="17"/>
                <w:color w:val="auto"/>
              </w:rPr>
            </w:pPr>
          </w:p>
        </w:tc>
        <w:tc>
          <w:tcPr>
            <w:tcW w:w="2320" w:type="dxa"/>
            <w:vAlign w:val="bottom"/>
            <w:shd w:val="clear" w:color="auto" w:fill="F6F3F0"/>
          </w:tcPr>
          <w:p>
            <w:pPr>
              <w:spacing w:after="0"/>
              <w:rPr>
                <w:sz w:val="17"/>
                <w:szCs w:val="17"/>
                <w:color w:val="auto"/>
              </w:rPr>
            </w:pPr>
          </w:p>
        </w:tc>
        <w:tc>
          <w:tcPr>
            <w:tcW w:w="520" w:type="dxa"/>
            <w:vAlign w:val="bottom"/>
            <w:tcBorders>
              <w:right w:val="single" w:sz="8" w:color="CFCFD2"/>
            </w:tcBorders>
            <w:shd w:val="clear" w:color="auto" w:fill="F6F3F0"/>
          </w:tcPr>
          <w:p>
            <w:pPr>
              <w:spacing w:after="0"/>
              <w:rPr>
                <w:sz w:val="17"/>
                <w:szCs w:val="17"/>
                <w:color w:val="auto"/>
              </w:rPr>
            </w:pPr>
          </w:p>
        </w:tc>
        <w:tc>
          <w:tcPr>
            <w:tcW w:w="2080" w:type="dxa"/>
            <w:vAlign w:val="bottom"/>
            <w:shd w:val="clear" w:color="auto" w:fill="F6F3F0"/>
          </w:tcPr>
          <w:p>
            <w:pPr>
              <w:ind w:left="280"/>
              <w:spacing w:after="0"/>
              <w:rPr>
                <w:sz w:val="20"/>
                <w:szCs w:val="20"/>
                <w:color w:val="auto"/>
              </w:rPr>
            </w:pPr>
            <w:r>
              <w:rPr>
                <w:rFonts w:ascii="Arial" w:cs="Arial" w:eastAsia="Arial" w:hAnsi="Arial"/>
                <w:sz w:val="14"/>
                <w:szCs w:val="14"/>
                <w:color w:val="0E1020"/>
              </w:rPr>
              <w:t>to one vote for each director</w:t>
            </w:r>
          </w:p>
        </w:tc>
        <w:tc>
          <w:tcPr>
            <w:tcW w:w="500" w:type="dxa"/>
            <w:vAlign w:val="bottom"/>
            <w:shd w:val="clear" w:color="auto" w:fill="F6F3F0"/>
          </w:tcPr>
          <w:p>
            <w:pPr>
              <w:spacing w:after="0"/>
              <w:rPr>
                <w:sz w:val="17"/>
                <w:szCs w:val="17"/>
                <w:color w:val="auto"/>
              </w:rPr>
            </w:pPr>
          </w:p>
        </w:tc>
        <w:tc>
          <w:tcPr>
            <w:tcW w:w="240" w:type="dxa"/>
            <w:vAlign w:val="bottom"/>
            <w:shd w:val="clear" w:color="auto" w:fill="F6F3F0"/>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20" w:type="dxa"/>
            <w:vAlign w:val="bottom"/>
            <w:shd w:val="clear" w:color="auto" w:fill="F6F3F0"/>
          </w:tcPr>
          <w:p>
            <w:pPr>
              <w:spacing w:after="0"/>
              <w:rPr>
                <w:sz w:val="17"/>
                <w:szCs w:val="17"/>
                <w:color w:val="auto"/>
              </w:rPr>
            </w:pPr>
          </w:p>
        </w:tc>
        <w:tc>
          <w:tcPr>
            <w:tcW w:w="5340" w:type="dxa"/>
            <w:vAlign w:val="bottom"/>
            <w:gridSpan w:val="3"/>
            <w:shd w:val="clear" w:color="auto" w:fill="F6F3F0"/>
          </w:tcPr>
          <w:p>
            <w:pPr>
              <w:ind w:left="20"/>
              <w:spacing w:after="0"/>
              <w:rPr>
                <w:sz w:val="20"/>
                <w:szCs w:val="20"/>
                <w:color w:val="auto"/>
              </w:rPr>
            </w:pPr>
            <w:r>
              <w:rPr>
                <w:rFonts w:ascii="Arial" w:cs="Arial" w:eastAsia="Arial" w:hAnsi="Arial"/>
                <w:sz w:val="14"/>
                <w:szCs w:val="14"/>
                <w:color w:val="0E1020"/>
              </w:rPr>
              <w:t>the instructions that accompanied your proxy materials.</w:t>
            </w:r>
          </w:p>
        </w:tc>
        <w:tc>
          <w:tcPr>
            <w:tcW w:w="20" w:type="dxa"/>
            <w:vAlign w:val="bottom"/>
            <w:shd w:val="clear" w:color="auto" w:fill="CFCFD2"/>
          </w:tcPr>
          <w:p>
            <w:pPr>
              <w:spacing w:after="0"/>
              <w:rPr>
                <w:sz w:val="17"/>
                <w:szCs w:val="17"/>
                <w:color w:val="auto"/>
              </w:rPr>
            </w:pPr>
          </w:p>
        </w:tc>
        <w:tc>
          <w:tcPr>
            <w:tcW w:w="2320" w:type="dxa"/>
            <w:vAlign w:val="bottom"/>
            <w:shd w:val="clear" w:color="auto" w:fill="F6F3F0"/>
          </w:tcPr>
          <w:p>
            <w:pPr>
              <w:spacing w:after="0"/>
              <w:rPr>
                <w:sz w:val="17"/>
                <w:szCs w:val="17"/>
                <w:color w:val="auto"/>
              </w:rPr>
            </w:pPr>
          </w:p>
        </w:tc>
        <w:tc>
          <w:tcPr>
            <w:tcW w:w="520" w:type="dxa"/>
            <w:vAlign w:val="bottom"/>
            <w:tcBorders>
              <w:right w:val="single" w:sz="8" w:color="CFCFD2"/>
            </w:tcBorders>
            <w:shd w:val="clear" w:color="auto" w:fill="F6F3F0"/>
          </w:tcPr>
          <w:p>
            <w:pPr>
              <w:spacing w:after="0"/>
              <w:rPr>
                <w:sz w:val="17"/>
                <w:szCs w:val="17"/>
                <w:color w:val="auto"/>
              </w:rPr>
            </w:pPr>
          </w:p>
        </w:tc>
        <w:tc>
          <w:tcPr>
            <w:tcW w:w="2820" w:type="dxa"/>
            <w:vAlign w:val="bottom"/>
            <w:gridSpan w:val="3"/>
            <w:shd w:val="clear" w:color="auto" w:fill="F6F3F0"/>
          </w:tcPr>
          <w:p>
            <w:pPr>
              <w:ind w:left="280"/>
              <w:spacing w:after="0"/>
              <w:rPr>
                <w:sz w:val="20"/>
                <w:szCs w:val="20"/>
                <w:color w:val="auto"/>
              </w:rPr>
            </w:pPr>
            <w:r>
              <w:rPr>
                <w:rFonts w:ascii="Arial" w:cs="Arial" w:eastAsia="Arial" w:hAnsi="Arial"/>
                <w:sz w:val="14"/>
                <w:szCs w:val="14"/>
                <w:color w:val="0E1020"/>
              </w:rPr>
              <w:t>nominee and one vote for each</w:t>
            </w:r>
          </w:p>
        </w:tc>
        <w:tc>
          <w:tcPr>
            <w:tcW w:w="0" w:type="dxa"/>
            <w:vAlign w:val="bottom"/>
          </w:tcPr>
          <w:p>
            <w:pPr>
              <w:spacing w:after="0"/>
              <w:rPr>
                <w:sz w:val="1"/>
                <w:szCs w:val="1"/>
                <w:color w:val="auto"/>
              </w:rPr>
            </w:pPr>
          </w:p>
        </w:tc>
      </w:tr>
      <w:tr>
        <w:trPr>
          <w:trHeight w:val="201"/>
        </w:trPr>
        <w:tc>
          <w:tcPr>
            <w:tcW w:w="220" w:type="dxa"/>
            <w:vAlign w:val="bottom"/>
            <w:shd w:val="clear" w:color="auto" w:fill="F6F3F0"/>
          </w:tcPr>
          <w:p>
            <w:pPr>
              <w:spacing w:after="0"/>
              <w:rPr>
                <w:sz w:val="17"/>
                <w:szCs w:val="17"/>
                <w:color w:val="auto"/>
              </w:rPr>
            </w:pPr>
          </w:p>
        </w:tc>
        <w:tc>
          <w:tcPr>
            <w:tcW w:w="5340" w:type="dxa"/>
            <w:vAlign w:val="bottom"/>
            <w:gridSpan w:val="3"/>
            <w:vMerge w:val="restart"/>
            <w:shd w:val="clear" w:color="auto" w:fill="F6F3F0"/>
          </w:tcPr>
          <w:p>
            <w:pPr>
              <w:ind w:left="20"/>
              <w:spacing w:after="0"/>
              <w:rPr>
                <w:sz w:val="20"/>
                <w:szCs w:val="20"/>
                <w:color w:val="auto"/>
              </w:rPr>
            </w:pPr>
            <w:r>
              <w:rPr>
                <w:rFonts w:ascii="Arial" w:cs="Arial" w:eastAsia="Arial" w:hAnsi="Arial"/>
                <w:sz w:val="14"/>
                <w:szCs w:val="14"/>
                <w:color w:val="0E1020"/>
              </w:rPr>
              <w:t>The annual meeting will begin promptly at 8:00 a.m. Eastern Time. Online</w:t>
            </w:r>
          </w:p>
        </w:tc>
        <w:tc>
          <w:tcPr>
            <w:tcW w:w="20" w:type="dxa"/>
            <w:vAlign w:val="bottom"/>
            <w:shd w:val="clear" w:color="auto" w:fill="CFCFD2"/>
          </w:tcPr>
          <w:p>
            <w:pPr>
              <w:spacing w:after="0"/>
              <w:rPr>
                <w:sz w:val="17"/>
                <w:szCs w:val="17"/>
                <w:color w:val="auto"/>
              </w:rPr>
            </w:pPr>
          </w:p>
        </w:tc>
        <w:tc>
          <w:tcPr>
            <w:tcW w:w="2320" w:type="dxa"/>
            <w:vAlign w:val="bottom"/>
            <w:shd w:val="clear" w:color="auto" w:fill="F6F3F0"/>
          </w:tcPr>
          <w:p>
            <w:pPr>
              <w:spacing w:after="0"/>
              <w:rPr>
                <w:sz w:val="17"/>
                <w:szCs w:val="17"/>
                <w:color w:val="auto"/>
              </w:rPr>
            </w:pPr>
          </w:p>
        </w:tc>
        <w:tc>
          <w:tcPr>
            <w:tcW w:w="520" w:type="dxa"/>
            <w:vAlign w:val="bottom"/>
            <w:tcBorders>
              <w:right w:val="single" w:sz="8" w:color="CFCFD2"/>
            </w:tcBorders>
            <w:shd w:val="clear" w:color="auto" w:fill="F6F3F0"/>
          </w:tcPr>
          <w:p>
            <w:pPr>
              <w:spacing w:after="0"/>
              <w:rPr>
                <w:sz w:val="17"/>
                <w:szCs w:val="17"/>
                <w:color w:val="auto"/>
              </w:rPr>
            </w:pPr>
          </w:p>
        </w:tc>
        <w:tc>
          <w:tcPr>
            <w:tcW w:w="2820" w:type="dxa"/>
            <w:vAlign w:val="bottom"/>
            <w:gridSpan w:val="3"/>
            <w:shd w:val="clear" w:color="auto" w:fill="F6F3F0"/>
          </w:tcPr>
          <w:p>
            <w:pPr>
              <w:ind w:left="280"/>
              <w:spacing w:after="0"/>
              <w:rPr>
                <w:sz w:val="20"/>
                <w:szCs w:val="20"/>
                <w:color w:val="auto"/>
              </w:rPr>
            </w:pPr>
            <w:r>
              <w:rPr>
                <w:rFonts w:ascii="Arial" w:cs="Arial" w:eastAsia="Arial" w:hAnsi="Arial"/>
                <w:sz w:val="14"/>
                <w:szCs w:val="14"/>
                <w:color w:val="0E1020"/>
              </w:rPr>
              <w:t>of the proposals to be voted on.</w:t>
            </w:r>
          </w:p>
        </w:tc>
        <w:tc>
          <w:tcPr>
            <w:tcW w:w="0" w:type="dxa"/>
            <w:vAlign w:val="bottom"/>
          </w:tcPr>
          <w:p>
            <w:pPr>
              <w:spacing w:after="0"/>
              <w:rPr>
                <w:sz w:val="1"/>
                <w:szCs w:val="1"/>
                <w:color w:val="auto"/>
              </w:rPr>
            </w:pPr>
          </w:p>
        </w:tc>
      </w:tr>
      <w:tr>
        <w:trPr>
          <w:trHeight w:val="54"/>
        </w:trPr>
        <w:tc>
          <w:tcPr>
            <w:tcW w:w="220" w:type="dxa"/>
            <w:vAlign w:val="bottom"/>
            <w:shd w:val="clear" w:color="auto" w:fill="F6F3F0"/>
          </w:tcPr>
          <w:p>
            <w:pPr>
              <w:spacing w:after="0"/>
              <w:rPr>
                <w:sz w:val="4"/>
                <w:szCs w:val="4"/>
                <w:color w:val="auto"/>
              </w:rPr>
            </w:pPr>
          </w:p>
        </w:tc>
        <w:tc>
          <w:tcPr>
            <w:tcW w:w="5340" w:type="dxa"/>
            <w:vAlign w:val="bottom"/>
            <w:gridSpan w:val="3"/>
            <w:vMerge w:val="continue"/>
            <w:shd w:val="clear" w:color="auto" w:fill="F6F3F0"/>
          </w:tcPr>
          <w:p>
            <w:pPr>
              <w:spacing w:after="0"/>
              <w:rPr>
                <w:sz w:val="4"/>
                <w:szCs w:val="4"/>
                <w:color w:val="auto"/>
              </w:rPr>
            </w:pPr>
          </w:p>
        </w:tc>
        <w:tc>
          <w:tcPr>
            <w:tcW w:w="20" w:type="dxa"/>
            <w:vAlign w:val="bottom"/>
            <w:shd w:val="clear" w:color="auto" w:fill="CFCFD2"/>
          </w:tcPr>
          <w:p>
            <w:pPr>
              <w:spacing w:after="0"/>
              <w:rPr>
                <w:sz w:val="4"/>
                <w:szCs w:val="4"/>
                <w:color w:val="auto"/>
              </w:rPr>
            </w:pPr>
          </w:p>
        </w:tc>
        <w:tc>
          <w:tcPr>
            <w:tcW w:w="2320" w:type="dxa"/>
            <w:vAlign w:val="bottom"/>
            <w:shd w:val="clear" w:color="auto" w:fill="F6F3F0"/>
          </w:tcPr>
          <w:p>
            <w:pPr>
              <w:spacing w:after="0"/>
              <w:rPr>
                <w:sz w:val="4"/>
                <w:szCs w:val="4"/>
                <w:color w:val="auto"/>
              </w:rPr>
            </w:pPr>
          </w:p>
        </w:tc>
        <w:tc>
          <w:tcPr>
            <w:tcW w:w="520" w:type="dxa"/>
            <w:vAlign w:val="bottom"/>
            <w:tcBorders>
              <w:right w:val="single" w:sz="8" w:color="CFCFD2"/>
            </w:tcBorders>
            <w:shd w:val="clear" w:color="auto" w:fill="F6F3F0"/>
          </w:tcPr>
          <w:p>
            <w:pPr>
              <w:spacing w:after="0"/>
              <w:rPr>
                <w:sz w:val="4"/>
                <w:szCs w:val="4"/>
                <w:color w:val="auto"/>
              </w:rPr>
            </w:pPr>
          </w:p>
        </w:tc>
        <w:tc>
          <w:tcPr>
            <w:tcW w:w="2080" w:type="dxa"/>
            <w:vAlign w:val="bottom"/>
            <w:shd w:val="clear" w:color="auto" w:fill="F6F3F0"/>
          </w:tcPr>
          <w:p>
            <w:pPr>
              <w:spacing w:after="0"/>
              <w:rPr>
                <w:sz w:val="4"/>
                <w:szCs w:val="4"/>
                <w:color w:val="auto"/>
              </w:rPr>
            </w:pPr>
          </w:p>
        </w:tc>
        <w:tc>
          <w:tcPr>
            <w:tcW w:w="500" w:type="dxa"/>
            <w:vAlign w:val="bottom"/>
            <w:shd w:val="clear" w:color="auto" w:fill="F6F3F0"/>
          </w:tcPr>
          <w:p>
            <w:pPr>
              <w:spacing w:after="0"/>
              <w:rPr>
                <w:sz w:val="4"/>
                <w:szCs w:val="4"/>
                <w:color w:val="auto"/>
              </w:rPr>
            </w:pPr>
          </w:p>
        </w:tc>
        <w:tc>
          <w:tcPr>
            <w:tcW w:w="240" w:type="dxa"/>
            <w:vAlign w:val="bottom"/>
            <w:shd w:val="clear" w:color="auto" w:fill="F6F3F0"/>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20" w:type="dxa"/>
            <w:vAlign w:val="bottom"/>
            <w:shd w:val="clear" w:color="auto" w:fill="F6F3F0"/>
          </w:tcPr>
          <w:p>
            <w:pPr>
              <w:spacing w:after="0"/>
              <w:rPr>
                <w:sz w:val="17"/>
                <w:szCs w:val="17"/>
                <w:color w:val="auto"/>
              </w:rPr>
            </w:pPr>
          </w:p>
        </w:tc>
        <w:tc>
          <w:tcPr>
            <w:tcW w:w="5340" w:type="dxa"/>
            <w:vAlign w:val="bottom"/>
            <w:gridSpan w:val="3"/>
            <w:shd w:val="clear" w:color="auto" w:fill="F6F3F0"/>
          </w:tcPr>
          <w:p>
            <w:pPr>
              <w:ind w:left="20"/>
              <w:spacing w:after="0"/>
              <w:rPr>
                <w:sz w:val="20"/>
                <w:szCs w:val="20"/>
                <w:color w:val="auto"/>
              </w:rPr>
            </w:pPr>
            <w:r>
              <w:rPr>
                <w:rFonts w:ascii="Arial" w:cs="Arial" w:eastAsia="Arial" w:hAnsi="Arial"/>
                <w:sz w:val="14"/>
                <w:szCs w:val="14"/>
                <w:color w:val="0E1020"/>
              </w:rPr>
              <w:t>check-in will begin at 7:45 a.m. Eastern Time, and you should allow ample time</w:t>
            </w:r>
          </w:p>
        </w:tc>
        <w:tc>
          <w:tcPr>
            <w:tcW w:w="20" w:type="dxa"/>
            <w:vAlign w:val="bottom"/>
            <w:shd w:val="clear" w:color="auto" w:fill="CFCFD2"/>
          </w:tcPr>
          <w:p>
            <w:pPr>
              <w:spacing w:after="0"/>
              <w:rPr>
                <w:sz w:val="17"/>
                <w:szCs w:val="17"/>
                <w:color w:val="auto"/>
              </w:rPr>
            </w:pPr>
          </w:p>
        </w:tc>
        <w:tc>
          <w:tcPr>
            <w:tcW w:w="2320" w:type="dxa"/>
            <w:vAlign w:val="bottom"/>
            <w:shd w:val="clear" w:color="auto" w:fill="F6F3F0"/>
          </w:tcPr>
          <w:p>
            <w:pPr>
              <w:spacing w:after="0"/>
              <w:rPr>
                <w:sz w:val="17"/>
                <w:szCs w:val="17"/>
                <w:color w:val="auto"/>
              </w:rPr>
            </w:pPr>
          </w:p>
        </w:tc>
        <w:tc>
          <w:tcPr>
            <w:tcW w:w="520" w:type="dxa"/>
            <w:vAlign w:val="bottom"/>
            <w:tcBorders>
              <w:right w:val="single" w:sz="8" w:color="CFCFD2"/>
            </w:tcBorders>
            <w:shd w:val="clear" w:color="auto" w:fill="F6F3F0"/>
          </w:tcPr>
          <w:p>
            <w:pPr>
              <w:spacing w:after="0"/>
              <w:rPr>
                <w:sz w:val="17"/>
                <w:szCs w:val="17"/>
                <w:color w:val="auto"/>
              </w:rPr>
            </w:pPr>
          </w:p>
        </w:tc>
        <w:tc>
          <w:tcPr>
            <w:tcW w:w="2080" w:type="dxa"/>
            <w:vAlign w:val="bottom"/>
            <w:shd w:val="clear" w:color="auto" w:fill="F6F3F0"/>
          </w:tcPr>
          <w:p>
            <w:pPr>
              <w:spacing w:after="0"/>
              <w:rPr>
                <w:sz w:val="17"/>
                <w:szCs w:val="17"/>
                <w:color w:val="auto"/>
              </w:rPr>
            </w:pPr>
          </w:p>
        </w:tc>
        <w:tc>
          <w:tcPr>
            <w:tcW w:w="500" w:type="dxa"/>
            <w:vAlign w:val="bottom"/>
            <w:shd w:val="clear" w:color="auto" w:fill="F6F3F0"/>
          </w:tcPr>
          <w:p>
            <w:pPr>
              <w:spacing w:after="0"/>
              <w:rPr>
                <w:sz w:val="17"/>
                <w:szCs w:val="17"/>
                <w:color w:val="auto"/>
              </w:rPr>
            </w:pPr>
          </w:p>
        </w:tc>
        <w:tc>
          <w:tcPr>
            <w:tcW w:w="240" w:type="dxa"/>
            <w:vAlign w:val="bottom"/>
            <w:shd w:val="clear" w:color="auto" w:fill="F6F3F0"/>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Borders>
              <w:bottom w:val="single" w:sz="8" w:color="F6F3F0"/>
            </w:tcBorders>
            <w:shd w:val="clear" w:color="auto" w:fill="F6F3F0"/>
          </w:tcPr>
          <w:p>
            <w:pPr>
              <w:spacing w:after="0"/>
              <w:rPr>
                <w:sz w:val="18"/>
                <w:szCs w:val="18"/>
                <w:color w:val="auto"/>
              </w:rPr>
            </w:pPr>
          </w:p>
        </w:tc>
        <w:tc>
          <w:tcPr>
            <w:tcW w:w="2560" w:type="dxa"/>
            <w:vAlign w:val="bottom"/>
            <w:tcBorders>
              <w:bottom w:val="single" w:sz="8" w:color="F6F3F0"/>
              <w:right w:val="single" w:sz="8" w:color="F6F3F0"/>
            </w:tcBorders>
            <w:gridSpan w:val="2"/>
            <w:shd w:val="clear" w:color="auto" w:fill="F6F3F0"/>
          </w:tcPr>
          <w:p>
            <w:pPr>
              <w:ind w:left="20"/>
              <w:spacing w:after="0"/>
              <w:rPr>
                <w:sz w:val="20"/>
                <w:szCs w:val="20"/>
                <w:color w:val="auto"/>
              </w:rPr>
            </w:pPr>
            <w:r>
              <w:rPr>
                <w:rFonts w:ascii="Arial" w:cs="Arial" w:eastAsia="Arial" w:hAnsi="Arial"/>
                <w:sz w:val="14"/>
                <w:szCs w:val="14"/>
                <w:color w:val="0E1020"/>
              </w:rPr>
              <w:t>for the online check-in procedures.</w:t>
            </w:r>
          </w:p>
        </w:tc>
        <w:tc>
          <w:tcPr>
            <w:tcW w:w="2780" w:type="dxa"/>
            <w:vAlign w:val="bottom"/>
            <w:tcBorders>
              <w:bottom w:val="single" w:sz="8" w:color="F6F3F0"/>
            </w:tcBorders>
            <w:shd w:val="clear" w:color="auto" w:fill="F6F3F0"/>
          </w:tcPr>
          <w:p>
            <w:pPr>
              <w:spacing w:after="0"/>
              <w:rPr>
                <w:sz w:val="18"/>
                <w:szCs w:val="18"/>
                <w:color w:val="auto"/>
              </w:rPr>
            </w:pPr>
          </w:p>
        </w:tc>
        <w:tc>
          <w:tcPr>
            <w:tcW w:w="20" w:type="dxa"/>
            <w:vAlign w:val="bottom"/>
            <w:tcBorders>
              <w:bottom w:val="single" w:sz="8" w:color="CFCFD2"/>
            </w:tcBorders>
            <w:shd w:val="clear" w:color="auto" w:fill="CFCFD2"/>
          </w:tcPr>
          <w:p>
            <w:pPr>
              <w:spacing w:after="0"/>
              <w:rPr>
                <w:sz w:val="18"/>
                <w:szCs w:val="18"/>
                <w:color w:val="auto"/>
              </w:rPr>
            </w:pPr>
          </w:p>
        </w:tc>
        <w:tc>
          <w:tcPr>
            <w:tcW w:w="2320" w:type="dxa"/>
            <w:vAlign w:val="bottom"/>
            <w:tcBorders>
              <w:bottom w:val="single" w:sz="8" w:color="F6F3F0"/>
            </w:tcBorders>
            <w:shd w:val="clear" w:color="auto" w:fill="F6F3F0"/>
          </w:tcPr>
          <w:p>
            <w:pPr>
              <w:spacing w:after="0"/>
              <w:rPr>
                <w:sz w:val="18"/>
                <w:szCs w:val="18"/>
                <w:color w:val="auto"/>
              </w:rPr>
            </w:pPr>
          </w:p>
        </w:tc>
        <w:tc>
          <w:tcPr>
            <w:tcW w:w="520" w:type="dxa"/>
            <w:vAlign w:val="bottom"/>
            <w:tcBorders>
              <w:bottom w:val="single" w:sz="8" w:color="F6F3F0"/>
              <w:right w:val="single" w:sz="8" w:color="CFCFD2"/>
            </w:tcBorders>
            <w:shd w:val="clear" w:color="auto" w:fill="F6F3F0"/>
          </w:tcPr>
          <w:p>
            <w:pPr>
              <w:spacing w:after="0"/>
              <w:rPr>
                <w:sz w:val="18"/>
                <w:szCs w:val="18"/>
                <w:color w:val="auto"/>
              </w:rPr>
            </w:pPr>
          </w:p>
        </w:tc>
        <w:tc>
          <w:tcPr>
            <w:tcW w:w="2080" w:type="dxa"/>
            <w:vAlign w:val="bottom"/>
            <w:tcBorders>
              <w:bottom w:val="single" w:sz="8" w:color="F6F3F0"/>
            </w:tcBorders>
            <w:shd w:val="clear" w:color="auto" w:fill="F6F3F0"/>
          </w:tcPr>
          <w:p>
            <w:pPr>
              <w:spacing w:after="0"/>
              <w:rPr>
                <w:sz w:val="18"/>
                <w:szCs w:val="18"/>
                <w:color w:val="auto"/>
              </w:rPr>
            </w:pPr>
          </w:p>
        </w:tc>
        <w:tc>
          <w:tcPr>
            <w:tcW w:w="500" w:type="dxa"/>
            <w:vAlign w:val="bottom"/>
            <w:tcBorders>
              <w:bottom w:val="single" w:sz="8" w:color="F6F3F0"/>
            </w:tcBorders>
            <w:shd w:val="clear" w:color="auto" w:fill="F6F3F0"/>
          </w:tcPr>
          <w:p>
            <w:pPr>
              <w:spacing w:after="0"/>
              <w:rPr>
                <w:sz w:val="18"/>
                <w:szCs w:val="18"/>
                <w:color w:val="auto"/>
              </w:rPr>
            </w:pPr>
          </w:p>
        </w:tc>
        <w:tc>
          <w:tcPr>
            <w:tcW w:w="240" w:type="dxa"/>
            <w:vAlign w:val="bottom"/>
            <w:tcBorders>
              <w:bottom w:val="single" w:sz="8" w:color="F6F3F0"/>
            </w:tcBorders>
            <w:shd w:val="clear" w:color="auto" w:fill="F6F3F0"/>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20" w:type="dxa"/>
            <w:vAlign w:val="bottom"/>
            <w:shd w:val="clear" w:color="auto" w:fill="F6F3F0"/>
          </w:tcPr>
          <w:p>
            <w:pPr>
              <w:spacing w:after="0"/>
              <w:rPr>
                <w:sz w:val="23"/>
                <w:szCs w:val="23"/>
                <w:color w:val="auto"/>
              </w:rPr>
            </w:pPr>
          </w:p>
        </w:tc>
        <w:tc>
          <w:tcPr>
            <w:tcW w:w="2300" w:type="dxa"/>
            <w:vAlign w:val="bottom"/>
            <w:shd w:val="clear" w:color="auto" w:fill="F6F3F0"/>
          </w:tcPr>
          <w:p>
            <w:pPr>
              <w:spacing w:after="0"/>
              <w:rPr>
                <w:sz w:val="23"/>
                <w:szCs w:val="23"/>
                <w:color w:val="auto"/>
              </w:rPr>
            </w:pPr>
          </w:p>
        </w:tc>
        <w:tc>
          <w:tcPr>
            <w:tcW w:w="260" w:type="dxa"/>
            <w:vAlign w:val="bottom"/>
            <w:tcBorders>
              <w:right w:val="single" w:sz="8" w:color="F6F3F0"/>
            </w:tcBorders>
            <w:shd w:val="clear" w:color="auto" w:fill="F6F3F0"/>
          </w:tcPr>
          <w:p>
            <w:pPr>
              <w:spacing w:after="0"/>
              <w:rPr>
                <w:sz w:val="23"/>
                <w:szCs w:val="23"/>
                <w:color w:val="auto"/>
              </w:rPr>
            </w:pPr>
          </w:p>
        </w:tc>
        <w:tc>
          <w:tcPr>
            <w:tcW w:w="2780" w:type="dxa"/>
            <w:vAlign w:val="bottom"/>
            <w:shd w:val="clear" w:color="auto" w:fill="F6F3F0"/>
          </w:tcPr>
          <w:p>
            <w:pPr>
              <w:spacing w:after="0"/>
              <w:rPr>
                <w:sz w:val="23"/>
                <w:szCs w:val="23"/>
                <w:color w:val="auto"/>
              </w:rPr>
            </w:pPr>
          </w:p>
        </w:tc>
        <w:tc>
          <w:tcPr>
            <w:tcW w:w="20" w:type="dxa"/>
            <w:vAlign w:val="bottom"/>
            <w:shd w:val="clear" w:color="auto" w:fill="F6F3F0"/>
          </w:tcPr>
          <w:p>
            <w:pPr>
              <w:spacing w:after="0"/>
              <w:rPr>
                <w:sz w:val="23"/>
                <w:szCs w:val="23"/>
                <w:color w:val="auto"/>
              </w:rPr>
            </w:pPr>
          </w:p>
        </w:tc>
        <w:tc>
          <w:tcPr>
            <w:tcW w:w="2320" w:type="dxa"/>
            <w:vAlign w:val="bottom"/>
            <w:shd w:val="clear" w:color="auto" w:fill="F6F3F0"/>
          </w:tcPr>
          <w:p>
            <w:pPr>
              <w:spacing w:after="0"/>
              <w:rPr>
                <w:sz w:val="23"/>
                <w:szCs w:val="23"/>
                <w:color w:val="auto"/>
              </w:rPr>
            </w:pPr>
          </w:p>
        </w:tc>
        <w:tc>
          <w:tcPr>
            <w:tcW w:w="520" w:type="dxa"/>
            <w:vAlign w:val="bottom"/>
            <w:tcBorders>
              <w:right w:val="single" w:sz="8" w:color="F6F3F0"/>
            </w:tcBorders>
            <w:shd w:val="clear" w:color="auto" w:fill="F6F3F0"/>
          </w:tcPr>
          <w:p>
            <w:pPr>
              <w:spacing w:after="0"/>
              <w:rPr>
                <w:sz w:val="23"/>
                <w:szCs w:val="23"/>
                <w:color w:val="auto"/>
              </w:rPr>
            </w:pPr>
          </w:p>
        </w:tc>
        <w:tc>
          <w:tcPr>
            <w:tcW w:w="2080" w:type="dxa"/>
            <w:vAlign w:val="bottom"/>
            <w:shd w:val="clear" w:color="auto" w:fill="F6F3F0"/>
          </w:tcPr>
          <w:p>
            <w:pPr>
              <w:spacing w:after="0"/>
              <w:rPr>
                <w:sz w:val="23"/>
                <w:szCs w:val="23"/>
                <w:color w:val="auto"/>
              </w:rPr>
            </w:pPr>
          </w:p>
        </w:tc>
        <w:tc>
          <w:tcPr>
            <w:tcW w:w="500" w:type="dxa"/>
            <w:vAlign w:val="bottom"/>
            <w:shd w:val="clear" w:color="auto" w:fill="F6F3F0"/>
          </w:tcPr>
          <w:p>
            <w:pPr>
              <w:spacing w:after="0"/>
              <w:rPr>
                <w:sz w:val="23"/>
                <w:szCs w:val="23"/>
                <w:color w:val="auto"/>
              </w:rPr>
            </w:pPr>
          </w:p>
        </w:tc>
        <w:tc>
          <w:tcPr>
            <w:tcW w:w="240" w:type="dxa"/>
            <w:vAlign w:val="bottom"/>
            <w:shd w:val="clear" w:color="auto" w:fill="F6F3F0"/>
          </w:tcPr>
          <w:p>
            <w:pPr>
              <w:spacing w:after="0"/>
              <w:rPr>
                <w:sz w:val="23"/>
                <w:szCs w:val="23"/>
                <w:color w:val="auto"/>
              </w:rPr>
            </w:pPr>
          </w:p>
        </w:tc>
        <w:tc>
          <w:tcPr>
            <w:tcW w:w="0" w:type="dxa"/>
            <w:vAlign w:val="bottom"/>
          </w:tcPr>
          <w:p>
            <w:pPr>
              <w:spacing w:after="0"/>
              <w:rPr>
                <w:sz w:val="1"/>
                <w:szCs w:val="1"/>
                <w:color w:val="auto"/>
              </w:rPr>
            </w:pPr>
          </w:p>
        </w:tc>
      </w:tr>
      <w:tr>
        <w:trPr>
          <w:trHeight w:val="656"/>
        </w:trPr>
        <w:tc>
          <w:tcPr>
            <w:tcW w:w="5560" w:type="dxa"/>
            <w:vAlign w:val="bottom"/>
            <w:gridSpan w:val="4"/>
          </w:tcPr>
          <w:p>
            <w:pPr>
              <w:spacing w:after="0"/>
              <w:rPr>
                <w:sz w:val="20"/>
                <w:szCs w:val="20"/>
                <w:color w:val="auto"/>
              </w:rPr>
            </w:pPr>
            <w:r>
              <w:rPr>
                <w:rFonts w:ascii="Arial" w:cs="Arial" w:eastAsia="Arial" w:hAnsi="Arial"/>
                <w:sz w:val="21"/>
                <w:szCs w:val="21"/>
                <w:b w:val="1"/>
                <w:bCs w:val="1"/>
                <w:color w:val="0E1020"/>
              </w:rPr>
              <w:t>Voting Matters and Vote Recommendation</w:t>
            </w:r>
          </w:p>
        </w:tc>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780" w:type="dxa"/>
            <w:vAlign w:val="bottom"/>
            <w:gridSpan w:val="3"/>
          </w:tcPr>
          <w:p>
            <w:pPr>
              <w:spacing w:after="0"/>
              <w:rPr>
                <w:sz w:val="10"/>
                <w:szCs w:val="10"/>
                <w:color w:val="auto"/>
              </w:rPr>
            </w:pPr>
          </w:p>
        </w:tc>
        <w:tc>
          <w:tcPr>
            <w:tcW w:w="2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600" w:type="dxa"/>
            <w:vAlign w:val="bottom"/>
            <w:gridSpan w:val="2"/>
          </w:tcPr>
          <w:p>
            <w:pPr>
              <w:spacing w:after="0"/>
              <w:rPr>
                <w:sz w:val="10"/>
                <w:szCs w:val="10"/>
                <w:color w:val="auto"/>
              </w:rPr>
            </w:pPr>
          </w:p>
        </w:tc>
        <w:tc>
          <w:tcPr>
            <w:tcW w:w="7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80" w:type="dxa"/>
            <w:vAlign w:val="bottom"/>
            <w:tcBorders>
              <w:right w:val="single" w:sz="8" w:color="F6F3F0"/>
            </w:tcBorders>
            <w:gridSpan w:val="3"/>
            <w:shd w:val="clear" w:color="auto" w:fill="F6F3F0"/>
          </w:tcPr>
          <w:p>
            <w:pPr>
              <w:ind w:left="100"/>
              <w:spacing w:after="0"/>
              <w:rPr>
                <w:sz w:val="20"/>
                <w:szCs w:val="20"/>
                <w:color w:val="auto"/>
              </w:rPr>
            </w:pPr>
            <w:r>
              <w:rPr>
                <w:rFonts w:ascii="Arial" w:cs="Arial" w:eastAsia="Arial" w:hAnsi="Arial"/>
                <w:sz w:val="14"/>
                <w:szCs w:val="14"/>
                <w:b w:val="1"/>
                <w:bCs w:val="1"/>
                <w:color w:val="0E1020"/>
              </w:rPr>
              <w:t>Management Proposals</w:t>
            </w:r>
          </w:p>
        </w:tc>
        <w:tc>
          <w:tcPr>
            <w:tcW w:w="2780" w:type="dxa"/>
            <w:vAlign w:val="bottom"/>
            <w:shd w:val="clear" w:color="auto" w:fill="F6F3F0"/>
          </w:tcPr>
          <w:p>
            <w:pPr>
              <w:spacing w:after="0"/>
              <w:rPr>
                <w:sz w:val="23"/>
                <w:szCs w:val="23"/>
                <w:color w:val="auto"/>
              </w:rPr>
            </w:pPr>
          </w:p>
        </w:tc>
        <w:tc>
          <w:tcPr>
            <w:tcW w:w="20" w:type="dxa"/>
            <w:vAlign w:val="bottom"/>
            <w:shd w:val="clear" w:color="auto" w:fill="F6F3F0"/>
          </w:tcPr>
          <w:p>
            <w:pPr>
              <w:spacing w:after="0"/>
              <w:rPr>
                <w:sz w:val="23"/>
                <w:szCs w:val="23"/>
                <w:color w:val="auto"/>
              </w:rPr>
            </w:pPr>
          </w:p>
        </w:tc>
        <w:tc>
          <w:tcPr>
            <w:tcW w:w="2320" w:type="dxa"/>
            <w:vAlign w:val="bottom"/>
            <w:shd w:val="clear" w:color="auto" w:fill="F6F3F0"/>
          </w:tcPr>
          <w:p>
            <w:pPr>
              <w:spacing w:after="0"/>
              <w:rPr>
                <w:sz w:val="23"/>
                <w:szCs w:val="23"/>
                <w:color w:val="auto"/>
              </w:rPr>
            </w:pPr>
          </w:p>
        </w:tc>
        <w:tc>
          <w:tcPr>
            <w:tcW w:w="2600" w:type="dxa"/>
            <w:vAlign w:val="bottom"/>
            <w:gridSpan w:val="2"/>
            <w:shd w:val="clear" w:color="auto" w:fill="F6F3F0"/>
          </w:tcPr>
          <w:p>
            <w:pPr>
              <w:ind w:left="100"/>
              <w:spacing w:after="0"/>
              <w:rPr>
                <w:sz w:val="20"/>
                <w:szCs w:val="20"/>
                <w:color w:val="auto"/>
              </w:rPr>
            </w:pPr>
            <w:r>
              <w:rPr>
                <w:rFonts w:ascii="Arial" w:cs="Arial" w:eastAsia="Arial" w:hAnsi="Arial"/>
                <w:sz w:val="14"/>
                <w:szCs w:val="14"/>
                <w:b w:val="1"/>
                <w:bCs w:val="1"/>
                <w:color w:val="0E1020"/>
              </w:rPr>
              <w:t>Vote Recommendation</w:t>
            </w:r>
          </w:p>
        </w:tc>
        <w:tc>
          <w:tcPr>
            <w:tcW w:w="740" w:type="dxa"/>
            <w:vAlign w:val="bottom"/>
            <w:gridSpan w:val="2"/>
            <w:shd w:val="clear" w:color="auto" w:fill="F6F3F0"/>
          </w:tcPr>
          <w:p>
            <w:pPr>
              <w:ind w:left="40"/>
              <w:spacing w:after="0"/>
              <w:rPr>
                <w:sz w:val="20"/>
                <w:szCs w:val="20"/>
                <w:color w:val="auto"/>
              </w:rPr>
            </w:pPr>
            <w:r>
              <w:rPr>
                <w:rFonts w:ascii="Arial" w:cs="Arial" w:eastAsia="Arial" w:hAnsi="Arial"/>
                <w:sz w:val="14"/>
                <w:szCs w:val="14"/>
                <w:b w:val="1"/>
                <w:bCs w:val="1"/>
                <w:color w:val="0E1020"/>
              </w:rPr>
              <w:t>Page</w:t>
            </w:r>
          </w:p>
        </w:tc>
        <w:tc>
          <w:tcPr>
            <w:tcW w:w="0" w:type="dxa"/>
            <w:vAlign w:val="bottom"/>
          </w:tcPr>
          <w:p>
            <w:pPr>
              <w:spacing w:after="0"/>
              <w:rPr>
                <w:sz w:val="1"/>
                <w:szCs w:val="1"/>
                <w:color w:val="auto"/>
              </w:rPr>
            </w:pPr>
          </w:p>
        </w:tc>
      </w:tr>
      <w:tr>
        <w:trPr>
          <w:trHeight w:val="69"/>
        </w:trPr>
        <w:tc>
          <w:tcPr>
            <w:tcW w:w="220" w:type="dxa"/>
            <w:vAlign w:val="bottom"/>
            <w:tcBorders>
              <w:bottom w:val="single" w:sz="8" w:color="CFCFD2"/>
            </w:tcBorders>
            <w:shd w:val="clear" w:color="auto" w:fill="F6F3F0"/>
          </w:tcPr>
          <w:p>
            <w:pPr>
              <w:spacing w:after="0"/>
              <w:rPr>
                <w:sz w:val="5"/>
                <w:szCs w:val="5"/>
                <w:color w:val="auto"/>
              </w:rPr>
            </w:pPr>
          </w:p>
        </w:tc>
        <w:tc>
          <w:tcPr>
            <w:tcW w:w="2300" w:type="dxa"/>
            <w:vAlign w:val="bottom"/>
            <w:tcBorders>
              <w:bottom w:val="single" w:sz="8" w:color="CFCFD2"/>
            </w:tcBorders>
            <w:shd w:val="clear" w:color="auto" w:fill="F6F3F0"/>
          </w:tcPr>
          <w:p>
            <w:pPr>
              <w:spacing w:after="0"/>
              <w:rPr>
                <w:sz w:val="5"/>
                <w:szCs w:val="5"/>
                <w:color w:val="auto"/>
              </w:rPr>
            </w:pPr>
          </w:p>
        </w:tc>
        <w:tc>
          <w:tcPr>
            <w:tcW w:w="260" w:type="dxa"/>
            <w:vAlign w:val="bottom"/>
            <w:tcBorders>
              <w:bottom w:val="single" w:sz="8" w:color="CFCFD2"/>
              <w:right w:val="single" w:sz="8" w:color="F6F3F0"/>
            </w:tcBorders>
            <w:shd w:val="clear" w:color="auto" w:fill="F6F3F0"/>
          </w:tcPr>
          <w:p>
            <w:pPr>
              <w:spacing w:after="0"/>
              <w:rPr>
                <w:sz w:val="5"/>
                <w:szCs w:val="5"/>
                <w:color w:val="auto"/>
              </w:rPr>
            </w:pPr>
          </w:p>
        </w:tc>
        <w:tc>
          <w:tcPr>
            <w:tcW w:w="2780" w:type="dxa"/>
            <w:vAlign w:val="bottom"/>
            <w:tcBorders>
              <w:bottom w:val="single" w:sz="8" w:color="CFCFD2"/>
            </w:tcBorders>
            <w:shd w:val="clear" w:color="auto" w:fill="F6F3F0"/>
          </w:tcPr>
          <w:p>
            <w:pPr>
              <w:spacing w:after="0"/>
              <w:rPr>
                <w:sz w:val="5"/>
                <w:szCs w:val="5"/>
                <w:color w:val="auto"/>
              </w:rPr>
            </w:pPr>
          </w:p>
        </w:tc>
        <w:tc>
          <w:tcPr>
            <w:tcW w:w="20" w:type="dxa"/>
            <w:vAlign w:val="bottom"/>
            <w:tcBorders>
              <w:bottom w:val="single" w:sz="8" w:color="CFCFD2"/>
            </w:tcBorders>
            <w:shd w:val="clear" w:color="auto" w:fill="F6F3F0"/>
          </w:tcPr>
          <w:p>
            <w:pPr>
              <w:spacing w:after="0"/>
              <w:rPr>
                <w:sz w:val="5"/>
                <w:szCs w:val="5"/>
                <w:color w:val="auto"/>
              </w:rPr>
            </w:pPr>
          </w:p>
        </w:tc>
        <w:tc>
          <w:tcPr>
            <w:tcW w:w="2320" w:type="dxa"/>
            <w:vAlign w:val="bottom"/>
            <w:tcBorders>
              <w:bottom w:val="single" w:sz="8" w:color="CFCFD2"/>
            </w:tcBorders>
            <w:shd w:val="clear" w:color="auto" w:fill="F6F3F0"/>
          </w:tcPr>
          <w:p>
            <w:pPr>
              <w:spacing w:after="0"/>
              <w:rPr>
                <w:sz w:val="5"/>
                <w:szCs w:val="5"/>
                <w:color w:val="auto"/>
              </w:rPr>
            </w:pPr>
          </w:p>
        </w:tc>
        <w:tc>
          <w:tcPr>
            <w:tcW w:w="520" w:type="dxa"/>
            <w:vAlign w:val="bottom"/>
            <w:tcBorders>
              <w:bottom w:val="single" w:sz="8" w:color="CFCFD2"/>
              <w:right w:val="single" w:sz="8" w:color="F6F3F0"/>
            </w:tcBorders>
            <w:shd w:val="clear" w:color="auto" w:fill="F6F3F0"/>
          </w:tcPr>
          <w:p>
            <w:pPr>
              <w:spacing w:after="0"/>
              <w:rPr>
                <w:sz w:val="5"/>
                <w:szCs w:val="5"/>
                <w:color w:val="auto"/>
              </w:rPr>
            </w:pPr>
          </w:p>
        </w:tc>
        <w:tc>
          <w:tcPr>
            <w:tcW w:w="2080" w:type="dxa"/>
            <w:vAlign w:val="bottom"/>
            <w:tcBorders>
              <w:bottom w:val="single" w:sz="8" w:color="CFCFD2"/>
            </w:tcBorders>
            <w:shd w:val="clear" w:color="auto" w:fill="F6F3F0"/>
          </w:tcPr>
          <w:p>
            <w:pPr>
              <w:spacing w:after="0"/>
              <w:rPr>
                <w:sz w:val="5"/>
                <w:szCs w:val="5"/>
                <w:color w:val="auto"/>
              </w:rPr>
            </w:pPr>
          </w:p>
        </w:tc>
        <w:tc>
          <w:tcPr>
            <w:tcW w:w="500" w:type="dxa"/>
            <w:vAlign w:val="bottom"/>
            <w:tcBorders>
              <w:bottom w:val="single" w:sz="8" w:color="CFCFD2"/>
            </w:tcBorders>
            <w:shd w:val="clear" w:color="auto" w:fill="F6F3F0"/>
          </w:tcPr>
          <w:p>
            <w:pPr>
              <w:spacing w:after="0"/>
              <w:rPr>
                <w:sz w:val="5"/>
                <w:szCs w:val="5"/>
                <w:color w:val="auto"/>
              </w:rPr>
            </w:pPr>
          </w:p>
        </w:tc>
        <w:tc>
          <w:tcPr>
            <w:tcW w:w="240" w:type="dxa"/>
            <w:vAlign w:val="bottom"/>
            <w:tcBorders>
              <w:bottom w:val="single" w:sz="8" w:color="CFCFD2"/>
            </w:tcBorders>
            <w:shd w:val="clear" w:color="auto" w:fill="F6F3F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-3361690</wp:posOffset>
            </wp:positionV>
            <wp:extent cx="221615" cy="2216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1615" cy="221615"/>
                    </a:xfrm>
                    <a:prstGeom prst="rect">
                      <a:avLst/>
                    </a:prstGeom>
                    <a:noFill/>
                  </pic:spPr>
                </pic:pic>
              </a:graphicData>
            </a:graphic>
          </wp:anchor>
        </w:drawing>
        <w:drawing>
          <wp:anchor simplePos="0" relativeHeight="251657728" behindDoc="1" locked="0" layoutInCell="0" allowOverlap="1">
            <wp:simplePos x="0" y="0"/>
            <wp:positionH relativeFrom="column">
              <wp:posOffset>1919605</wp:posOffset>
            </wp:positionH>
            <wp:positionV relativeFrom="paragraph">
              <wp:posOffset>-3361690</wp:posOffset>
            </wp:positionV>
            <wp:extent cx="221615" cy="2216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1615" cy="22161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-3361690</wp:posOffset>
            </wp:positionV>
            <wp:extent cx="221615" cy="221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1615" cy="22161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-2408555</wp:posOffset>
            </wp:positionV>
            <wp:extent cx="221615" cy="2216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1615" cy="22161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-2408555</wp:posOffset>
            </wp:positionV>
            <wp:extent cx="221615" cy="2216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1615" cy="221615"/>
                    </a:xfrm>
                    <a:prstGeom prst="rect">
                      <a:avLst/>
                    </a:prstGeom>
                    <a:noFill/>
                  </pic:spPr>
                </pic:pic>
              </a:graphicData>
            </a:graphic>
          </wp:anchor>
        </w:drawing>
        <w:drawing>
          <wp:anchor simplePos="0" relativeHeight="251657728" behindDoc="1" locked="0" layoutInCell="0" allowOverlap="1">
            <wp:simplePos x="0" y="0"/>
            <wp:positionH relativeFrom="column">
              <wp:posOffset>5520690</wp:posOffset>
            </wp:positionH>
            <wp:positionV relativeFrom="paragraph">
              <wp:posOffset>-2408555</wp:posOffset>
            </wp:positionV>
            <wp:extent cx="221615" cy="2216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1615" cy="22161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25400</wp:posOffset>
            </wp:positionV>
            <wp:extent cx="238125" cy="2381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8125" cy="23812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p>
      <w:pPr>
        <w:spacing w:after="0" w:line="178" w:lineRule="exact"/>
        <w:rPr>
          <w:sz w:val="20"/>
          <w:szCs w:val="20"/>
          <w:color w:val="auto"/>
        </w:rPr>
      </w:pPr>
    </w:p>
    <w:tbl>
      <w:tblPr>
        <w:tblLayout w:type="fixed"/>
        <w:tblInd w:w="900" w:type="dxa"/>
        <w:tblCellMar>
          <w:top w:w="0" w:type="dxa"/>
          <w:left w:w="0" w:type="dxa"/>
          <w:bottom w:w="0" w:type="dxa"/>
          <w:right w:w="0" w:type="dxa"/>
        </w:tblCellMar>
      </w:tblPr>
      <w:tr>
        <w:trPr>
          <w:trHeight w:val="195"/>
        </w:trPr>
        <w:tc>
          <w:tcPr>
            <w:tcW w:w="7000" w:type="dxa"/>
            <w:vAlign w:val="bottom"/>
          </w:tcPr>
          <w:p>
            <w:pPr>
              <w:spacing w:after="0"/>
              <w:rPr>
                <w:sz w:val="20"/>
                <w:szCs w:val="20"/>
                <w:color w:val="auto"/>
              </w:rPr>
            </w:pPr>
            <w:r>
              <w:rPr>
                <w:rFonts w:ascii="Arial" w:cs="Arial" w:eastAsia="Arial" w:hAnsi="Arial"/>
                <w:sz w:val="14"/>
                <w:szCs w:val="14"/>
                <w:color w:val="0E1020"/>
              </w:rPr>
              <w:t>Election of each of the 9 director nominees listed in this proxy statement</w:t>
            </w:r>
          </w:p>
        </w:tc>
        <w:tc>
          <w:tcPr>
            <w:tcW w:w="1340" w:type="dxa"/>
            <w:vAlign w:val="bottom"/>
          </w:tcPr>
          <w:p>
            <w:pPr>
              <w:ind w:left="100"/>
              <w:spacing w:after="0"/>
              <w:rPr>
                <w:sz w:val="20"/>
                <w:szCs w:val="20"/>
                <w:color w:val="auto"/>
              </w:rPr>
            </w:pPr>
            <w:r>
              <w:rPr>
                <w:rFonts w:ascii="Arial" w:cs="Arial" w:eastAsia="Arial" w:hAnsi="Arial"/>
                <w:sz w:val="14"/>
                <w:szCs w:val="14"/>
                <w:b w:val="1"/>
                <w:bCs w:val="1"/>
                <w:color w:val="004AAC"/>
              </w:rPr>
              <w:t xml:space="preserve">FOR </w:t>
            </w:r>
            <w:r>
              <w:rPr>
                <w:rFonts w:ascii="Arial" w:cs="Arial" w:eastAsia="Arial" w:hAnsi="Arial"/>
                <w:sz w:val="14"/>
                <w:szCs w:val="14"/>
                <w:color w:val="0E1020"/>
              </w:rPr>
              <w:t>each nominee</w:t>
            </w:r>
          </w:p>
        </w:tc>
        <w:tc>
          <w:tcPr>
            <w:tcW w:w="0" w:type="dxa"/>
            <w:vAlign w:val="bottom"/>
          </w:tcPr>
          <w:p>
            <w:pPr>
              <w:spacing w:after="0"/>
              <w:rPr>
                <w:sz w:val="1"/>
                <w:szCs w:val="1"/>
                <w:color w:val="auto"/>
              </w:rPr>
            </w:pPr>
          </w:p>
        </w:tc>
      </w:tr>
      <w:tr>
        <w:trPr>
          <w:trHeight w:val="408"/>
        </w:trPr>
        <w:tc>
          <w:tcPr>
            <w:tcW w:w="7000" w:type="dxa"/>
            <w:vAlign w:val="bottom"/>
          </w:tcPr>
          <w:p>
            <w:pPr>
              <w:spacing w:after="0"/>
              <w:rPr>
                <w:sz w:val="20"/>
                <w:szCs w:val="20"/>
                <w:color w:val="auto"/>
              </w:rPr>
            </w:pPr>
            <w:r>
              <w:rPr>
                <w:rFonts w:ascii="Arial" w:cs="Arial" w:eastAsia="Arial" w:hAnsi="Arial"/>
                <w:sz w:val="14"/>
                <w:szCs w:val="14"/>
                <w:color w:val="0E1020"/>
              </w:rPr>
              <w:t>Ratification of the appointment of Deloitte &amp; Touche LLP as our independent registered public accounting firm</w:t>
            </w:r>
          </w:p>
        </w:tc>
        <w:tc>
          <w:tcPr>
            <w:tcW w:w="1340" w:type="dxa"/>
            <w:vAlign w:val="bottom"/>
            <w:vMerge w:val="restart"/>
          </w:tcPr>
          <w:p>
            <w:pPr>
              <w:ind w:left="100"/>
              <w:spacing w:after="0"/>
              <w:rPr>
                <w:sz w:val="20"/>
                <w:szCs w:val="20"/>
                <w:color w:val="auto"/>
              </w:rPr>
            </w:pPr>
            <w:r>
              <w:rPr>
                <w:rFonts w:ascii="Arial" w:cs="Arial" w:eastAsia="Arial" w:hAnsi="Arial"/>
                <w:sz w:val="14"/>
                <w:szCs w:val="14"/>
                <w:b w:val="1"/>
                <w:bCs w:val="1"/>
                <w:color w:val="004AAC"/>
              </w:rPr>
              <w:t>FOR</w:t>
            </w:r>
          </w:p>
        </w:tc>
        <w:tc>
          <w:tcPr>
            <w:tcW w:w="0" w:type="dxa"/>
            <w:vAlign w:val="bottom"/>
          </w:tcPr>
          <w:p>
            <w:pPr>
              <w:spacing w:after="0"/>
              <w:rPr>
                <w:sz w:val="1"/>
                <w:szCs w:val="1"/>
                <w:color w:val="auto"/>
              </w:rPr>
            </w:pPr>
          </w:p>
        </w:tc>
      </w:tr>
      <w:tr>
        <w:trPr>
          <w:trHeight w:val="115"/>
        </w:trPr>
        <w:tc>
          <w:tcPr>
            <w:tcW w:w="7000" w:type="dxa"/>
            <w:vAlign w:val="bottom"/>
            <w:vMerge w:val="restart"/>
          </w:tcPr>
          <w:p>
            <w:pPr>
              <w:spacing w:after="0"/>
              <w:rPr>
                <w:sz w:val="20"/>
                <w:szCs w:val="20"/>
                <w:color w:val="auto"/>
              </w:rPr>
            </w:pPr>
            <w:r>
              <w:rPr>
                <w:rFonts w:ascii="Arial" w:cs="Arial" w:eastAsia="Arial" w:hAnsi="Arial"/>
                <w:sz w:val="14"/>
                <w:szCs w:val="14"/>
                <w:color w:val="0E1020"/>
              </w:rPr>
              <w:t>for the fiscal year ending March 31, 2027</w:t>
            </w: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7000" w:type="dxa"/>
            <w:vAlign w:val="bottom"/>
            <w:vMerge w:val="continue"/>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8"/>
        </w:trPr>
        <w:tc>
          <w:tcPr>
            <w:tcW w:w="7000" w:type="dxa"/>
            <w:vAlign w:val="bottom"/>
          </w:tcPr>
          <w:p>
            <w:pPr>
              <w:spacing w:after="0"/>
              <w:rPr>
                <w:sz w:val="20"/>
                <w:szCs w:val="20"/>
                <w:color w:val="auto"/>
              </w:rPr>
            </w:pPr>
            <w:r>
              <w:rPr>
                <w:rFonts w:ascii="Arial" w:cs="Arial" w:eastAsia="Arial" w:hAnsi="Arial"/>
                <w:sz w:val="14"/>
                <w:szCs w:val="14"/>
                <w:color w:val="0E1020"/>
              </w:rPr>
              <w:t>Approval, in a non-binding advisory vote, of our named executive officer compensation</w:t>
            </w:r>
          </w:p>
        </w:tc>
        <w:tc>
          <w:tcPr>
            <w:tcW w:w="1340" w:type="dxa"/>
            <w:vAlign w:val="bottom"/>
          </w:tcPr>
          <w:p>
            <w:pPr>
              <w:ind w:left="100"/>
              <w:spacing w:after="0"/>
              <w:rPr>
                <w:sz w:val="20"/>
                <w:szCs w:val="20"/>
                <w:color w:val="auto"/>
              </w:rPr>
            </w:pPr>
            <w:r>
              <w:rPr>
                <w:rFonts w:ascii="Arial" w:cs="Arial" w:eastAsia="Arial" w:hAnsi="Arial"/>
                <w:sz w:val="14"/>
                <w:szCs w:val="14"/>
                <w:b w:val="1"/>
                <w:bCs w:val="1"/>
                <w:color w:val="004AAC"/>
              </w:rPr>
              <w:t>FOR</w:t>
            </w:r>
          </w:p>
        </w:tc>
        <w:tc>
          <w:tcPr>
            <w:tcW w:w="0" w:type="dxa"/>
            <w:vAlign w:val="bottom"/>
          </w:tcPr>
          <w:p>
            <w:pPr>
              <w:spacing w:after="0"/>
              <w:rPr>
                <w:sz w:val="1"/>
                <w:szCs w:val="1"/>
                <w:color w:val="auto"/>
              </w:rPr>
            </w:pPr>
          </w:p>
        </w:tc>
      </w:tr>
      <w:tr>
        <w:trPr>
          <w:trHeight w:val="408"/>
        </w:trPr>
        <w:tc>
          <w:tcPr>
            <w:tcW w:w="7000" w:type="dxa"/>
            <w:vAlign w:val="bottom"/>
          </w:tcPr>
          <w:p>
            <w:pPr>
              <w:spacing w:after="0"/>
              <w:rPr>
                <w:sz w:val="20"/>
                <w:szCs w:val="20"/>
                <w:color w:val="auto"/>
              </w:rPr>
            </w:pPr>
            <w:r>
              <w:rPr>
                <w:rFonts w:ascii="Arial" w:cs="Arial" w:eastAsia="Arial" w:hAnsi="Arial"/>
                <w:sz w:val="14"/>
                <w:szCs w:val="14"/>
                <w:color w:val="0E1020"/>
              </w:rPr>
              <w:t>Approval of Term Extension and an Increase in the Number of Shares Available under the Amended and</w:t>
            </w:r>
          </w:p>
        </w:tc>
        <w:tc>
          <w:tcPr>
            <w:tcW w:w="1340" w:type="dxa"/>
            <w:vAlign w:val="bottom"/>
            <w:vMerge w:val="restart"/>
          </w:tcPr>
          <w:p>
            <w:pPr>
              <w:ind w:left="100"/>
              <w:spacing w:after="0"/>
              <w:rPr>
                <w:sz w:val="20"/>
                <w:szCs w:val="20"/>
                <w:color w:val="auto"/>
              </w:rPr>
            </w:pPr>
            <w:r>
              <w:rPr>
                <w:rFonts w:ascii="Arial" w:cs="Arial" w:eastAsia="Arial" w:hAnsi="Arial"/>
                <w:sz w:val="14"/>
                <w:szCs w:val="14"/>
                <w:b w:val="1"/>
                <w:bCs w:val="1"/>
                <w:color w:val="004AAC"/>
              </w:rPr>
              <w:t>FOR</w:t>
            </w:r>
          </w:p>
        </w:tc>
        <w:tc>
          <w:tcPr>
            <w:tcW w:w="0" w:type="dxa"/>
            <w:vAlign w:val="bottom"/>
          </w:tcPr>
          <w:p>
            <w:pPr>
              <w:spacing w:after="0"/>
              <w:rPr>
                <w:sz w:val="1"/>
                <w:szCs w:val="1"/>
                <w:color w:val="auto"/>
              </w:rPr>
            </w:pPr>
          </w:p>
        </w:tc>
      </w:tr>
      <w:tr>
        <w:trPr>
          <w:trHeight w:val="115"/>
        </w:trPr>
        <w:tc>
          <w:tcPr>
            <w:tcW w:w="7000" w:type="dxa"/>
            <w:vAlign w:val="bottom"/>
            <w:vMerge w:val="restart"/>
          </w:tcPr>
          <w:p>
            <w:pPr>
              <w:spacing w:after="0"/>
              <w:rPr>
                <w:sz w:val="20"/>
                <w:szCs w:val="20"/>
                <w:color w:val="auto"/>
              </w:rPr>
            </w:pPr>
            <w:r>
              <w:rPr>
                <w:rFonts w:ascii="Arial" w:cs="Arial" w:eastAsia="Arial" w:hAnsi="Arial"/>
                <w:sz w:val="14"/>
                <w:szCs w:val="14"/>
                <w:color w:val="0E1020"/>
              </w:rPr>
              <w:t>Restated DXC Technology Company 2017 Omnibus Incentive Plan</w:t>
            </w: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7000" w:type="dxa"/>
            <w:vAlign w:val="bottom"/>
            <w:vMerge w:val="continue"/>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3"/>
        </w:trPr>
        <w:tc>
          <w:tcPr>
            <w:tcW w:w="7000" w:type="dxa"/>
            <w:vAlign w:val="bottom"/>
          </w:tcPr>
          <w:p>
            <w:pPr>
              <w:spacing w:after="0"/>
              <w:rPr>
                <w:sz w:val="20"/>
                <w:szCs w:val="20"/>
                <w:color w:val="auto"/>
              </w:rPr>
            </w:pPr>
            <w:r>
              <w:rPr>
                <w:rFonts w:ascii="Arial" w:cs="Arial" w:eastAsia="Arial" w:hAnsi="Arial"/>
                <w:sz w:val="14"/>
                <w:szCs w:val="14"/>
                <w:color w:val="0E1020"/>
              </w:rPr>
              <w:t>Approval of Term Extension and an Increase in the Number of Shares Available under the Amended and</w:t>
            </w:r>
          </w:p>
        </w:tc>
        <w:tc>
          <w:tcPr>
            <w:tcW w:w="1340" w:type="dxa"/>
            <w:vAlign w:val="bottom"/>
            <w:vMerge w:val="restart"/>
          </w:tcPr>
          <w:p>
            <w:pPr>
              <w:ind w:left="100"/>
              <w:spacing w:after="0"/>
              <w:rPr>
                <w:sz w:val="20"/>
                <w:szCs w:val="20"/>
                <w:color w:val="auto"/>
              </w:rPr>
            </w:pPr>
            <w:r>
              <w:rPr>
                <w:rFonts w:ascii="Arial" w:cs="Arial" w:eastAsia="Arial" w:hAnsi="Arial"/>
                <w:sz w:val="14"/>
                <w:szCs w:val="14"/>
                <w:b w:val="1"/>
                <w:bCs w:val="1"/>
                <w:color w:val="004AAC"/>
              </w:rPr>
              <w:t>FOR</w:t>
            </w:r>
          </w:p>
        </w:tc>
        <w:tc>
          <w:tcPr>
            <w:tcW w:w="0" w:type="dxa"/>
            <w:vAlign w:val="bottom"/>
          </w:tcPr>
          <w:p>
            <w:pPr>
              <w:spacing w:after="0"/>
              <w:rPr>
                <w:sz w:val="1"/>
                <w:szCs w:val="1"/>
                <w:color w:val="auto"/>
              </w:rPr>
            </w:pPr>
          </w:p>
        </w:tc>
      </w:tr>
      <w:tr>
        <w:trPr>
          <w:trHeight w:val="115"/>
        </w:trPr>
        <w:tc>
          <w:tcPr>
            <w:tcW w:w="7000" w:type="dxa"/>
            <w:vAlign w:val="bottom"/>
            <w:vMerge w:val="restart"/>
          </w:tcPr>
          <w:p>
            <w:pPr>
              <w:spacing w:after="0"/>
              <w:rPr>
                <w:sz w:val="20"/>
                <w:szCs w:val="20"/>
                <w:color w:val="auto"/>
              </w:rPr>
            </w:pPr>
            <w:r>
              <w:rPr>
                <w:rFonts w:ascii="Arial" w:cs="Arial" w:eastAsia="Arial" w:hAnsi="Arial"/>
                <w:sz w:val="14"/>
                <w:szCs w:val="14"/>
                <w:color w:val="0E1020"/>
              </w:rPr>
              <w:t>Restated DXC Technology Company 2017 Non-Employee Director Incentive Plan</w:t>
            </w: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7000" w:type="dxa"/>
            <w:vAlign w:val="bottom"/>
            <w:vMerge w:val="continue"/>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335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-292735</wp:posOffset>
            </wp:positionV>
            <wp:extent cx="71335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-624205</wp:posOffset>
            </wp:positionV>
            <wp:extent cx="71335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-956310</wp:posOffset>
            </wp:positionV>
            <wp:extent cx="71335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-1288415</wp:posOffset>
            </wp:positionV>
            <wp:extent cx="71335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-1254125</wp:posOffset>
            </wp:positionV>
            <wp:extent cx="238125" cy="2381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8125" cy="23812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-922655</wp:posOffset>
            </wp:positionV>
            <wp:extent cx="238125" cy="238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8125" cy="23812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-590550</wp:posOffset>
            </wp:positionV>
            <wp:extent cx="238125" cy="2381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8125" cy="23812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-258445</wp:posOffset>
            </wp:positionV>
            <wp:extent cx="238125" cy="2381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8125" cy="238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4"/>
          <w:szCs w:val="14"/>
          <w:color w:val="0E1020"/>
        </w:rPr>
        <w:t>4</w:t>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0E1020"/>
        </w:rPr>
        <w:t>17</w:t>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0E1020"/>
        </w:rPr>
        <w:t>19</w:t>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0E1020"/>
        </w:rPr>
        <w:t>20</w:t>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0E1020"/>
        </w:rPr>
        <w:t>30</w:t>
      </w:r>
    </w:p>
    <w:p>
      <w:pPr>
        <w:spacing w:after="0" w:line="308" w:lineRule="exact"/>
        <w:rPr>
          <w:sz w:val="20"/>
          <w:szCs w:val="20"/>
          <w:color w:val="auto"/>
        </w:rPr>
      </w:pPr>
    </w:p>
    <w:p>
      <w:pPr>
        <w:sectPr>
          <w:pgSz w:w="11900" w:h="16838" w:orient="portrait"/>
          <w:cols w:equalWidth="0" w:num="2">
            <w:col w:w="9900" w:space="720"/>
            <w:col w:w="620"/>
          </w:cols>
          <w:pgMar w:left="320" w:top="22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556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1</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2300" w:type="dxa"/>
            <w:vAlign w:val="bottom"/>
            <w:gridSpan w:val="2"/>
          </w:tcPr>
          <w:p>
            <w:pPr>
              <w:ind w:left="20"/>
              <w:spacing w:after="0"/>
              <w:rPr>
                <w:sz w:val="20"/>
                <w:szCs w:val="20"/>
                <w:color w:val="auto"/>
              </w:rPr>
            </w:pPr>
            <w:r>
              <w:rPr>
                <w:rFonts w:ascii="Arial" w:cs="Arial" w:eastAsia="Arial" w:hAnsi="Arial"/>
                <w:sz w:val="14"/>
                <w:szCs w:val="14"/>
                <w:color w:val="0E1020"/>
              </w:rPr>
              <w:t>Proxy Summary</w:t>
            </w:r>
          </w:p>
        </w:tc>
        <w:tc>
          <w:tcPr>
            <w:tcW w:w="2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0000FF"/>
                <w:w w:val="99"/>
              </w:rPr>
              <w:t>Table of Contents</w:t>
            </w:r>
          </w:p>
        </w:tc>
        <w:tc>
          <w:tcPr>
            <w:tcW w:w="0" w:type="dxa"/>
            <w:vAlign w:val="bottom"/>
          </w:tcPr>
          <w:p>
            <w:pPr>
              <w:spacing w:after="0"/>
              <w:rPr>
                <w:sz w:val="1"/>
                <w:szCs w:val="1"/>
                <w:color w:val="auto"/>
              </w:rPr>
            </w:pPr>
          </w:p>
        </w:tc>
      </w:tr>
      <w:tr>
        <w:trPr>
          <w:trHeight w:val="1012"/>
        </w:trPr>
        <w:tc>
          <w:tcPr>
            <w:tcW w:w="2300" w:type="dxa"/>
            <w:vAlign w:val="bottom"/>
            <w:gridSpan w:val="2"/>
          </w:tcPr>
          <w:p>
            <w:pPr>
              <w:spacing w:after="0"/>
              <w:rPr>
                <w:sz w:val="20"/>
                <w:szCs w:val="20"/>
                <w:color w:val="auto"/>
              </w:rPr>
            </w:pPr>
            <w:r>
              <w:rPr>
                <w:rFonts w:ascii="Arial" w:cs="Arial" w:eastAsia="Arial" w:hAnsi="Arial"/>
                <w:sz w:val="21"/>
                <w:szCs w:val="21"/>
                <w:b w:val="1"/>
                <w:bCs w:val="1"/>
                <w:color w:val="0E1020"/>
              </w:rPr>
              <w:t>Ways to Vote</w:t>
            </w:r>
          </w:p>
        </w:tc>
        <w:tc>
          <w:tcPr>
            <w:tcW w:w="2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200" w:type="dxa"/>
            <w:vAlign w:val="bottom"/>
            <w:shd w:val="clear" w:color="auto" w:fill="F6F3F0"/>
          </w:tcPr>
          <w:p>
            <w:pPr>
              <w:spacing w:after="0"/>
              <w:rPr>
                <w:sz w:val="23"/>
                <w:szCs w:val="23"/>
                <w:color w:val="auto"/>
              </w:rPr>
            </w:pPr>
          </w:p>
        </w:tc>
        <w:tc>
          <w:tcPr>
            <w:tcW w:w="2100" w:type="dxa"/>
            <w:vAlign w:val="bottom"/>
            <w:vMerge w:val="restart"/>
            <w:shd w:val="clear" w:color="auto" w:fill="F6F3F0"/>
          </w:tcPr>
          <w:p>
            <w:pPr>
              <w:ind w:left="20"/>
              <w:spacing w:after="0"/>
              <w:rPr>
                <w:sz w:val="20"/>
                <w:szCs w:val="20"/>
                <w:color w:val="auto"/>
              </w:rPr>
            </w:pPr>
            <w:r>
              <w:rPr>
                <w:rFonts w:ascii="Times New Roman" w:cs="Times New Roman" w:eastAsia="Times New Roman" w:hAnsi="Times New Roman"/>
                <w:sz w:val="16"/>
                <w:szCs w:val="16"/>
                <w:b w:val="1"/>
                <w:bCs w:val="1"/>
                <w:color w:val="0E1020"/>
              </w:rPr>
              <w:t>INTERNET</w:t>
            </w:r>
          </w:p>
        </w:tc>
        <w:tc>
          <w:tcPr>
            <w:tcW w:w="240" w:type="dxa"/>
            <w:vAlign w:val="bottom"/>
            <w:tcBorders>
              <w:right w:val="single" w:sz="8" w:color="F6F3F0"/>
            </w:tcBorders>
            <w:shd w:val="clear" w:color="auto" w:fill="F6F3F0"/>
          </w:tcPr>
          <w:p>
            <w:pPr>
              <w:spacing w:after="0"/>
              <w:rPr>
                <w:sz w:val="23"/>
                <w:szCs w:val="23"/>
                <w:color w:val="auto"/>
              </w:rPr>
            </w:pPr>
          </w:p>
        </w:tc>
        <w:tc>
          <w:tcPr>
            <w:tcW w:w="2540" w:type="dxa"/>
            <w:vAlign w:val="bottom"/>
            <w:vMerge w:val="restart"/>
            <w:shd w:val="clear" w:color="auto" w:fill="F6F3F0"/>
          </w:tcPr>
          <w:p>
            <w:pPr>
              <w:ind w:left="200"/>
              <w:spacing w:after="0"/>
              <w:rPr>
                <w:sz w:val="20"/>
                <w:szCs w:val="20"/>
                <w:color w:val="auto"/>
              </w:rPr>
            </w:pPr>
            <w:r>
              <w:rPr>
                <w:rFonts w:ascii="Times New Roman" w:cs="Times New Roman" w:eastAsia="Times New Roman" w:hAnsi="Times New Roman"/>
                <w:sz w:val="16"/>
                <w:szCs w:val="16"/>
                <w:b w:val="1"/>
                <w:bCs w:val="1"/>
                <w:color w:val="0E1020"/>
              </w:rPr>
              <w:t>TELEPHONE</w:t>
            </w:r>
          </w:p>
        </w:tc>
        <w:tc>
          <w:tcPr>
            <w:tcW w:w="20" w:type="dxa"/>
            <w:vAlign w:val="bottom"/>
            <w:shd w:val="clear" w:color="auto" w:fill="F6F3F0"/>
          </w:tcPr>
          <w:p>
            <w:pPr>
              <w:spacing w:after="0"/>
              <w:rPr>
                <w:sz w:val="23"/>
                <w:szCs w:val="23"/>
                <w:color w:val="auto"/>
              </w:rPr>
            </w:pPr>
          </w:p>
        </w:tc>
        <w:tc>
          <w:tcPr>
            <w:tcW w:w="2520" w:type="dxa"/>
            <w:vAlign w:val="bottom"/>
            <w:vMerge w:val="restart"/>
            <w:shd w:val="clear" w:color="auto" w:fill="F6F3F0"/>
          </w:tcPr>
          <w:p>
            <w:pPr>
              <w:ind w:left="220"/>
              <w:spacing w:after="0"/>
              <w:rPr>
                <w:sz w:val="20"/>
                <w:szCs w:val="20"/>
                <w:color w:val="auto"/>
              </w:rPr>
            </w:pPr>
            <w:r>
              <w:rPr>
                <w:rFonts w:ascii="Times New Roman" w:cs="Times New Roman" w:eastAsia="Times New Roman" w:hAnsi="Times New Roman"/>
                <w:sz w:val="16"/>
                <w:szCs w:val="16"/>
                <w:b w:val="1"/>
                <w:bCs w:val="1"/>
                <w:color w:val="0E1020"/>
              </w:rPr>
              <w:t>MAIL</w:t>
            </w:r>
          </w:p>
        </w:tc>
        <w:tc>
          <w:tcPr>
            <w:tcW w:w="20" w:type="dxa"/>
            <w:vAlign w:val="bottom"/>
            <w:shd w:val="clear" w:color="auto" w:fill="F6F3F0"/>
          </w:tcPr>
          <w:p>
            <w:pPr>
              <w:spacing w:after="0"/>
              <w:rPr>
                <w:sz w:val="23"/>
                <w:szCs w:val="23"/>
                <w:color w:val="auto"/>
              </w:rPr>
            </w:pPr>
          </w:p>
        </w:tc>
        <w:tc>
          <w:tcPr>
            <w:tcW w:w="3600" w:type="dxa"/>
            <w:vAlign w:val="bottom"/>
            <w:gridSpan w:val="3"/>
            <w:vMerge w:val="restart"/>
            <w:shd w:val="clear" w:color="auto" w:fill="F6F3F0"/>
          </w:tcPr>
          <w:p>
            <w:pPr>
              <w:ind w:left="220"/>
              <w:spacing w:after="0"/>
              <w:rPr>
                <w:sz w:val="20"/>
                <w:szCs w:val="20"/>
                <w:color w:val="auto"/>
              </w:rPr>
            </w:pPr>
            <w:r>
              <w:rPr>
                <w:rFonts w:ascii="Times New Roman" w:cs="Times New Roman" w:eastAsia="Times New Roman" w:hAnsi="Times New Roman"/>
                <w:sz w:val="16"/>
                <w:szCs w:val="16"/>
                <w:b w:val="1"/>
                <w:bCs w:val="1"/>
                <w:color w:val="0E1020"/>
              </w:rPr>
              <w:t>VIRTUAL MEETING</w:t>
            </w:r>
          </w:p>
        </w:tc>
        <w:tc>
          <w:tcPr>
            <w:tcW w:w="0" w:type="dxa"/>
            <w:vAlign w:val="bottom"/>
          </w:tcPr>
          <w:p>
            <w:pPr>
              <w:spacing w:after="0"/>
              <w:rPr>
                <w:sz w:val="1"/>
                <w:szCs w:val="1"/>
                <w:color w:val="auto"/>
              </w:rPr>
            </w:pPr>
          </w:p>
        </w:tc>
      </w:tr>
      <w:tr>
        <w:trPr>
          <w:trHeight w:val="732"/>
        </w:trPr>
        <w:tc>
          <w:tcPr>
            <w:tcW w:w="200" w:type="dxa"/>
            <w:vAlign w:val="bottom"/>
            <w:shd w:val="clear" w:color="auto" w:fill="F6F3F0"/>
          </w:tcPr>
          <w:p>
            <w:pPr>
              <w:spacing w:after="0"/>
              <w:rPr>
                <w:sz w:val="24"/>
                <w:szCs w:val="24"/>
                <w:color w:val="auto"/>
              </w:rPr>
            </w:pPr>
          </w:p>
        </w:tc>
        <w:tc>
          <w:tcPr>
            <w:tcW w:w="2100" w:type="dxa"/>
            <w:vAlign w:val="bottom"/>
            <w:vMerge w:val="continue"/>
            <w:shd w:val="clear" w:color="auto" w:fill="F6F3F0"/>
          </w:tcPr>
          <w:p>
            <w:pPr>
              <w:spacing w:after="0"/>
              <w:rPr>
                <w:sz w:val="24"/>
                <w:szCs w:val="24"/>
                <w:color w:val="auto"/>
              </w:rPr>
            </w:pPr>
          </w:p>
        </w:tc>
        <w:tc>
          <w:tcPr>
            <w:tcW w:w="240" w:type="dxa"/>
            <w:vAlign w:val="bottom"/>
            <w:tcBorders>
              <w:right w:val="single" w:sz="8" w:color="CFCFD2"/>
            </w:tcBorders>
            <w:shd w:val="clear" w:color="auto" w:fill="F6F3F0"/>
          </w:tcPr>
          <w:p>
            <w:pPr>
              <w:spacing w:after="0"/>
              <w:rPr>
                <w:sz w:val="24"/>
                <w:szCs w:val="24"/>
                <w:color w:val="auto"/>
              </w:rPr>
            </w:pPr>
          </w:p>
        </w:tc>
        <w:tc>
          <w:tcPr>
            <w:tcW w:w="2540" w:type="dxa"/>
            <w:vAlign w:val="bottom"/>
            <w:vMerge w:val="continue"/>
            <w:shd w:val="clear" w:color="auto" w:fill="F6F3F0"/>
          </w:tcPr>
          <w:p>
            <w:pPr>
              <w:spacing w:after="0"/>
              <w:rPr>
                <w:sz w:val="24"/>
                <w:szCs w:val="24"/>
                <w:color w:val="auto"/>
              </w:rPr>
            </w:pPr>
          </w:p>
        </w:tc>
        <w:tc>
          <w:tcPr>
            <w:tcW w:w="20" w:type="dxa"/>
            <w:vAlign w:val="bottom"/>
            <w:shd w:val="clear" w:color="auto" w:fill="CFCFD2"/>
          </w:tcPr>
          <w:p>
            <w:pPr>
              <w:spacing w:after="0"/>
              <w:rPr>
                <w:sz w:val="24"/>
                <w:szCs w:val="24"/>
                <w:color w:val="auto"/>
              </w:rPr>
            </w:pPr>
          </w:p>
        </w:tc>
        <w:tc>
          <w:tcPr>
            <w:tcW w:w="2520" w:type="dxa"/>
            <w:vAlign w:val="bottom"/>
            <w:vMerge w:val="continue"/>
            <w:shd w:val="clear" w:color="auto" w:fill="F6F3F0"/>
          </w:tcPr>
          <w:p>
            <w:pPr>
              <w:spacing w:after="0"/>
              <w:rPr>
                <w:sz w:val="24"/>
                <w:szCs w:val="24"/>
                <w:color w:val="auto"/>
              </w:rPr>
            </w:pPr>
          </w:p>
        </w:tc>
        <w:tc>
          <w:tcPr>
            <w:tcW w:w="20" w:type="dxa"/>
            <w:vAlign w:val="bottom"/>
            <w:shd w:val="clear" w:color="auto" w:fill="CFCFD2"/>
          </w:tcPr>
          <w:p>
            <w:pPr>
              <w:spacing w:after="0"/>
              <w:rPr>
                <w:sz w:val="24"/>
                <w:szCs w:val="24"/>
                <w:color w:val="auto"/>
              </w:rPr>
            </w:pPr>
          </w:p>
        </w:tc>
        <w:tc>
          <w:tcPr>
            <w:tcW w:w="3600" w:type="dxa"/>
            <w:vAlign w:val="bottom"/>
            <w:gridSpan w:val="3"/>
            <w:vMerge w:val="continue"/>
            <w:shd w:val="clear" w:color="auto" w:fill="F6F3F0"/>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0" w:type="dxa"/>
            <w:vAlign w:val="bottom"/>
            <w:shd w:val="clear" w:color="auto" w:fill="F6F3F0"/>
          </w:tcPr>
          <w:p>
            <w:pPr>
              <w:spacing w:after="0"/>
              <w:rPr>
                <w:sz w:val="18"/>
                <w:szCs w:val="18"/>
                <w:color w:val="auto"/>
              </w:rPr>
            </w:pPr>
          </w:p>
        </w:tc>
        <w:tc>
          <w:tcPr>
            <w:tcW w:w="2100" w:type="dxa"/>
            <w:vAlign w:val="bottom"/>
            <w:shd w:val="clear" w:color="auto" w:fill="F6F3F0"/>
          </w:tcPr>
          <w:p>
            <w:pPr>
              <w:ind w:left="20"/>
              <w:spacing w:after="0"/>
              <w:rPr>
                <w:sz w:val="20"/>
                <w:szCs w:val="20"/>
                <w:color w:val="auto"/>
              </w:rPr>
            </w:pPr>
            <w:r>
              <w:rPr>
                <w:rFonts w:ascii="Arial" w:cs="Arial" w:eastAsia="Arial" w:hAnsi="Arial"/>
                <w:sz w:val="14"/>
                <w:szCs w:val="14"/>
                <w:color w:val="0E1020"/>
              </w:rPr>
              <w:t>You may submit your proxy by</w:t>
            </w:r>
          </w:p>
        </w:tc>
        <w:tc>
          <w:tcPr>
            <w:tcW w:w="240" w:type="dxa"/>
            <w:vAlign w:val="bottom"/>
            <w:tcBorders>
              <w:right w:val="single" w:sz="8" w:color="CFCFD2"/>
            </w:tcBorders>
            <w:shd w:val="clear" w:color="auto" w:fill="F6F3F0"/>
          </w:tcPr>
          <w:p>
            <w:pPr>
              <w:spacing w:after="0"/>
              <w:rPr>
                <w:sz w:val="18"/>
                <w:szCs w:val="18"/>
                <w:color w:val="auto"/>
              </w:rPr>
            </w:pPr>
          </w:p>
        </w:tc>
        <w:tc>
          <w:tcPr>
            <w:tcW w:w="2540" w:type="dxa"/>
            <w:vAlign w:val="bottom"/>
            <w:shd w:val="clear" w:color="auto" w:fill="F6F3F0"/>
          </w:tcPr>
          <w:p>
            <w:pPr>
              <w:ind w:left="200"/>
              <w:spacing w:after="0"/>
              <w:rPr>
                <w:sz w:val="20"/>
                <w:szCs w:val="20"/>
                <w:color w:val="auto"/>
              </w:rPr>
            </w:pPr>
            <w:r>
              <w:rPr>
                <w:rFonts w:ascii="Arial" w:cs="Arial" w:eastAsia="Arial" w:hAnsi="Arial"/>
                <w:sz w:val="14"/>
                <w:szCs w:val="14"/>
                <w:color w:val="0E1020"/>
              </w:rPr>
              <w:t>You may call by following the</w:t>
            </w:r>
          </w:p>
        </w:tc>
        <w:tc>
          <w:tcPr>
            <w:tcW w:w="20" w:type="dxa"/>
            <w:vAlign w:val="bottom"/>
            <w:shd w:val="clear" w:color="auto" w:fill="CFCFD2"/>
          </w:tcPr>
          <w:p>
            <w:pPr>
              <w:spacing w:after="0"/>
              <w:rPr>
                <w:sz w:val="18"/>
                <w:szCs w:val="18"/>
                <w:color w:val="auto"/>
              </w:rPr>
            </w:pPr>
          </w:p>
        </w:tc>
        <w:tc>
          <w:tcPr>
            <w:tcW w:w="2520" w:type="dxa"/>
            <w:vAlign w:val="bottom"/>
            <w:shd w:val="clear" w:color="auto" w:fill="F6F3F0"/>
          </w:tcPr>
          <w:p>
            <w:pPr>
              <w:ind w:left="220"/>
              <w:spacing w:after="0"/>
              <w:rPr>
                <w:sz w:val="20"/>
                <w:szCs w:val="20"/>
                <w:color w:val="auto"/>
              </w:rPr>
            </w:pPr>
            <w:r>
              <w:rPr>
                <w:rFonts w:ascii="Arial" w:cs="Arial" w:eastAsia="Arial" w:hAnsi="Arial"/>
                <w:sz w:val="14"/>
                <w:szCs w:val="14"/>
                <w:color w:val="0E1020"/>
              </w:rPr>
              <w:t>You may choose to vote by mail</w:t>
            </w:r>
          </w:p>
        </w:tc>
        <w:tc>
          <w:tcPr>
            <w:tcW w:w="20" w:type="dxa"/>
            <w:vAlign w:val="bottom"/>
            <w:shd w:val="clear" w:color="auto" w:fill="CFCFD2"/>
          </w:tcPr>
          <w:p>
            <w:pPr>
              <w:spacing w:after="0"/>
              <w:rPr>
                <w:sz w:val="18"/>
                <w:szCs w:val="18"/>
                <w:color w:val="auto"/>
              </w:rPr>
            </w:pPr>
          </w:p>
        </w:tc>
        <w:tc>
          <w:tcPr>
            <w:tcW w:w="3600" w:type="dxa"/>
            <w:vAlign w:val="bottom"/>
            <w:gridSpan w:val="3"/>
            <w:shd w:val="clear" w:color="auto" w:fill="F6F3F0"/>
          </w:tcPr>
          <w:p>
            <w:pPr>
              <w:ind w:left="220"/>
              <w:spacing w:after="0"/>
              <w:rPr>
                <w:sz w:val="20"/>
                <w:szCs w:val="20"/>
                <w:color w:val="auto"/>
              </w:rPr>
            </w:pPr>
            <w:r>
              <w:rPr>
                <w:rFonts w:ascii="Arial" w:cs="Arial" w:eastAsia="Arial" w:hAnsi="Arial"/>
                <w:sz w:val="14"/>
                <w:szCs w:val="14"/>
                <w:color w:val="0E1020"/>
              </w:rPr>
              <w:t>To attend the meeting please visit</w:t>
            </w:r>
          </w:p>
        </w:tc>
        <w:tc>
          <w:tcPr>
            <w:tcW w:w="0" w:type="dxa"/>
            <w:vAlign w:val="bottom"/>
          </w:tcPr>
          <w:p>
            <w:pPr>
              <w:spacing w:after="0"/>
              <w:rPr>
                <w:sz w:val="1"/>
                <w:szCs w:val="1"/>
                <w:color w:val="auto"/>
              </w:rPr>
            </w:pPr>
          </w:p>
        </w:tc>
      </w:tr>
      <w:tr>
        <w:trPr>
          <w:trHeight w:val="201"/>
        </w:trPr>
        <w:tc>
          <w:tcPr>
            <w:tcW w:w="200" w:type="dxa"/>
            <w:vAlign w:val="bottom"/>
            <w:shd w:val="clear" w:color="auto" w:fill="F6F3F0"/>
          </w:tcPr>
          <w:p>
            <w:pPr>
              <w:spacing w:after="0"/>
              <w:rPr>
                <w:sz w:val="17"/>
                <w:szCs w:val="17"/>
                <w:color w:val="auto"/>
              </w:rPr>
            </w:pPr>
          </w:p>
        </w:tc>
        <w:tc>
          <w:tcPr>
            <w:tcW w:w="2100" w:type="dxa"/>
            <w:vAlign w:val="bottom"/>
            <w:shd w:val="clear" w:color="auto" w:fill="F6F3F0"/>
          </w:tcPr>
          <w:p>
            <w:pPr>
              <w:ind w:left="20"/>
              <w:spacing w:after="0"/>
              <w:rPr>
                <w:sz w:val="20"/>
                <w:szCs w:val="20"/>
                <w:color w:val="auto"/>
              </w:rPr>
            </w:pPr>
            <w:r>
              <w:rPr>
                <w:rFonts w:ascii="Arial" w:cs="Arial" w:eastAsia="Arial" w:hAnsi="Arial"/>
                <w:sz w:val="14"/>
                <w:szCs w:val="14"/>
                <w:color w:val="0E1020"/>
              </w:rPr>
              <w:t>following the instructions</w:t>
            </w:r>
          </w:p>
        </w:tc>
        <w:tc>
          <w:tcPr>
            <w:tcW w:w="240" w:type="dxa"/>
            <w:vAlign w:val="bottom"/>
            <w:tcBorders>
              <w:right w:val="single" w:sz="8" w:color="CFCFD2"/>
            </w:tcBorders>
            <w:shd w:val="clear" w:color="auto" w:fill="F6F3F0"/>
          </w:tcPr>
          <w:p>
            <w:pPr>
              <w:spacing w:after="0"/>
              <w:rPr>
                <w:sz w:val="17"/>
                <w:szCs w:val="17"/>
                <w:color w:val="auto"/>
              </w:rPr>
            </w:pPr>
          </w:p>
        </w:tc>
        <w:tc>
          <w:tcPr>
            <w:tcW w:w="2540" w:type="dxa"/>
            <w:vAlign w:val="bottom"/>
            <w:shd w:val="clear" w:color="auto" w:fill="F6F3F0"/>
          </w:tcPr>
          <w:p>
            <w:pPr>
              <w:ind w:left="200"/>
              <w:spacing w:after="0"/>
              <w:rPr>
                <w:sz w:val="20"/>
                <w:szCs w:val="20"/>
                <w:color w:val="auto"/>
              </w:rPr>
            </w:pPr>
            <w:r>
              <w:rPr>
                <w:rFonts w:ascii="Arial" w:cs="Arial" w:eastAsia="Arial" w:hAnsi="Arial"/>
                <w:sz w:val="14"/>
                <w:szCs w:val="14"/>
                <w:color w:val="0E1020"/>
              </w:rPr>
              <w:t>instructions provided in the</w:t>
            </w:r>
          </w:p>
        </w:tc>
        <w:tc>
          <w:tcPr>
            <w:tcW w:w="20" w:type="dxa"/>
            <w:vAlign w:val="bottom"/>
            <w:shd w:val="clear" w:color="auto" w:fill="CFCFD2"/>
          </w:tcPr>
          <w:p>
            <w:pPr>
              <w:spacing w:after="0"/>
              <w:rPr>
                <w:sz w:val="17"/>
                <w:szCs w:val="17"/>
                <w:color w:val="auto"/>
              </w:rPr>
            </w:pPr>
          </w:p>
        </w:tc>
        <w:tc>
          <w:tcPr>
            <w:tcW w:w="2520" w:type="dxa"/>
            <w:vAlign w:val="bottom"/>
            <w:shd w:val="clear" w:color="auto" w:fill="F6F3F0"/>
          </w:tcPr>
          <w:p>
            <w:pPr>
              <w:ind w:left="220"/>
              <w:spacing w:after="0"/>
              <w:rPr>
                <w:sz w:val="20"/>
                <w:szCs w:val="20"/>
                <w:color w:val="auto"/>
              </w:rPr>
            </w:pPr>
            <w:r>
              <w:rPr>
                <w:rFonts w:ascii="Arial" w:cs="Arial" w:eastAsia="Arial" w:hAnsi="Arial"/>
                <w:sz w:val="14"/>
                <w:szCs w:val="14"/>
                <w:color w:val="0E1020"/>
              </w:rPr>
              <w:t>by marking your proxy card or</w:t>
            </w:r>
          </w:p>
        </w:tc>
        <w:tc>
          <w:tcPr>
            <w:tcW w:w="20" w:type="dxa"/>
            <w:vAlign w:val="bottom"/>
            <w:shd w:val="clear" w:color="auto" w:fill="CFCFD2"/>
          </w:tcPr>
          <w:p>
            <w:pPr>
              <w:spacing w:after="0"/>
              <w:rPr>
                <w:sz w:val="17"/>
                <w:szCs w:val="17"/>
                <w:color w:val="auto"/>
              </w:rPr>
            </w:pPr>
          </w:p>
        </w:tc>
        <w:tc>
          <w:tcPr>
            <w:tcW w:w="3600" w:type="dxa"/>
            <w:vAlign w:val="bottom"/>
            <w:gridSpan w:val="3"/>
            <w:shd w:val="clear" w:color="auto" w:fill="F6F3F0"/>
          </w:tcPr>
          <w:p>
            <w:pPr>
              <w:ind w:left="220"/>
              <w:spacing w:after="0"/>
              <w:rPr>
                <w:sz w:val="20"/>
                <w:szCs w:val="20"/>
                <w:color w:val="auto"/>
              </w:rPr>
            </w:pPr>
            <w:r>
              <w:rPr>
                <w:rFonts w:ascii="Arial" w:cs="Arial" w:eastAsia="Arial" w:hAnsi="Arial"/>
                <w:sz w:val="14"/>
                <w:szCs w:val="14"/>
                <w:color w:val="0E1020"/>
              </w:rPr>
              <w:t>www.virtualshareholdermeeting.com/DXC2026.</w:t>
            </w:r>
          </w:p>
        </w:tc>
        <w:tc>
          <w:tcPr>
            <w:tcW w:w="0" w:type="dxa"/>
            <w:vAlign w:val="bottom"/>
          </w:tcPr>
          <w:p>
            <w:pPr>
              <w:spacing w:after="0"/>
              <w:rPr>
                <w:sz w:val="1"/>
                <w:szCs w:val="1"/>
                <w:color w:val="auto"/>
              </w:rPr>
            </w:pPr>
          </w:p>
        </w:tc>
      </w:tr>
      <w:tr>
        <w:trPr>
          <w:trHeight w:val="201"/>
        </w:trPr>
        <w:tc>
          <w:tcPr>
            <w:tcW w:w="200" w:type="dxa"/>
            <w:vAlign w:val="bottom"/>
            <w:shd w:val="clear" w:color="auto" w:fill="F6F3F0"/>
          </w:tcPr>
          <w:p>
            <w:pPr>
              <w:spacing w:after="0"/>
              <w:rPr>
                <w:sz w:val="17"/>
                <w:szCs w:val="17"/>
                <w:color w:val="auto"/>
              </w:rPr>
            </w:pPr>
          </w:p>
        </w:tc>
        <w:tc>
          <w:tcPr>
            <w:tcW w:w="2100" w:type="dxa"/>
            <w:vAlign w:val="bottom"/>
            <w:shd w:val="clear" w:color="auto" w:fill="F6F3F0"/>
          </w:tcPr>
          <w:p>
            <w:pPr>
              <w:ind w:left="20"/>
              <w:spacing w:after="0"/>
              <w:rPr>
                <w:sz w:val="20"/>
                <w:szCs w:val="20"/>
                <w:color w:val="auto"/>
              </w:rPr>
            </w:pPr>
            <w:r>
              <w:rPr>
                <w:rFonts w:ascii="Arial" w:cs="Arial" w:eastAsia="Arial" w:hAnsi="Arial"/>
                <w:sz w:val="14"/>
                <w:szCs w:val="14"/>
                <w:color w:val="0E1020"/>
              </w:rPr>
              <w:t>provided in the notice, or if you</w:t>
            </w:r>
          </w:p>
        </w:tc>
        <w:tc>
          <w:tcPr>
            <w:tcW w:w="240" w:type="dxa"/>
            <w:vAlign w:val="bottom"/>
            <w:tcBorders>
              <w:right w:val="single" w:sz="8" w:color="CFCFD2"/>
            </w:tcBorders>
            <w:shd w:val="clear" w:color="auto" w:fill="F6F3F0"/>
          </w:tcPr>
          <w:p>
            <w:pPr>
              <w:spacing w:after="0"/>
              <w:rPr>
                <w:sz w:val="17"/>
                <w:szCs w:val="17"/>
                <w:color w:val="auto"/>
              </w:rPr>
            </w:pPr>
          </w:p>
        </w:tc>
        <w:tc>
          <w:tcPr>
            <w:tcW w:w="2540" w:type="dxa"/>
            <w:vAlign w:val="bottom"/>
            <w:shd w:val="clear" w:color="auto" w:fill="F6F3F0"/>
          </w:tcPr>
          <w:p>
            <w:pPr>
              <w:ind w:left="200"/>
              <w:spacing w:after="0"/>
              <w:rPr>
                <w:sz w:val="20"/>
                <w:szCs w:val="20"/>
                <w:color w:val="auto"/>
              </w:rPr>
            </w:pPr>
            <w:r>
              <w:rPr>
                <w:rFonts w:ascii="Arial" w:cs="Arial" w:eastAsia="Arial" w:hAnsi="Arial"/>
                <w:sz w:val="14"/>
                <w:szCs w:val="14"/>
                <w:color w:val="0E1020"/>
              </w:rPr>
              <w:t>notice, or if you requested</w:t>
            </w:r>
          </w:p>
        </w:tc>
        <w:tc>
          <w:tcPr>
            <w:tcW w:w="20" w:type="dxa"/>
            <w:vAlign w:val="bottom"/>
            <w:shd w:val="clear" w:color="auto" w:fill="CFCFD2"/>
          </w:tcPr>
          <w:p>
            <w:pPr>
              <w:spacing w:after="0"/>
              <w:rPr>
                <w:sz w:val="17"/>
                <w:szCs w:val="17"/>
                <w:color w:val="auto"/>
              </w:rPr>
            </w:pPr>
          </w:p>
        </w:tc>
        <w:tc>
          <w:tcPr>
            <w:tcW w:w="2520" w:type="dxa"/>
            <w:vAlign w:val="bottom"/>
            <w:shd w:val="clear" w:color="auto" w:fill="F6F3F0"/>
          </w:tcPr>
          <w:p>
            <w:pPr>
              <w:ind w:left="220"/>
              <w:spacing w:after="0"/>
              <w:rPr>
                <w:sz w:val="20"/>
                <w:szCs w:val="20"/>
                <w:color w:val="auto"/>
              </w:rPr>
            </w:pPr>
            <w:r>
              <w:rPr>
                <w:rFonts w:ascii="Arial" w:cs="Arial" w:eastAsia="Arial" w:hAnsi="Arial"/>
                <w:sz w:val="14"/>
                <w:szCs w:val="14"/>
                <w:color w:val="0E1020"/>
              </w:rPr>
              <w:t>voting instruction card, dating</w:t>
            </w:r>
          </w:p>
        </w:tc>
        <w:tc>
          <w:tcPr>
            <w:tcW w:w="20" w:type="dxa"/>
            <w:vAlign w:val="bottom"/>
            <w:shd w:val="clear" w:color="auto" w:fill="CFCFD2"/>
          </w:tcPr>
          <w:p>
            <w:pPr>
              <w:spacing w:after="0"/>
              <w:rPr>
                <w:sz w:val="17"/>
                <w:szCs w:val="17"/>
                <w:color w:val="auto"/>
              </w:rPr>
            </w:pPr>
          </w:p>
        </w:tc>
        <w:tc>
          <w:tcPr>
            <w:tcW w:w="2480" w:type="dxa"/>
            <w:vAlign w:val="bottom"/>
            <w:shd w:val="clear" w:color="auto" w:fill="F6F3F0"/>
          </w:tcPr>
          <w:p>
            <w:pPr>
              <w:spacing w:after="0"/>
              <w:rPr>
                <w:sz w:val="17"/>
                <w:szCs w:val="17"/>
                <w:color w:val="auto"/>
              </w:rPr>
            </w:pPr>
          </w:p>
        </w:tc>
        <w:tc>
          <w:tcPr>
            <w:tcW w:w="1100" w:type="dxa"/>
            <w:vAlign w:val="bottom"/>
            <w:shd w:val="clear" w:color="auto" w:fill="F6F3F0"/>
          </w:tcPr>
          <w:p>
            <w:pPr>
              <w:spacing w:after="0"/>
              <w:rPr>
                <w:sz w:val="17"/>
                <w:szCs w:val="17"/>
                <w:color w:val="auto"/>
              </w:rPr>
            </w:pPr>
          </w:p>
        </w:tc>
        <w:tc>
          <w:tcPr>
            <w:tcW w:w="20" w:type="dxa"/>
            <w:vAlign w:val="bottom"/>
            <w:shd w:val="clear" w:color="auto" w:fill="F6F3F0"/>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0" w:type="dxa"/>
            <w:vAlign w:val="bottom"/>
            <w:shd w:val="clear" w:color="auto" w:fill="F6F3F0"/>
          </w:tcPr>
          <w:p>
            <w:pPr>
              <w:spacing w:after="0"/>
              <w:rPr>
                <w:sz w:val="17"/>
                <w:szCs w:val="17"/>
                <w:color w:val="auto"/>
              </w:rPr>
            </w:pPr>
          </w:p>
        </w:tc>
        <w:tc>
          <w:tcPr>
            <w:tcW w:w="2100" w:type="dxa"/>
            <w:vAlign w:val="bottom"/>
            <w:shd w:val="clear" w:color="auto" w:fill="F6F3F0"/>
          </w:tcPr>
          <w:p>
            <w:pPr>
              <w:ind w:left="20"/>
              <w:spacing w:after="0"/>
              <w:rPr>
                <w:sz w:val="20"/>
                <w:szCs w:val="20"/>
                <w:color w:val="auto"/>
              </w:rPr>
            </w:pPr>
            <w:r>
              <w:rPr>
                <w:rFonts w:ascii="Arial" w:cs="Arial" w:eastAsia="Arial" w:hAnsi="Arial"/>
                <w:sz w:val="14"/>
                <w:szCs w:val="14"/>
                <w:color w:val="0E1020"/>
              </w:rPr>
              <w:t>requested printed proxy</w:t>
            </w:r>
          </w:p>
        </w:tc>
        <w:tc>
          <w:tcPr>
            <w:tcW w:w="240" w:type="dxa"/>
            <w:vAlign w:val="bottom"/>
            <w:tcBorders>
              <w:right w:val="single" w:sz="8" w:color="CFCFD2"/>
            </w:tcBorders>
            <w:shd w:val="clear" w:color="auto" w:fill="F6F3F0"/>
          </w:tcPr>
          <w:p>
            <w:pPr>
              <w:spacing w:after="0"/>
              <w:rPr>
                <w:sz w:val="17"/>
                <w:szCs w:val="17"/>
                <w:color w:val="auto"/>
              </w:rPr>
            </w:pPr>
          </w:p>
        </w:tc>
        <w:tc>
          <w:tcPr>
            <w:tcW w:w="2540" w:type="dxa"/>
            <w:vAlign w:val="bottom"/>
            <w:shd w:val="clear" w:color="auto" w:fill="F6F3F0"/>
          </w:tcPr>
          <w:p>
            <w:pPr>
              <w:ind w:left="200"/>
              <w:spacing w:after="0"/>
              <w:rPr>
                <w:sz w:val="20"/>
                <w:szCs w:val="20"/>
                <w:color w:val="auto"/>
              </w:rPr>
            </w:pPr>
            <w:r>
              <w:rPr>
                <w:rFonts w:ascii="Arial" w:cs="Arial" w:eastAsia="Arial" w:hAnsi="Arial"/>
                <w:sz w:val="14"/>
                <w:szCs w:val="14"/>
                <w:color w:val="0E1020"/>
              </w:rPr>
              <w:t>printed proxy materials, by</w:t>
            </w:r>
          </w:p>
        </w:tc>
        <w:tc>
          <w:tcPr>
            <w:tcW w:w="20" w:type="dxa"/>
            <w:vAlign w:val="bottom"/>
            <w:shd w:val="clear" w:color="auto" w:fill="CFCFD2"/>
          </w:tcPr>
          <w:p>
            <w:pPr>
              <w:spacing w:after="0"/>
              <w:rPr>
                <w:sz w:val="17"/>
                <w:szCs w:val="17"/>
                <w:color w:val="auto"/>
              </w:rPr>
            </w:pPr>
          </w:p>
        </w:tc>
        <w:tc>
          <w:tcPr>
            <w:tcW w:w="2520" w:type="dxa"/>
            <w:vAlign w:val="bottom"/>
            <w:shd w:val="clear" w:color="auto" w:fill="F6F3F0"/>
          </w:tcPr>
          <w:p>
            <w:pPr>
              <w:ind w:left="220"/>
              <w:spacing w:after="0"/>
              <w:rPr>
                <w:sz w:val="20"/>
                <w:szCs w:val="20"/>
                <w:color w:val="auto"/>
              </w:rPr>
            </w:pPr>
            <w:r>
              <w:rPr>
                <w:rFonts w:ascii="Arial" w:cs="Arial" w:eastAsia="Arial" w:hAnsi="Arial"/>
                <w:sz w:val="14"/>
                <w:szCs w:val="14"/>
                <w:color w:val="0E1020"/>
              </w:rPr>
              <w:t>and signing it, and returning it in</w:t>
            </w:r>
          </w:p>
        </w:tc>
        <w:tc>
          <w:tcPr>
            <w:tcW w:w="20" w:type="dxa"/>
            <w:vAlign w:val="bottom"/>
            <w:shd w:val="clear" w:color="auto" w:fill="CFCFD2"/>
          </w:tcPr>
          <w:p>
            <w:pPr>
              <w:spacing w:after="0"/>
              <w:rPr>
                <w:sz w:val="17"/>
                <w:szCs w:val="17"/>
                <w:color w:val="auto"/>
              </w:rPr>
            </w:pPr>
          </w:p>
        </w:tc>
        <w:tc>
          <w:tcPr>
            <w:tcW w:w="2480" w:type="dxa"/>
            <w:vAlign w:val="bottom"/>
            <w:shd w:val="clear" w:color="auto" w:fill="F6F3F0"/>
          </w:tcPr>
          <w:p>
            <w:pPr>
              <w:spacing w:after="0"/>
              <w:rPr>
                <w:sz w:val="17"/>
                <w:szCs w:val="17"/>
                <w:color w:val="auto"/>
              </w:rPr>
            </w:pPr>
          </w:p>
        </w:tc>
        <w:tc>
          <w:tcPr>
            <w:tcW w:w="1100" w:type="dxa"/>
            <w:vAlign w:val="bottom"/>
            <w:shd w:val="clear" w:color="auto" w:fill="F6F3F0"/>
          </w:tcPr>
          <w:p>
            <w:pPr>
              <w:spacing w:after="0"/>
              <w:rPr>
                <w:sz w:val="17"/>
                <w:szCs w:val="17"/>
                <w:color w:val="auto"/>
              </w:rPr>
            </w:pPr>
          </w:p>
        </w:tc>
        <w:tc>
          <w:tcPr>
            <w:tcW w:w="20" w:type="dxa"/>
            <w:vAlign w:val="bottom"/>
            <w:shd w:val="clear" w:color="auto" w:fill="F6F3F0"/>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shd w:val="clear" w:color="auto" w:fill="F6F3F0"/>
          </w:tcPr>
          <w:p>
            <w:pPr>
              <w:spacing w:after="0"/>
              <w:rPr>
                <w:sz w:val="17"/>
                <w:szCs w:val="17"/>
                <w:color w:val="auto"/>
              </w:rPr>
            </w:pPr>
          </w:p>
        </w:tc>
        <w:tc>
          <w:tcPr>
            <w:tcW w:w="2100" w:type="dxa"/>
            <w:vAlign w:val="bottom"/>
            <w:shd w:val="clear" w:color="auto" w:fill="F6F3F0"/>
          </w:tcPr>
          <w:p>
            <w:pPr>
              <w:ind w:left="20"/>
              <w:spacing w:after="0"/>
              <w:rPr>
                <w:sz w:val="20"/>
                <w:szCs w:val="20"/>
                <w:color w:val="auto"/>
              </w:rPr>
            </w:pPr>
            <w:r>
              <w:rPr>
                <w:rFonts w:ascii="Arial" w:cs="Arial" w:eastAsia="Arial" w:hAnsi="Arial"/>
                <w:sz w:val="14"/>
                <w:szCs w:val="14"/>
                <w:color w:val="0E1020"/>
              </w:rPr>
              <w:t>materials, by following the</w:t>
            </w:r>
          </w:p>
        </w:tc>
        <w:tc>
          <w:tcPr>
            <w:tcW w:w="240" w:type="dxa"/>
            <w:vAlign w:val="bottom"/>
            <w:tcBorders>
              <w:right w:val="single" w:sz="8" w:color="CFCFD2"/>
            </w:tcBorders>
            <w:shd w:val="clear" w:color="auto" w:fill="F6F3F0"/>
          </w:tcPr>
          <w:p>
            <w:pPr>
              <w:spacing w:after="0"/>
              <w:rPr>
                <w:sz w:val="17"/>
                <w:szCs w:val="17"/>
                <w:color w:val="auto"/>
              </w:rPr>
            </w:pPr>
          </w:p>
        </w:tc>
        <w:tc>
          <w:tcPr>
            <w:tcW w:w="2540" w:type="dxa"/>
            <w:vAlign w:val="bottom"/>
            <w:shd w:val="clear" w:color="auto" w:fill="F6F3F0"/>
          </w:tcPr>
          <w:p>
            <w:pPr>
              <w:ind w:left="200"/>
              <w:spacing w:after="0"/>
              <w:rPr>
                <w:sz w:val="20"/>
                <w:szCs w:val="20"/>
                <w:color w:val="auto"/>
              </w:rPr>
            </w:pPr>
            <w:r>
              <w:rPr>
                <w:rFonts w:ascii="Arial" w:cs="Arial" w:eastAsia="Arial" w:hAnsi="Arial"/>
                <w:sz w:val="14"/>
                <w:szCs w:val="14"/>
                <w:color w:val="0E1020"/>
              </w:rPr>
              <w:t>following the instructions</w:t>
            </w:r>
          </w:p>
        </w:tc>
        <w:tc>
          <w:tcPr>
            <w:tcW w:w="20" w:type="dxa"/>
            <w:vAlign w:val="bottom"/>
            <w:shd w:val="clear" w:color="auto" w:fill="CFCFD2"/>
          </w:tcPr>
          <w:p>
            <w:pPr>
              <w:spacing w:after="0"/>
              <w:rPr>
                <w:sz w:val="17"/>
                <w:szCs w:val="17"/>
                <w:color w:val="auto"/>
              </w:rPr>
            </w:pPr>
          </w:p>
        </w:tc>
        <w:tc>
          <w:tcPr>
            <w:tcW w:w="2520" w:type="dxa"/>
            <w:vAlign w:val="bottom"/>
            <w:shd w:val="clear" w:color="auto" w:fill="F6F3F0"/>
          </w:tcPr>
          <w:p>
            <w:pPr>
              <w:ind w:left="220"/>
              <w:spacing w:after="0"/>
              <w:rPr>
                <w:sz w:val="20"/>
                <w:szCs w:val="20"/>
                <w:color w:val="auto"/>
              </w:rPr>
            </w:pPr>
            <w:r>
              <w:rPr>
                <w:rFonts w:ascii="Arial" w:cs="Arial" w:eastAsia="Arial" w:hAnsi="Arial"/>
                <w:sz w:val="14"/>
                <w:szCs w:val="14"/>
                <w:color w:val="0E1020"/>
              </w:rPr>
              <w:t>the postage-paid envelope</w:t>
            </w:r>
          </w:p>
        </w:tc>
        <w:tc>
          <w:tcPr>
            <w:tcW w:w="20" w:type="dxa"/>
            <w:vAlign w:val="bottom"/>
            <w:shd w:val="clear" w:color="auto" w:fill="CFCFD2"/>
          </w:tcPr>
          <w:p>
            <w:pPr>
              <w:spacing w:after="0"/>
              <w:rPr>
                <w:sz w:val="17"/>
                <w:szCs w:val="17"/>
                <w:color w:val="auto"/>
              </w:rPr>
            </w:pPr>
          </w:p>
        </w:tc>
        <w:tc>
          <w:tcPr>
            <w:tcW w:w="2480" w:type="dxa"/>
            <w:vAlign w:val="bottom"/>
            <w:shd w:val="clear" w:color="auto" w:fill="F6F3F0"/>
          </w:tcPr>
          <w:p>
            <w:pPr>
              <w:spacing w:after="0"/>
              <w:rPr>
                <w:sz w:val="17"/>
                <w:szCs w:val="17"/>
                <w:color w:val="auto"/>
              </w:rPr>
            </w:pPr>
          </w:p>
        </w:tc>
        <w:tc>
          <w:tcPr>
            <w:tcW w:w="1100" w:type="dxa"/>
            <w:vAlign w:val="bottom"/>
            <w:shd w:val="clear" w:color="auto" w:fill="F6F3F0"/>
          </w:tcPr>
          <w:p>
            <w:pPr>
              <w:spacing w:after="0"/>
              <w:rPr>
                <w:sz w:val="17"/>
                <w:szCs w:val="17"/>
                <w:color w:val="auto"/>
              </w:rPr>
            </w:pPr>
          </w:p>
        </w:tc>
        <w:tc>
          <w:tcPr>
            <w:tcW w:w="20" w:type="dxa"/>
            <w:vAlign w:val="bottom"/>
            <w:shd w:val="clear" w:color="auto" w:fill="F6F3F0"/>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0" w:type="dxa"/>
            <w:vAlign w:val="bottom"/>
            <w:shd w:val="clear" w:color="auto" w:fill="F6F3F0"/>
          </w:tcPr>
          <w:p>
            <w:pPr>
              <w:spacing w:after="0"/>
              <w:rPr>
                <w:sz w:val="16"/>
                <w:szCs w:val="16"/>
                <w:color w:val="auto"/>
              </w:rPr>
            </w:pPr>
          </w:p>
        </w:tc>
        <w:tc>
          <w:tcPr>
            <w:tcW w:w="2100" w:type="dxa"/>
            <w:vAlign w:val="bottom"/>
            <w:shd w:val="clear" w:color="auto" w:fill="F6F3F0"/>
          </w:tcPr>
          <w:p>
            <w:pPr>
              <w:ind w:left="20"/>
              <w:spacing w:after="0"/>
              <w:rPr>
                <w:sz w:val="20"/>
                <w:szCs w:val="20"/>
                <w:color w:val="auto"/>
              </w:rPr>
            </w:pPr>
            <w:r>
              <w:rPr>
                <w:rFonts w:ascii="Arial" w:cs="Arial" w:eastAsia="Arial" w:hAnsi="Arial"/>
                <w:sz w:val="14"/>
                <w:szCs w:val="14"/>
                <w:color w:val="0E1020"/>
              </w:rPr>
              <w:t>instructions provided with your</w:t>
            </w:r>
          </w:p>
        </w:tc>
        <w:tc>
          <w:tcPr>
            <w:tcW w:w="240" w:type="dxa"/>
            <w:vAlign w:val="bottom"/>
            <w:tcBorders>
              <w:right w:val="single" w:sz="8" w:color="CFCFD2"/>
            </w:tcBorders>
            <w:shd w:val="clear" w:color="auto" w:fill="F6F3F0"/>
          </w:tcPr>
          <w:p>
            <w:pPr>
              <w:spacing w:after="0"/>
              <w:rPr>
                <w:sz w:val="16"/>
                <w:szCs w:val="16"/>
                <w:color w:val="auto"/>
              </w:rPr>
            </w:pPr>
          </w:p>
        </w:tc>
        <w:tc>
          <w:tcPr>
            <w:tcW w:w="2540" w:type="dxa"/>
            <w:vAlign w:val="bottom"/>
            <w:shd w:val="clear" w:color="auto" w:fill="F6F3F0"/>
          </w:tcPr>
          <w:p>
            <w:pPr>
              <w:ind w:left="200"/>
              <w:spacing w:after="0"/>
              <w:rPr>
                <w:sz w:val="20"/>
                <w:szCs w:val="20"/>
                <w:color w:val="auto"/>
              </w:rPr>
            </w:pPr>
            <w:r>
              <w:rPr>
                <w:rFonts w:ascii="Arial" w:cs="Arial" w:eastAsia="Arial" w:hAnsi="Arial"/>
                <w:sz w:val="14"/>
                <w:szCs w:val="14"/>
                <w:color w:val="0E1020"/>
              </w:rPr>
              <w:t>provided with your proxy</w:t>
            </w:r>
          </w:p>
        </w:tc>
        <w:tc>
          <w:tcPr>
            <w:tcW w:w="20" w:type="dxa"/>
            <w:vAlign w:val="bottom"/>
            <w:shd w:val="clear" w:color="auto" w:fill="CFCFD2"/>
          </w:tcPr>
          <w:p>
            <w:pPr>
              <w:spacing w:after="0"/>
              <w:rPr>
                <w:sz w:val="16"/>
                <w:szCs w:val="16"/>
                <w:color w:val="auto"/>
              </w:rPr>
            </w:pPr>
          </w:p>
        </w:tc>
        <w:tc>
          <w:tcPr>
            <w:tcW w:w="2520" w:type="dxa"/>
            <w:vAlign w:val="bottom"/>
            <w:shd w:val="clear" w:color="auto" w:fill="F6F3F0"/>
          </w:tcPr>
          <w:p>
            <w:pPr>
              <w:ind w:left="220"/>
              <w:spacing w:after="0"/>
              <w:rPr>
                <w:sz w:val="20"/>
                <w:szCs w:val="20"/>
                <w:color w:val="auto"/>
              </w:rPr>
            </w:pPr>
            <w:r>
              <w:rPr>
                <w:rFonts w:ascii="Arial" w:cs="Arial" w:eastAsia="Arial" w:hAnsi="Arial"/>
                <w:sz w:val="14"/>
                <w:szCs w:val="14"/>
                <w:color w:val="0E1020"/>
              </w:rPr>
              <w:t>provided.</w:t>
            </w:r>
          </w:p>
        </w:tc>
        <w:tc>
          <w:tcPr>
            <w:tcW w:w="20" w:type="dxa"/>
            <w:vAlign w:val="bottom"/>
            <w:shd w:val="clear" w:color="auto" w:fill="CFCFD2"/>
          </w:tcPr>
          <w:p>
            <w:pPr>
              <w:spacing w:after="0"/>
              <w:rPr>
                <w:sz w:val="16"/>
                <w:szCs w:val="16"/>
                <w:color w:val="auto"/>
              </w:rPr>
            </w:pPr>
          </w:p>
        </w:tc>
        <w:tc>
          <w:tcPr>
            <w:tcW w:w="2480" w:type="dxa"/>
            <w:vAlign w:val="bottom"/>
            <w:shd w:val="clear" w:color="auto" w:fill="F6F3F0"/>
          </w:tcPr>
          <w:p>
            <w:pPr>
              <w:spacing w:after="0"/>
              <w:rPr>
                <w:sz w:val="16"/>
                <w:szCs w:val="16"/>
                <w:color w:val="auto"/>
              </w:rPr>
            </w:pPr>
          </w:p>
        </w:tc>
        <w:tc>
          <w:tcPr>
            <w:tcW w:w="1100" w:type="dxa"/>
            <w:vAlign w:val="bottom"/>
            <w:shd w:val="clear" w:color="auto" w:fill="F6F3F0"/>
          </w:tcPr>
          <w:p>
            <w:pPr>
              <w:spacing w:after="0"/>
              <w:rPr>
                <w:sz w:val="16"/>
                <w:szCs w:val="16"/>
                <w:color w:val="auto"/>
              </w:rPr>
            </w:pPr>
          </w:p>
        </w:tc>
        <w:tc>
          <w:tcPr>
            <w:tcW w:w="20" w:type="dxa"/>
            <w:vAlign w:val="bottom"/>
            <w:shd w:val="clear" w:color="auto" w:fill="F6F3F0"/>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0" w:type="dxa"/>
            <w:vAlign w:val="bottom"/>
            <w:shd w:val="clear" w:color="auto" w:fill="F6F3F0"/>
          </w:tcPr>
          <w:p>
            <w:pPr>
              <w:spacing w:after="0"/>
              <w:rPr>
                <w:sz w:val="17"/>
                <w:szCs w:val="17"/>
                <w:color w:val="auto"/>
              </w:rPr>
            </w:pPr>
          </w:p>
        </w:tc>
        <w:tc>
          <w:tcPr>
            <w:tcW w:w="2100" w:type="dxa"/>
            <w:vAlign w:val="bottom"/>
            <w:shd w:val="clear" w:color="auto" w:fill="F6F3F0"/>
          </w:tcPr>
          <w:p>
            <w:pPr>
              <w:ind w:left="20"/>
              <w:spacing w:after="0"/>
              <w:rPr>
                <w:sz w:val="20"/>
                <w:szCs w:val="20"/>
                <w:color w:val="auto"/>
              </w:rPr>
            </w:pPr>
            <w:r>
              <w:rPr>
                <w:rFonts w:ascii="Arial" w:cs="Arial" w:eastAsia="Arial" w:hAnsi="Arial"/>
                <w:sz w:val="14"/>
                <w:szCs w:val="14"/>
                <w:color w:val="0E1020"/>
              </w:rPr>
              <w:t>proxy materials and on your</w:t>
            </w:r>
          </w:p>
        </w:tc>
        <w:tc>
          <w:tcPr>
            <w:tcW w:w="240" w:type="dxa"/>
            <w:vAlign w:val="bottom"/>
            <w:tcBorders>
              <w:right w:val="single" w:sz="8" w:color="CFCFD2"/>
            </w:tcBorders>
            <w:shd w:val="clear" w:color="auto" w:fill="F6F3F0"/>
          </w:tcPr>
          <w:p>
            <w:pPr>
              <w:spacing w:after="0"/>
              <w:rPr>
                <w:sz w:val="17"/>
                <w:szCs w:val="17"/>
                <w:color w:val="auto"/>
              </w:rPr>
            </w:pPr>
          </w:p>
        </w:tc>
        <w:tc>
          <w:tcPr>
            <w:tcW w:w="2540" w:type="dxa"/>
            <w:vAlign w:val="bottom"/>
            <w:shd w:val="clear" w:color="auto" w:fill="F6F3F0"/>
          </w:tcPr>
          <w:p>
            <w:pPr>
              <w:ind w:left="200"/>
              <w:spacing w:after="0"/>
              <w:rPr>
                <w:sz w:val="20"/>
                <w:szCs w:val="20"/>
                <w:color w:val="auto"/>
              </w:rPr>
            </w:pPr>
            <w:r>
              <w:rPr>
                <w:rFonts w:ascii="Arial" w:cs="Arial" w:eastAsia="Arial" w:hAnsi="Arial"/>
                <w:sz w:val="14"/>
                <w:szCs w:val="14"/>
                <w:color w:val="0E1020"/>
              </w:rPr>
              <w:t>materials and on your proxy card</w:t>
            </w:r>
          </w:p>
        </w:tc>
        <w:tc>
          <w:tcPr>
            <w:tcW w:w="20" w:type="dxa"/>
            <w:vAlign w:val="bottom"/>
            <w:shd w:val="clear" w:color="auto" w:fill="CFCFD2"/>
          </w:tcPr>
          <w:p>
            <w:pPr>
              <w:spacing w:after="0"/>
              <w:rPr>
                <w:sz w:val="17"/>
                <w:szCs w:val="17"/>
                <w:color w:val="auto"/>
              </w:rPr>
            </w:pPr>
          </w:p>
        </w:tc>
        <w:tc>
          <w:tcPr>
            <w:tcW w:w="2520" w:type="dxa"/>
            <w:vAlign w:val="bottom"/>
            <w:shd w:val="clear" w:color="auto" w:fill="F6F3F0"/>
          </w:tcPr>
          <w:p>
            <w:pPr>
              <w:spacing w:after="0"/>
              <w:rPr>
                <w:sz w:val="17"/>
                <w:szCs w:val="17"/>
                <w:color w:val="auto"/>
              </w:rPr>
            </w:pPr>
          </w:p>
        </w:tc>
        <w:tc>
          <w:tcPr>
            <w:tcW w:w="20" w:type="dxa"/>
            <w:vAlign w:val="bottom"/>
            <w:shd w:val="clear" w:color="auto" w:fill="CFCFD2"/>
          </w:tcPr>
          <w:p>
            <w:pPr>
              <w:spacing w:after="0"/>
              <w:rPr>
                <w:sz w:val="17"/>
                <w:szCs w:val="17"/>
                <w:color w:val="auto"/>
              </w:rPr>
            </w:pPr>
          </w:p>
        </w:tc>
        <w:tc>
          <w:tcPr>
            <w:tcW w:w="2480" w:type="dxa"/>
            <w:vAlign w:val="bottom"/>
            <w:shd w:val="clear" w:color="auto" w:fill="F6F3F0"/>
          </w:tcPr>
          <w:p>
            <w:pPr>
              <w:spacing w:after="0"/>
              <w:rPr>
                <w:sz w:val="17"/>
                <w:szCs w:val="17"/>
                <w:color w:val="auto"/>
              </w:rPr>
            </w:pPr>
          </w:p>
        </w:tc>
        <w:tc>
          <w:tcPr>
            <w:tcW w:w="1100" w:type="dxa"/>
            <w:vAlign w:val="bottom"/>
            <w:shd w:val="clear" w:color="auto" w:fill="F6F3F0"/>
          </w:tcPr>
          <w:p>
            <w:pPr>
              <w:spacing w:after="0"/>
              <w:rPr>
                <w:sz w:val="17"/>
                <w:szCs w:val="17"/>
                <w:color w:val="auto"/>
              </w:rPr>
            </w:pPr>
          </w:p>
        </w:tc>
        <w:tc>
          <w:tcPr>
            <w:tcW w:w="20" w:type="dxa"/>
            <w:vAlign w:val="bottom"/>
            <w:shd w:val="clear" w:color="auto" w:fill="F6F3F0"/>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0" w:type="dxa"/>
            <w:vAlign w:val="bottom"/>
            <w:shd w:val="clear" w:color="auto" w:fill="F6F3F0"/>
          </w:tcPr>
          <w:p>
            <w:pPr>
              <w:spacing w:after="0"/>
              <w:rPr>
                <w:sz w:val="17"/>
                <w:szCs w:val="17"/>
                <w:color w:val="auto"/>
              </w:rPr>
            </w:pPr>
          </w:p>
        </w:tc>
        <w:tc>
          <w:tcPr>
            <w:tcW w:w="2100" w:type="dxa"/>
            <w:vAlign w:val="bottom"/>
            <w:shd w:val="clear" w:color="auto" w:fill="F6F3F0"/>
          </w:tcPr>
          <w:p>
            <w:pPr>
              <w:ind w:left="20"/>
              <w:spacing w:after="0"/>
              <w:rPr>
                <w:sz w:val="20"/>
                <w:szCs w:val="20"/>
                <w:color w:val="auto"/>
              </w:rPr>
            </w:pPr>
            <w:r>
              <w:rPr>
                <w:rFonts w:ascii="Arial" w:cs="Arial" w:eastAsia="Arial" w:hAnsi="Arial"/>
                <w:sz w:val="14"/>
                <w:szCs w:val="14"/>
                <w:color w:val="0E1020"/>
              </w:rPr>
              <w:t>proxy card or voting instruction</w:t>
            </w:r>
          </w:p>
        </w:tc>
        <w:tc>
          <w:tcPr>
            <w:tcW w:w="240" w:type="dxa"/>
            <w:vAlign w:val="bottom"/>
            <w:tcBorders>
              <w:right w:val="single" w:sz="8" w:color="CFCFD2"/>
            </w:tcBorders>
            <w:shd w:val="clear" w:color="auto" w:fill="F6F3F0"/>
          </w:tcPr>
          <w:p>
            <w:pPr>
              <w:spacing w:after="0"/>
              <w:rPr>
                <w:sz w:val="17"/>
                <w:szCs w:val="17"/>
                <w:color w:val="auto"/>
              </w:rPr>
            </w:pPr>
          </w:p>
        </w:tc>
        <w:tc>
          <w:tcPr>
            <w:tcW w:w="2540" w:type="dxa"/>
            <w:vAlign w:val="bottom"/>
            <w:shd w:val="clear" w:color="auto" w:fill="F6F3F0"/>
          </w:tcPr>
          <w:p>
            <w:pPr>
              <w:ind w:left="200"/>
              <w:spacing w:after="0"/>
              <w:rPr>
                <w:sz w:val="20"/>
                <w:szCs w:val="20"/>
                <w:color w:val="auto"/>
              </w:rPr>
            </w:pPr>
            <w:r>
              <w:rPr>
                <w:rFonts w:ascii="Arial" w:cs="Arial" w:eastAsia="Arial" w:hAnsi="Arial"/>
                <w:sz w:val="14"/>
                <w:szCs w:val="14"/>
                <w:color w:val="0E1020"/>
              </w:rPr>
              <w:t>or voting instruction card.</w:t>
            </w:r>
          </w:p>
        </w:tc>
        <w:tc>
          <w:tcPr>
            <w:tcW w:w="20" w:type="dxa"/>
            <w:vAlign w:val="bottom"/>
            <w:shd w:val="clear" w:color="auto" w:fill="CFCFD2"/>
          </w:tcPr>
          <w:p>
            <w:pPr>
              <w:spacing w:after="0"/>
              <w:rPr>
                <w:sz w:val="17"/>
                <w:szCs w:val="17"/>
                <w:color w:val="auto"/>
              </w:rPr>
            </w:pPr>
          </w:p>
        </w:tc>
        <w:tc>
          <w:tcPr>
            <w:tcW w:w="2520" w:type="dxa"/>
            <w:vAlign w:val="bottom"/>
            <w:shd w:val="clear" w:color="auto" w:fill="F6F3F0"/>
          </w:tcPr>
          <w:p>
            <w:pPr>
              <w:spacing w:after="0"/>
              <w:rPr>
                <w:sz w:val="17"/>
                <w:szCs w:val="17"/>
                <w:color w:val="auto"/>
              </w:rPr>
            </w:pPr>
          </w:p>
        </w:tc>
        <w:tc>
          <w:tcPr>
            <w:tcW w:w="20" w:type="dxa"/>
            <w:vAlign w:val="bottom"/>
            <w:shd w:val="clear" w:color="auto" w:fill="CFCFD2"/>
          </w:tcPr>
          <w:p>
            <w:pPr>
              <w:spacing w:after="0"/>
              <w:rPr>
                <w:sz w:val="17"/>
                <w:szCs w:val="17"/>
                <w:color w:val="auto"/>
              </w:rPr>
            </w:pPr>
          </w:p>
        </w:tc>
        <w:tc>
          <w:tcPr>
            <w:tcW w:w="2480" w:type="dxa"/>
            <w:vAlign w:val="bottom"/>
            <w:shd w:val="clear" w:color="auto" w:fill="F6F3F0"/>
          </w:tcPr>
          <w:p>
            <w:pPr>
              <w:spacing w:after="0"/>
              <w:rPr>
                <w:sz w:val="17"/>
                <w:szCs w:val="17"/>
                <w:color w:val="auto"/>
              </w:rPr>
            </w:pPr>
          </w:p>
        </w:tc>
        <w:tc>
          <w:tcPr>
            <w:tcW w:w="1100" w:type="dxa"/>
            <w:vAlign w:val="bottom"/>
            <w:shd w:val="clear" w:color="auto" w:fill="F6F3F0"/>
          </w:tcPr>
          <w:p>
            <w:pPr>
              <w:spacing w:after="0"/>
              <w:rPr>
                <w:sz w:val="17"/>
                <w:szCs w:val="17"/>
                <w:color w:val="auto"/>
              </w:rPr>
            </w:pPr>
          </w:p>
        </w:tc>
        <w:tc>
          <w:tcPr>
            <w:tcW w:w="20" w:type="dxa"/>
            <w:vAlign w:val="bottom"/>
            <w:shd w:val="clear" w:color="auto" w:fill="F6F3F0"/>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Borders>
              <w:bottom w:val="single" w:sz="8" w:color="F6F3F0"/>
            </w:tcBorders>
            <w:shd w:val="clear" w:color="auto" w:fill="F6F3F0"/>
          </w:tcPr>
          <w:p>
            <w:pPr>
              <w:spacing w:after="0"/>
              <w:rPr>
                <w:sz w:val="18"/>
                <w:szCs w:val="18"/>
                <w:color w:val="auto"/>
              </w:rPr>
            </w:pPr>
          </w:p>
        </w:tc>
        <w:tc>
          <w:tcPr>
            <w:tcW w:w="2100" w:type="dxa"/>
            <w:vAlign w:val="bottom"/>
            <w:tcBorders>
              <w:bottom w:val="single" w:sz="8" w:color="F6F3F0"/>
            </w:tcBorders>
            <w:shd w:val="clear" w:color="auto" w:fill="F6F3F0"/>
          </w:tcPr>
          <w:p>
            <w:pPr>
              <w:ind w:left="20"/>
              <w:spacing w:after="0"/>
              <w:rPr>
                <w:sz w:val="20"/>
                <w:szCs w:val="20"/>
                <w:color w:val="auto"/>
              </w:rPr>
            </w:pPr>
            <w:r>
              <w:rPr>
                <w:rFonts w:ascii="Arial" w:cs="Arial" w:eastAsia="Arial" w:hAnsi="Arial"/>
                <w:sz w:val="14"/>
                <w:szCs w:val="14"/>
                <w:color w:val="0E1020"/>
              </w:rPr>
              <w:t>card.</w:t>
            </w:r>
          </w:p>
        </w:tc>
        <w:tc>
          <w:tcPr>
            <w:tcW w:w="240" w:type="dxa"/>
            <w:vAlign w:val="bottom"/>
            <w:tcBorders>
              <w:bottom w:val="single" w:sz="8" w:color="F6F3F0"/>
              <w:right w:val="single" w:sz="8" w:color="CFCFD2"/>
            </w:tcBorders>
            <w:shd w:val="clear" w:color="auto" w:fill="F6F3F0"/>
          </w:tcPr>
          <w:p>
            <w:pPr>
              <w:spacing w:after="0"/>
              <w:rPr>
                <w:sz w:val="18"/>
                <w:szCs w:val="18"/>
                <w:color w:val="auto"/>
              </w:rPr>
            </w:pPr>
          </w:p>
        </w:tc>
        <w:tc>
          <w:tcPr>
            <w:tcW w:w="2540" w:type="dxa"/>
            <w:vAlign w:val="bottom"/>
            <w:tcBorders>
              <w:bottom w:val="single" w:sz="8" w:color="F6F3F0"/>
            </w:tcBorders>
            <w:shd w:val="clear" w:color="auto" w:fill="F6F3F0"/>
          </w:tcPr>
          <w:p>
            <w:pPr>
              <w:spacing w:after="0"/>
              <w:rPr>
                <w:sz w:val="18"/>
                <w:szCs w:val="18"/>
                <w:color w:val="auto"/>
              </w:rPr>
            </w:pPr>
          </w:p>
        </w:tc>
        <w:tc>
          <w:tcPr>
            <w:tcW w:w="20" w:type="dxa"/>
            <w:vAlign w:val="bottom"/>
            <w:tcBorders>
              <w:bottom w:val="single" w:sz="8" w:color="CFCFD2"/>
            </w:tcBorders>
            <w:shd w:val="clear" w:color="auto" w:fill="CFCFD2"/>
          </w:tcPr>
          <w:p>
            <w:pPr>
              <w:spacing w:after="0"/>
              <w:rPr>
                <w:sz w:val="18"/>
                <w:szCs w:val="18"/>
                <w:color w:val="auto"/>
              </w:rPr>
            </w:pPr>
          </w:p>
        </w:tc>
        <w:tc>
          <w:tcPr>
            <w:tcW w:w="2520" w:type="dxa"/>
            <w:vAlign w:val="bottom"/>
            <w:tcBorders>
              <w:bottom w:val="single" w:sz="8" w:color="F6F3F0"/>
            </w:tcBorders>
            <w:shd w:val="clear" w:color="auto" w:fill="F6F3F0"/>
          </w:tcPr>
          <w:p>
            <w:pPr>
              <w:spacing w:after="0"/>
              <w:rPr>
                <w:sz w:val="18"/>
                <w:szCs w:val="18"/>
                <w:color w:val="auto"/>
              </w:rPr>
            </w:pPr>
          </w:p>
        </w:tc>
        <w:tc>
          <w:tcPr>
            <w:tcW w:w="20" w:type="dxa"/>
            <w:vAlign w:val="bottom"/>
            <w:tcBorders>
              <w:bottom w:val="single" w:sz="8" w:color="CFCFD2"/>
            </w:tcBorders>
            <w:shd w:val="clear" w:color="auto" w:fill="CFCFD2"/>
          </w:tcPr>
          <w:p>
            <w:pPr>
              <w:spacing w:after="0"/>
              <w:rPr>
                <w:sz w:val="18"/>
                <w:szCs w:val="18"/>
                <w:color w:val="auto"/>
              </w:rPr>
            </w:pPr>
          </w:p>
        </w:tc>
        <w:tc>
          <w:tcPr>
            <w:tcW w:w="2480" w:type="dxa"/>
            <w:vAlign w:val="bottom"/>
            <w:tcBorders>
              <w:bottom w:val="single" w:sz="8" w:color="F6F3F0"/>
            </w:tcBorders>
            <w:shd w:val="clear" w:color="auto" w:fill="F6F3F0"/>
          </w:tcPr>
          <w:p>
            <w:pPr>
              <w:spacing w:after="0"/>
              <w:rPr>
                <w:sz w:val="18"/>
                <w:szCs w:val="18"/>
                <w:color w:val="auto"/>
              </w:rPr>
            </w:pPr>
          </w:p>
        </w:tc>
        <w:tc>
          <w:tcPr>
            <w:tcW w:w="1100" w:type="dxa"/>
            <w:vAlign w:val="bottom"/>
            <w:tcBorders>
              <w:bottom w:val="single" w:sz="8" w:color="F6F3F0"/>
            </w:tcBorders>
            <w:shd w:val="clear" w:color="auto" w:fill="F6F3F0"/>
          </w:tcPr>
          <w:p>
            <w:pPr>
              <w:spacing w:after="0"/>
              <w:rPr>
                <w:sz w:val="18"/>
                <w:szCs w:val="18"/>
                <w:color w:val="auto"/>
              </w:rPr>
            </w:pPr>
          </w:p>
        </w:tc>
        <w:tc>
          <w:tcPr>
            <w:tcW w:w="20" w:type="dxa"/>
            <w:vAlign w:val="bottom"/>
            <w:tcBorders>
              <w:bottom w:val="single" w:sz="8" w:color="F6F3F0"/>
            </w:tcBorders>
            <w:shd w:val="clear" w:color="auto" w:fill="F6F3F0"/>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0" w:type="dxa"/>
            <w:vAlign w:val="bottom"/>
            <w:shd w:val="clear" w:color="auto" w:fill="F6F3F0"/>
          </w:tcPr>
          <w:p>
            <w:pPr>
              <w:spacing w:after="0"/>
              <w:rPr>
                <w:sz w:val="23"/>
                <w:szCs w:val="23"/>
                <w:color w:val="auto"/>
              </w:rPr>
            </w:pPr>
          </w:p>
        </w:tc>
        <w:tc>
          <w:tcPr>
            <w:tcW w:w="2100" w:type="dxa"/>
            <w:vAlign w:val="bottom"/>
            <w:shd w:val="clear" w:color="auto" w:fill="F6F3F0"/>
          </w:tcPr>
          <w:p>
            <w:pPr>
              <w:spacing w:after="0"/>
              <w:rPr>
                <w:sz w:val="23"/>
                <w:szCs w:val="23"/>
                <w:color w:val="auto"/>
              </w:rPr>
            </w:pPr>
          </w:p>
        </w:tc>
        <w:tc>
          <w:tcPr>
            <w:tcW w:w="240" w:type="dxa"/>
            <w:vAlign w:val="bottom"/>
            <w:tcBorders>
              <w:right w:val="single" w:sz="8" w:color="F6F3F0"/>
            </w:tcBorders>
            <w:shd w:val="clear" w:color="auto" w:fill="F6F3F0"/>
          </w:tcPr>
          <w:p>
            <w:pPr>
              <w:spacing w:after="0"/>
              <w:rPr>
                <w:sz w:val="23"/>
                <w:szCs w:val="23"/>
                <w:color w:val="auto"/>
              </w:rPr>
            </w:pPr>
          </w:p>
        </w:tc>
        <w:tc>
          <w:tcPr>
            <w:tcW w:w="2540" w:type="dxa"/>
            <w:vAlign w:val="bottom"/>
            <w:shd w:val="clear" w:color="auto" w:fill="F6F3F0"/>
          </w:tcPr>
          <w:p>
            <w:pPr>
              <w:spacing w:after="0"/>
              <w:rPr>
                <w:sz w:val="23"/>
                <w:szCs w:val="23"/>
                <w:color w:val="auto"/>
              </w:rPr>
            </w:pPr>
          </w:p>
        </w:tc>
        <w:tc>
          <w:tcPr>
            <w:tcW w:w="20" w:type="dxa"/>
            <w:vAlign w:val="bottom"/>
            <w:shd w:val="clear" w:color="auto" w:fill="F6F3F0"/>
          </w:tcPr>
          <w:p>
            <w:pPr>
              <w:spacing w:after="0"/>
              <w:rPr>
                <w:sz w:val="23"/>
                <w:szCs w:val="23"/>
                <w:color w:val="auto"/>
              </w:rPr>
            </w:pPr>
          </w:p>
        </w:tc>
        <w:tc>
          <w:tcPr>
            <w:tcW w:w="2520" w:type="dxa"/>
            <w:vAlign w:val="bottom"/>
            <w:shd w:val="clear" w:color="auto" w:fill="F6F3F0"/>
          </w:tcPr>
          <w:p>
            <w:pPr>
              <w:spacing w:after="0"/>
              <w:rPr>
                <w:sz w:val="23"/>
                <w:szCs w:val="23"/>
                <w:color w:val="auto"/>
              </w:rPr>
            </w:pPr>
          </w:p>
        </w:tc>
        <w:tc>
          <w:tcPr>
            <w:tcW w:w="20" w:type="dxa"/>
            <w:vAlign w:val="bottom"/>
            <w:shd w:val="clear" w:color="auto" w:fill="F6F3F0"/>
          </w:tcPr>
          <w:p>
            <w:pPr>
              <w:spacing w:after="0"/>
              <w:rPr>
                <w:sz w:val="23"/>
                <w:szCs w:val="23"/>
                <w:color w:val="auto"/>
              </w:rPr>
            </w:pPr>
          </w:p>
        </w:tc>
        <w:tc>
          <w:tcPr>
            <w:tcW w:w="2480" w:type="dxa"/>
            <w:vAlign w:val="bottom"/>
            <w:shd w:val="clear" w:color="auto" w:fill="F6F3F0"/>
          </w:tcPr>
          <w:p>
            <w:pPr>
              <w:spacing w:after="0"/>
              <w:rPr>
                <w:sz w:val="23"/>
                <w:szCs w:val="23"/>
                <w:color w:val="auto"/>
              </w:rPr>
            </w:pPr>
          </w:p>
        </w:tc>
        <w:tc>
          <w:tcPr>
            <w:tcW w:w="1100" w:type="dxa"/>
            <w:vAlign w:val="bottom"/>
            <w:shd w:val="clear" w:color="auto" w:fill="F6F3F0"/>
          </w:tcPr>
          <w:p>
            <w:pPr>
              <w:spacing w:after="0"/>
              <w:rPr>
                <w:sz w:val="23"/>
                <w:szCs w:val="23"/>
                <w:color w:val="auto"/>
              </w:rPr>
            </w:pPr>
          </w:p>
        </w:tc>
        <w:tc>
          <w:tcPr>
            <w:tcW w:w="20" w:type="dxa"/>
            <w:vAlign w:val="bottom"/>
            <w:shd w:val="clear" w:color="auto" w:fill="F6F3F0"/>
          </w:tcPr>
          <w:p>
            <w:pPr>
              <w:spacing w:after="0"/>
              <w:rPr>
                <w:sz w:val="23"/>
                <w:szCs w:val="23"/>
                <w:color w:val="auto"/>
              </w:rPr>
            </w:pPr>
          </w:p>
        </w:tc>
        <w:tc>
          <w:tcPr>
            <w:tcW w:w="0" w:type="dxa"/>
            <w:vAlign w:val="bottom"/>
          </w:tcPr>
          <w:p>
            <w:pPr>
              <w:spacing w:after="0"/>
              <w:rPr>
                <w:sz w:val="1"/>
                <w:szCs w:val="1"/>
                <w:color w:val="auto"/>
              </w:rPr>
            </w:pPr>
          </w:p>
        </w:tc>
      </w:tr>
      <w:tr>
        <w:trPr>
          <w:trHeight w:val="389"/>
        </w:trPr>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0" w:type="dxa"/>
            <w:vAlign w:val="bottom"/>
            <w:shd w:val="clear" w:color="auto" w:fill="F6F3F0"/>
          </w:tcPr>
          <w:p>
            <w:pPr>
              <w:spacing w:after="0"/>
              <w:rPr>
                <w:sz w:val="13"/>
                <w:szCs w:val="13"/>
                <w:color w:val="auto"/>
              </w:rPr>
            </w:pPr>
          </w:p>
        </w:tc>
        <w:tc>
          <w:tcPr>
            <w:tcW w:w="2100" w:type="dxa"/>
            <w:vAlign w:val="bottom"/>
            <w:shd w:val="clear" w:color="auto" w:fill="F6F3F0"/>
          </w:tcPr>
          <w:p>
            <w:pPr>
              <w:spacing w:after="0"/>
              <w:rPr>
                <w:sz w:val="13"/>
                <w:szCs w:val="13"/>
                <w:color w:val="auto"/>
              </w:rPr>
            </w:pPr>
          </w:p>
        </w:tc>
        <w:tc>
          <w:tcPr>
            <w:tcW w:w="240" w:type="dxa"/>
            <w:vAlign w:val="bottom"/>
            <w:tcBorders>
              <w:right w:val="single" w:sz="8" w:color="F6F3F0"/>
            </w:tcBorders>
            <w:shd w:val="clear" w:color="auto" w:fill="F6F3F0"/>
          </w:tcPr>
          <w:p>
            <w:pPr>
              <w:spacing w:after="0"/>
              <w:rPr>
                <w:sz w:val="13"/>
                <w:szCs w:val="13"/>
                <w:color w:val="auto"/>
              </w:rPr>
            </w:pPr>
          </w:p>
        </w:tc>
        <w:tc>
          <w:tcPr>
            <w:tcW w:w="2540" w:type="dxa"/>
            <w:vAlign w:val="bottom"/>
            <w:shd w:val="clear" w:color="auto" w:fill="F6F3F0"/>
          </w:tcPr>
          <w:p>
            <w:pPr>
              <w:spacing w:after="0"/>
              <w:rPr>
                <w:sz w:val="13"/>
                <w:szCs w:val="13"/>
                <w:color w:val="auto"/>
              </w:rPr>
            </w:pPr>
          </w:p>
        </w:tc>
        <w:tc>
          <w:tcPr>
            <w:tcW w:w="20" w:type="dxa"/>
            <w:vAlign w:val="bottom"/>
            <w:shd w:val="clear" w:color="auto" w:fill="F6F3F0"/>
          </w:tcPr>
          <w:p>
            <w:pPr>
              <w:spacing w:after="0"/>
              <w:rPr>
                <w:sz w:val="13"/>
                <w:szCs w:val="13"/>
                <w:color w:val="auto"/>
              </w:rPr>
            </w:pPr>
          </w:p>
        </w:tc>
        <w:tc>
          <w:tcPr>
            <w:tcW w:w="2520" w:type="dxa"/>
            <w:vAlign w:val="bottom"/>
            <w:shd w:val="clear" w:color="auto" w:fill="F6F3F0"/>
          </w:tcPr>
          <w:p>
            <w:pPr>
              <w:spacing w:after="0"/>
              <w:rPr>
                <w:sz w:val="13"/>
                <w:szCs w:val="13"/>
                <w:color w:val="auto"/>
              </w:rPr>
            </w:pPr>
          </w:p>
        </w:tc>
        <w:tc>
          <w:tcPr>
            <w:tcW w:w="20" w:type="dxa"/>
            <w:vAlign w:val="bottom"/>
            <w:shd w:val="clear" w:color="auto" w:fill="F6F3F0"/>
          </w:tcPr>
          <w:p>
            <w:pPr>
              <w:spacing w:after="0"/>
              <w:rPr>
                <w:sz w:val="13"/>
                <w:szCs w:val="13"/>
                <w:color w:val="auto"/>
              </w:rPr>
            </w:pPr>
          </w:p>
        </w:tc>
        <w:tc>
          <w:tcPr>
            <w:tcW w:w="2480" w:type="dxa"/>
            <w:vAlign w:val="bottom"/>
            <w:shd w:val="clear" w:color="auto" w:fill="F6F3F0"/>
          </w:tcPr>
          <w:p>
            <w:pPr>
              <w:spacing w:after="0"/>
              <w:rPr>
                <w:sz w:val="13"/>
                <w:szCs w:val="13"/>
                <w:color w:val="auto"/>
              </w:rPr>
            </w:pPr>
          </w:p>
        </w:tc>
        <w:tc>
          <w:tcPr>
            <w:tcW w:w="1100" w:type="dxa"/>
            <w:vAlign w:val="bottom"/>
            <w:shd w:val="clear" w:color="auto" w:fill="F6F3F0"/>
          </w:tcPr>
          <w:p>
            <w:pPr>
              <w:spacing w:after="0"/>
              <w:rPr>
                <w:sz w:val="13"/>
                <w:szCs w:val="13"/>
                <w:color w:val="auto"/>
              </w:rPr>
            </w:pPr>
          </w:p>
        </w:tc>
        <w:tc>
          <w:tcPr>
            <w:tcW w:w="20" w:type="dxa"/>
            <w:vAlign w:val="bottom"/>
            <w:shd w:val="clear" w:color="auto" w:fill="F6F3F0"/>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-2136140</wp:posOffset>
            </wp:positionV>
            <wp:extent cx="221615" cy="2216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1615" cy="221615"/>
                    </a:xfrm>
                    <a:prstGeom prst="rect">
                      <a:avLst/>
                    </a:prstGeom>
                    <a:noFill/>
                  </pic:spPr>
                </pic:pic>
              </a:graphicData>
            </a:graphic>
          </wp:anchor>
        </w:drawing>
        <w:drawing>
          <wp:anchor simplePos="0" relativeHeight="251657728" behindDoc="1" locked="0" layoutInCell="0" allowOverlap="1">
            <wp:simplePos x="0" y="0"/>
            <wp:positionH relativeFrom="column">
              <wp:posOffset>1741170</wp:posOffset>
            </wp:positionH>
            <wp:positionV relativeFrom="paragraph">
              <wp:posOffset>-2136140</wp:posOffset>
            </wp:positionV>
            <wp:extent cx="221615" cy="2216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1615" cy="221615"/>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-2136140</wp:posOffset>
            </wp:positionV>
            <wp:extent cx="221615" cy="2216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1615" cy="221615"/>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-2136140</wp:posOffset>
            </wp:positionV>
            <wp:extent cx="221615" cy="2216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1615" cy="2216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-101600</wp:posOffset>
            </wp:positionV>
            <wp:extent cx="7133590" cy="5873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3590" cy="587375"/>
                    </a:xfrm>
                    <a:prstGeom prst="rect">
                      <a:avLst/>
                    </a:prstGeom>
                    <a:noFill/>
                  </pic:spPr>
                </pic:pic>
              </a:graphicData>
            </a:graphic>
          </wp:anchor>
        </w:drawing>
      </w:r>
    </w:p>
    <w:p>
      <w:pPr>
        <w:spacing w:after="0" w:line="4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b w:val="1"/>
          <w:bCs w:val="1"/>
          <w:color w:val="0E1020"/>
        </w:rPr>
        <w:t>PROPOSAL 1</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4"/>
          <w:szCs w:val="14"/>
          <w:color w:val="0E1020"/>
        </w:rPr>
        <w:t>Election of Directors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Our Director Nominees</w:t>
      </w:r>
    </w:p>
    <w:p>
      <w:pPr>
        <w:spacing w:after="0" w:line="133" w:lineRule="exact"/>
        <w:rPr>
          <w:sz w:val="20"/>
          <w:szCs w:val="20"/>
          <w:color w:val="auto"/>
        </w:rPr>
      </w:pPr>
    </w:p>
    <w:p>
      <w:pPr>
        <w:ind w:right="120"/>
        <w:spacing w:after="0" w:line="335" w:lineRule="auto"/>
        <w:rPr>
          <w:sz w:val="20"/>
          <w:szCs w:val="20"/>
          <w:color w:val="auto"/>
        </w:rPr>
      </w:pPr>
      <w:r>
        <w:rPr>
          <w:rFonts w:ascii="Arial" w:cs="Arial" w:eastAsia="Arial" w:hAnsi="Arial"/>
          <w:sz w:val="16"/>
          <w:szCs w:val="16"/>
          <w:color w:val="0E1020"/>
        </w:rPr>
        <w:t>The following table provides summary information about each director nominee. In an uncontested election, each director is elected annually by a majority of votes cast, meaning if the number of votes cast for such nominee’s election exceeds the number of votes cast against such nominee’s election.</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00" w:type="dxa"/>
            <w:vAlign w:val="bottom"/>
            <w:shd w:val="clear" w:color="auto" w:fill="F6F3F0"/>
          </w:tcPr>
          <w:p>
            <w:pPr>
              <w:spacing w:after="0"/>
              <w:rPr>
                <w:sz w:val="18"/>
                <w:szCs w:val="18"/>
                <w:color w:val="auto"/>
              </w:rPr>
            </w:pPr>
          </w:p>
        </w:tc>
        <w:tc>
          <w:tcPr>
            <w:tcW w:w="640" w:type="dxa"/>
            <w:vAlign w:val="bottom"/>
            <w:shd w:val="clear" w:color="auto" w:fill="F6F3F0"/>
          </w:tcPr>
          <w:p>
            <w:pPr>
              <w:spacing w:after="0"/>
              <w:rPr>
                <w:sz w:val="18"/>
                <w:szCs w:val="18"/>
                <w:color w:val="auto"/>
              </w:rPr>
            </w:pPr>
          </w:p>
        </w:tc>
        <w:tc>
          <w:tcPr>
            <w:tcW w:w="1420" w:type="dxa"/>
            <w:vAlign w:val="bottom"/>
            <w:shd w:val="clear" w:color="auto" w:fill="F6F3F0"/>
          </w:tcPr>
          <w:p>
            <w:pPr>
              <w:spacing w:after="0"/>
              <w:rPr>
                <w:sz w:val="18"/>
                <w:szCs w:val="18"/>
                <w:color w:val="auto"/>
              </w:rPr>
            </w:pPr>
          </w:p>
        </w:tc>
        <w:tc>
          <w:tcPr>
            <w:tcW w:w="1220" w:type="dxa"/>
            <w:vAlign w:val="bottom"/>
            <w:shd w:val="clear" w:color="auto" w:fill="F6F3F0"/>
          </w:tcPr>
          <w:p>
            <w:pPr>
              <w:spacing w:after="0"/>
              <w:rPr>
                <w:sz w:val="18"/>
                <w:szCs w:val="18"/>
                <w:color w:val="auto"/>
              </w:rPr>
            </w:pPr>
          </w:p>
        </w:tc>
        <w:tc>
          <w:tcPr>
            <w:tcW w:w="4600" w:type="dxa"/>
            <w:vAlign w:val="bottom"/>
            <w:shd w:val="clear" w:color="auto" w:fill="F6F3F0"/>
          </w:tcPr>
          <w:p>
            <w:pPr>
              <w:spacing w:after="0"/>
              <w:rPr>
                <w:sz w:val="18"/>
                <w:szCs w:val="18"/>
                <w:color w:val="auto"/>
              </w:rPr>
            </w:pPr>
          </w:p>
        </w:tc>
        <w:tc>
          <w:tcPr>
            <w:tcW w:w="1360" w:type="dxa"/>
            <w:vAlign w:val="bottom"/>
            <w:shd w:val="clear" w:color="auto" w:fill="F6F3F0"/>
          </w:tcPr>
          <w:p>
            <w:pPr>
              <w:jc w:val="center"/>
              <w:ind w:right="77"/>
              <w:spacing w:after="0"/>
              <w:rPr>
                <w:sz w:val="20"/>
                <w:szCs w:val="20"/>
                <w:color w:val="auto"/>
              </w:rPr>
            </w:pPr>
            <w:r>
              <w:rPr>
                <w:rFonts w:ascii="Arial" w:cs="Arial" w:eastAsia="Arial" w:hAnsi="Arial"/>
                <w:sz w:val="13"/>
                <w:szCs w:val="13"/>
                <w:b w:val="1"/>
                <w:bCs w:val="1"/>
                <w:color w:val="0E1020"/>
                <w:w w:val="95"/>
              </w:rPr>
              <w:t>Other Public</w:t>
            </w:r>
          </w:p>
        </w:tc>
        <w:tc>
          <w:tcPr>
            <w:tcW w:w="0" w:type="dxa"/>
            <w:vAlign w:val="bottom"/>
          </w:tcPr>
          <w:p>
            <w:pPr>
              <w:spacing w:after="0"/>
              <w:rPr>
                <w:sz w:val="1"/>
                <w:szCs w:val="1"/>
                <w:color w:val="auto"/>
              </w:rPr>
            </w:pPr>
          </w:p>
        </w:tc>
      </w:tr>
      <w:tr>
        <w:trPr>
          <w:trHeight w:val="171"/>
        </w:trPr>
        <w:tc>
          <w:tcPr>
            <w:tcW w:w="2000" w:type="dxa"/>
            <w:vAlign w:val="bottom"/>
            <w:shd w:val="clear" w:color="auto" w:fill="F6F3F0"/>
          </w:tcPr>
          <w:p>
            <w:pPr>
              <w:ind w:left="100"/>
              <w:spacing w:after="0"/>
              <w:rPr>
                <w:sz w:val="20"/>
                <w:szCs w:val="20"/>
                <w:color w:val="auto"/>
              </w:rPr>
            </w:pPr>
            <w:r>
              <w:rPr>
                <w:rFonts w:ascii="Arial" w:cs="Arial" w:eastAsia="Arial" w:hAnsi="Arial"/>
                <w:sz w:val="13"/>
                <w:szCs w:val="13"/>
                <w:b w:val="1"/>
                <w:bCs w:val="1"/>
                <w:color w:val="0E1020"/>
              </w:rPr>
              <w:t>Name</w:t>
            </w:r>
          </w:p>
        </w:tc>
        <w:tc>
          <w:tcPr>
            <w:tcW w:w="640" w:type="dxa"/>
            <w:vAlign w:val="bottom"/>
            <w:shd w:val="clear" w:color="auto" w:fill="F6F3F0"/>
          </w:tcPr>
          <w:p>
            <w:pPr>
              <w:jc w:val="center"/>
              <w:spacing w:after="0"/>
              <w:rPr>
                <w:sz w:val="20"/>
                <w:szCs w:val="20"/>
                <w:color w:val="auto"/>
              </w:rPr>
            </w:pPr>
            <w:r>
              <w:rPr>
                <w:rFonts w:ascii="Arial" w:cs="Arial" w:eastAsia="Arial" w:hAnsi="Arial"/>
                <w:sz w:val="13"/>
                <w:szCs w:val="13"/>
                <w:b w:val="1"/>
                <w:bCs w:val="1"/>
                <w:color w:val="0E1020"/>
                <w:w w:val="94"/>
              </w:rPr>
              <w:t>Age*</w:t>
            </w:r>
          </w:p>
        </w:tc>
        <w:tc>
          <w:tcPr>
            <w:tcW w:w="1420" w:type="dxa"/>
            <w:vAlign w:val="bottom"/>
            <w:shd w:val="clear" w:color="auto" w:fill="F6F3F0"/>
          </w:tcPr>
          <w:p>
            <w:pPr>
              <w:jc w:val="center"/>
              <w:spacing w:after="0"/>
              <w:rPr>
                <w:sz w:val="20"/>
                <w:szCs w:val="20"/>
                <w:color w:val="auto"/>
              </w:rPr>
            </w:pPr>
            <w:r>
              <w:rPr>
                <w:rFonts w:ascii="Arial" w:cs="Arial" w:eastAsia="Arial" w:hAnsi="Arial"/>
                <w:sz w:val="13"/>
                <w:szCs w:val="13"/>
                <w:b w:val="1"/>
                <w:bCs w:val="1"/>
                <w:color w:val="0E1020"/>
                <w:w w:val="95"/>
              </w:rPr>
              <w:t>Director Since</w:t>
            </w:r>
          </w:p>
        </w:tc>
        <w:tc>
          <w:tcPr>
            <w:tcW w:w="1220" w:type="dxa"/>
            <w:vAlign w:val="bottom"/>
            <w:shd w:val="clear" w:color="auto" w:fill="F6F3F0"/>
          </w:tcPr>
          <w:p>
            <w:pPr>
              <w:ind w:left="280"/>
              <w:spacing w:after="0"/>
              <w:rPr>
                <w:sz w:val="20"/>
                <w:szCs w:val="20"/>
                <w:color w:val="auto"/>
              </w:rPr>
            </w:pPr>
            <w:r>
              <w:rPr>
                <w:rFonts w:ascii="Arial" w:cs="Arial" w:eastAsia="Arial" w:hAnsi="Arial"/>
                <w:sz w:val="13"/>
                <w:szCs w:val="13"/>
                <w:b w:val="1"/>
                <w:bCs w:val="1"/>
                <w:color w:val="0E1020"/>
              </w:rPr>
              <w:t>Independent</w:t>
            </w:r>
          </w:p>
        </w:tc>
        <w:tc>
          <w:tcPr>
            <w:tcW w:w="4600" w:type="dxa"/>
            <w:vAlign w:val="bottom"/>
            <w:shd w:val="clear" w:color="auto" w:fill="F6F3F0"/>
          </w:tcPr>
          <w:p>
            <w:pPr>
              <w:ind w:left="200"/>
              <w:spacing w:after="0"/>
              <w:rPr>
                <w:sz w:val="20"/>
                <w:szCs w:val="20"/>
                <w:color w:val="auto"/>
              </w:rPr>
            </w:pPr>
            <w:r>
              <w:rPr>
                <w:rFonts w:ascii="Arial" w:cs="Arial" w:eastAsia="Arial" w:hAnsi="Arial"/>
                <w:sz w:val="13"/>
                <w:szCs w:val="13"/>
                <w:b w:val="1"/>
                <w:bCs w:val="1"/>
                <w:color w:val="0E1020"/>
              </w:rPr>
              <w:t>Principal Occupation</w:t>
            </w:r>
          </w:p>
        </w:tc>
        <w:tc>
          <w:tcPr>
            <w:tcW w:w="1360" w:type="dxa"/>
            <w:vAlign w:val="bottom"/>
            <w:shd w:val="clear" w:color="auto" w:fill="F6F3F0"/>
          </w:tcPr>
          <w:p>
            <w:pPr>
              <w:jc w:val="center"/>
              <w:ind w:right="37"/>
              <w:spacing w:after="0"/>
              <w:rPr>
                <w:sz w:val="20"/>
                <w:szCs w:val="20"/>
                <w:color w:val="auto"/>
              </w:rPr>
            </w:pPr>
            <w:r>
              <w:rPr>
                <w:rFonts w:ascii="Arial" w:cs="Arial" w:eastAsia="Arial" w:hAnsi="Arial"/>
                <w:sz w:val="13"/>
                <w:szCs w:val="13"/>
                <w:b w:val="1"/>
                <w:bCs w:val="1"/>
                <w:color w:val="0E1020"/>
                <w:w w:val="94"/>
              </w:rPr>
              <w:t>Company Boards</w:t>
            </w:r>
          </w:p>
        </w:tc>
        <w:tc>
          <w:tcPr>
            <w:tcW w:w="0" w:type="dxa"/>
            <w:vAlign w:val="bottom"/>
          </w:tcPr>
          <w:p>
            <w:pPr>
              <w:spacing w:after="0"/>
              <w:rPr>
                <w:sz w:val="1"/>
                <w:szCs w:val="1"/>
                <w:color w:val="auto"/>
              </w:rPr>
            </w:pPr>
          </w:p>
        </w:tc>
      </w:tr>
      <w:tr>
        <w:trPr>
          <w:trHeight w:val="75"/>
        </w:trPr>
        <w:tc>
          <w:tcPr>
            <w:tcW w:w="2000" w:type="dxa"/>
            <w:vAlign w:val="bottom"/>
            <w:tcBorders>
              <w:bottom w:val="single" w:sz="8" w:color="CFCFD2"/>
            </w:tcBorders>
            <w:shd w:val="clear" w:color="auto" w:fill="F6F3F0"/>
          </w:tcPr>
          <w:p>
            <w:pPr>
              <w:spacing w:after="0"/>
              <w:rPr>
                <w:sz w:val="6"/>
                <w:szCs w:val="6"/>
                <w:color w:val="auto"/>
              </w:rPr>
            </w:pPr>
          </w:p>
        </w:tc>
        <w:tc>
          <w:tcPr>
            <w:tcW w:w="640" w:type="dxa"/>
            <w:vAlign w:val="bottom"/>
            <w:tcBorders>
              <w:bottom w:val="single" w:sz="8" w:color="CFCFD2"/>
            </w:tcBorders>
            <w:shd w:val="clear" w:color="auto" w:fill="F6F3F0"/>
          </w:tcPr>
          <w:p>
            <w:pPr>
              <w:spacing w:after="0"/>
              <w:rPr>
                <w:sz w:val="6"/>
                <w:szCs w:val="6"/>
                <w:color w:val="auto"/>
              </w:rPr>
            </w:pPr>
          </w:p>
        </w:tc>
        <w:tc>
          <w:tcPr>
            <w:tcW w:w="1420" w:type="dxa"/>
            <w:vAlign w:val="bottom"/>
            <w:tcBorders>
              <w:bottom w:val="single" w:sz="8" w:color="CFCFD2"/>
            </w:tcBorders>
            <w:shd w:val="clear" w:color="auto" w:fill="F6F3F0"/>
          </w:tcPr>
          <w:p>
            <w:pPr>
              <w:spacing w:after="0"/>
              <w:rPr>
                <w:sz w:val="6"/>
                <w:szCs w:val="6"/>
                <w:color w:val="auto"/>
              </w:rPr>
            </w:pPr>
          </w:p>
        </w:tc>
        <w:tc>
          <w:tcPr>
            <w:tcW w:w="1220" w:type="dxa"/>
            <w:vAlign w:val="bottom"/>
            <w:tcBorders>
              <w:bottom w:val="single" w:sz="8" w:color="CFCFD2"/>
            </w:tcBorders>
            <w:shd w:val="clear" w:color="auto" w:fill="F6F3F0"/>
          </w:tcPr>
          <w:p>
            <w:pPr>
              <w:spacing w:after="0"/>
              <w:rPr>
                <w:sz w:val="6"/>
                <w:szCs w:val="6"/>
                <w:color w:val="auto"/>
              </w:rPr>
            </w:pPr>
          </w:p>
        </w:tc>
        <w:tc>
          <w:tcPr>
            <w:tcW w:w="4600" w:type="dxa"/>
            <w:vAlign w:val="bottom"/>
            <w:tcBorders>
              <w:bottom w:val="single" w:sz="8" w:color="CFCFD2"/>
            </w:tcBorders>
            <w:shd w:val="clear" w:color="auto" w:fill="F6F3F0"/>
          </w:tcPr>
          <w:p>
            <w:pPr>
              <w:spacing w:after="0"/>
              <w:rPr>
                <w:sz w:val="6"/>
                <w:szCs w:val="6"/>
                <w:color w:val="auto"/>
              </w:rPr>
            </w:pPr>
          </w:p>
        </w:tc>
        <w:tc>
          <w:tcPr>
            <w:tcW w:w="1360" w:type="dxa"/>
            <w:vAlign w:val="bottom"/>
            <w:tcBorders>
              <w:bottom w:val="single" w:sz="8" w:color="CFCFD2"/>
            </w:tcBorders>
            <w:shd w:val="clear" w:color="auto" w:fill="F6F3F0"/>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00" w:type="dxa"/>
            <w:vAlign w:val="bottom"/>
            <w:vMerge w:val="restart"/>
          </w:tcPr>
          <w:p>
            <w:pPr>
              <w:ind w:left="100"/>
              <w:spacing w:after="0"/>
              <w:rPr>
                <w:sz w:val="20"/>
                <w:szCs w:val="20"/>
                <w:color w:val="auto"/>
              </w:rPr>
            </w:pPr>
            <w:r>
              <w:rPr>
                <w:rFonts w:ascii="Arial" w:cs="Arial" w:eastAsia="Arial" w:hAnsi="Arial"/>
                <w:sz w:val="13"/>
                <w:szCs w:val="13"/>
                <w:b w:val="1"/>
                <w:bCs w:val="1"/>
                <w:color w:val="004AAC"/>
              </w:rPr>
              <w:t>David A. Barnes</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0E1020"/>
                <w:w w:val="82"/>
              </w:rPr>
              <w:t>70</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0E1020"/>
                <w:w w:val="96"/>
              </w:rPr>
              <w:t>2020</w:t>
            </w:r>
          </w:p>
        </w:tc>
        <w:tc>
          <w:tcPr>
            <w:tcW w:w="1220" w:type="dxa"/>
            <w:vAlign w:val="bottom"/>
          </w:tcPr>
          <w:p>
            <w:pPr>
              <w:spacing w:after="0"/>
              <w:rPr>
                <w:sz w:val="13"/>
                <w:szCs w:val="13"/>
                <w:color w:val="auto"/>
              </w:rPr>
            </w:pPr>
          </w:p>
        </w:tc>
        <w:tc>
          <w:tcPr>
            <w:tcW w:w="4600" w:type="dxa"/>
            <w:vAlign w:val="bottom"/>
          </w:tcPr>
          <w:p>
            <w:pPr>
              <w:ind w:left="200"/>
              <w:spacing w:after="0"/>
              <w:rPr>
                <w:sz w:val="20"/>
                <w:szCs w:val="20"/>
                <w:color w:val="auto"/>
              </w:rPr>
            </w:pPr>
            <w:r>
              <w:rPr>
                <w:rFonts w:ascii="Arial" w:cs="Arial" w:eastAsia="Arial" w:hAnsi="Arial"/>
                <w:sz w:val="13"/>
                <w:szCs w:val="13"/>
                <w:color w:val="0E1020"/>
              </w:rPr>
              <w:t>Former SVP and Chief Information and Global Business Services Officer of</w:t>
            </w:r>
          </w:p>
        </w:tc>
        <w:tc>
          <w:tcPr>
            <w:tcW w:w="1360" w:type="dxa"/>
            <w:vAlign w:val="bottom"/>
            <w:vMerge w:val="restart"/>
          </w:tcPr>
          <w:p>
            <w:pPr>
              <w:jc w:val="center"/>
              <w:ind w:right="37"/>
              <w:spacing w:after="0"/>
              <w:rPr>
                <w:sz w:val="20"/>
                <w:szCs w:val="20"/>
                <w:color w:val="auto"/>
              </w:rPr>
            </w:pPr>
            <w:r>
              <w:rPr>
                <w:rFonts w:ascii="Arial" w:cs="Arial" w:eastAsia="Arial" w:hAnsi="Arial"/>
                <w:sz w:val="13"/>
                <w:szCs w:val="13"/>
                <w:color w:val="0E1020"/>
              </w:rPr>
              <w:t>—</w:t>
            </w:r>
          </w:p>
        </w:tc>
        <w:tc>
          <w:tcPr>
            <w:tcW w:w="0" w:type="dxa"/>
            <w:vAlign w:val="bottom"/>
          </w:tcPr>
          <w:p>
            <w:pPr>
              <w:spacing w:after="0"/>
              <w:rPr>
                <w:sz w:val="1"/>
                <w:szCs w:val="1"/>
                <w:color w:val="auto"/>
              </w:rPr>
            </w:pPr>
          </w:p>
        </w:tc>
      </w:tr>
      <w:tr>
        <w:trPr>
          <w:trHeight w:val="91"/>
        </w:trPr>
        <w:tc>
          <w:tcPr>
            <w:tcW w:w="20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4600" w:type="dxa"/>
            <w:vAlign w:val="bottom"/>
            <w:vMerge w:val="restart"/>
          </w:tcPr>
          <w:p>
            <w:pPr>
              <w:ind w:left="200"/>
              <w:spacing w:after="0"/>
              <w:rPr>
                <w:sz w:val="20"/>
                <w:szCs w:val="20"/>
                <w:color w:val="auto"/>
              </w:rPr>
            </w:pPr>
            <w:r>
              <w:rPr>
                <w:rFonts w:ascii="Arial" w:cs="Arial" w:eastAsia="Arial" w:hAnsi="Arial"/>
                <w:sz w:val="13"/>
                <w:szCs w:val="13"/>
                <w:color w:val="0E1020"/>
              </w:rPr>
              <w:t>UPS</w:t>
            </w: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600" w:type="dxa"/>
            <w:vAlign w:val="bottom"/>
            <w:vMerge w:val="continue"/>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2000" w:type="dxa"/>
            <w:vAlign w:val="bottom"/>
            <w:tcBorders>
              <w:bottom w:val="single" w:sz="8" w:color="CFCFD2"/>
            </w:tcBorders>
          </w:tcPr>
          <w:p>
            <w:pPr>
              <w:spacing w:after="0"/>
              <w:rPr>
                <w:sz w:val="2"/>
                <w:szCs w:val="2"/>
                <w:color w:val="auto"/>
              </w:rPr>
            </w:pPr>
          </w:p>
        </w:tc>
        <w:tc>
          <w:tcPr>
            <w:tcW w:w="640" w:type="dxa"/>
            <w:vAlign w:val="bottom"/>
            <w:tcBorders>
              <w:bottom w:val="single" w:sz="8" w:color="CFCFD2"/>
            </w:tcBorders>
          </w:tcPr>
          <w:p>
            <w:pPr>
              <w:spacing w:after="0"/>
              <w:rPr>
                <w:sz w:val="2"/>
                <w:szCs w:val="2"/>
                <w:color w:val="auto"/>
              </w:rPr>
            </w:pPr>
          </w:p>
        </w:tc>
        <w:tc>
          <w:tcPr>
            <w:tcW w:w="1420" w:type="dxa"/>
            <w:vAlign w:val="bottom"/>
            <w:tcBorders>
              <w:bottom w:val="single" w:sz="8" w:color="CFCFD2"/>
            </w:tcBorders>
          </w:tcPr>
          <w:p>
            <w:pPr>
              <w:spacing w:after="0"/>
              <w:rPr>
                <w:sz w:val="2"/>
                <w:szCs w:val="2"/>
                <w:color w:val="auto"/>
              </w:rPr>
            </w:pPr>
          </w:p>
        </w:tc>
        <w:tc>
          <w:tcPr>
            <w:tcW w:w="1220" w:type="dxa"/>
            <w:vAlign w:val="bottom"/>
            <w:tcBorders>
              <w:bottom w:val="single" w:sz="8" w:color="CFCFD2"/>
            </w:tcBorders>
          </w:tcPr>
          <w:p>
            <w:pPr>
              <w:spacing w:after="0"/>
              <w:rPr>
                <w:sz w:val="2"/>
                <w:szCs w:val="2"/>
                <w:color w:val="auto"/>
              </w:rPr>
            </w:pPr>
          </w:p>
        </w:tc>
        <w:tc>
          <w:tcPr>
            <w:tcW w:w="4600" w:type="dxa"/>
            <w:vAlign w:val="bottom"/>
            <w:tcBorders>
              <w:bottom w:val="single" w:sz="8" w:color="CFCFD2"/>
            </w:tcBorders>
          </w:tcPr>
          <w:p>
            <w:pPr>
              <w:spacing w:after="0"/>
              <w:rPr>
                <w:sz w:val="2"/>
                <w:szCs w:val="2"/>
                <w:color w:val="auto"/>
              </w:rPr>
            </w:pPr>
          </w:p>
        </w:tc>
        <w:tc>
          <w:tcPr>
            <w:tcW w:w="136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000" w:type="dxa"/>
            <w:vAlign w:val="bottom"/>
          </w:tcPr>
          <w:p>
            <w:pPr>
              <w:ind w:left="100"/>
              <w:spacing w:after="0"/>
              <w:rPr>
                <w:sz w:val="20"/>
                <w:szCs w:val="20"/>
                <w:color w:val="auto"/>
              </w:rPr>
            </w:pPr>
            <w:r>
              <w:rPr>
                <w:rFonts w:ascii="Arial" w:cs="Arial" w:eastAsia="Arial" w:hAnsi="Arial"/>
                <w:sz w:val="13"/>
                <w:szCs w:val="13"/>
                <w:b w:val="1"/>
                <w:bCs w:val="1"/>
                <w:color w:val="004AAC"/>
              </w:rPr>
              <w:t>Raul J. Fernandez</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0E1020"/>
                <w:w w:val="82"/>
              </w:rPr>
              <w:t>59</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0E1020"/>
                <w:w w:val="96"/>
              </w:rPr>
              <w:t>2020</w:t>
            </w:r>
          </w:p>
        </w:tc>
        <w:tc>
          <w:tcPr>
            <w:tcW w:w="1220" w:type="dxa"/>
            <w:vAlign w:val="bottom"/>
          </w:tcPr>
          <w:p>
            <w:pPr>
              <w:spacing w:after="0"/>
              <w:rPr>
                <w:sz w:val="13"/>
                <w:szCs w:val="13"/>
                <w:color w:val="auto"/>
              </w:rPr>
            </w:pPr>
          </w:p>
        </w:tc>
        <w:tc>
          <w:tcPr>
            <w:tcW w:w="4600" w:type="dxa"/>
            <w:vAlign w:val="bottom"/>
            <w:vMerge w:val="restart"/>
          </w:tcPr>
          <w:p>
            <w:pPr>
              <w:ind w:left="200"/>
              <w:spacing w:after="0"/>
              <w:rPr>
                <w:sz w:val="20"/>
                <w:szCs w:val="20"/>
                <w:color w:val="auto"/>
              </w:rPr>
            </w:pPr>
            <w:r>
              <w:rPr>
                <w:rFonts w:ascii="Arial" w:cs="Arial" w:eastAsia="Arial" w:hAnsi="Arial"/>
                <w:sz w:val="13"/>
                <w:szCs w:val="13"/>
                <w:color w:val="0E1020"/>
              </w:rPr>
              <w:t>President and Chief Executive Officer of DXC Technology</w:t>
            </w:r>
          </w:p>
        </w:tc>
        <w:tc>
          <w:tcPr>
            <w:tcW w:w="1360" w:type="dxa"/>
            <w:vAlign w:val="bottom"/>
            <w:vMerge w:val="restart"/>
          </w:tcPr>
          <w:p>
            <w:pPr>
              <w:jc w:val="center"/>
              <w:ind w:right="37"/>
              <w:spacing w:after="0"/>
              <w:rPr>
                <w:sz w:val="20"/>
                <w:szCs w:val="20"/>
                <w:color w:val="auto"/>
              </w:rPr>
            </w:pPr>
            <w:r>
              <w:rPr>
                <w:rFonts w:ascii="Arial" w:cs="Arial" w:eastAsia="Arial" w:hAnsi="Arial"/>
                <w:sz w:val="13"/>
                <w:szCs w:val="13"/>
                <w:color w:val="0E1020"/>
              </w:rPr>
              <w:t>—</w:t>
            </w:r>
          </w:p>
        </w:tc>
        <w:tc>
          <w:tcPr>
            <w:tcW w:w="0" w:type="dxa"/>
            <w:vAlign w:val="bottom"/>
          </w:tcPr>
          <w:p>
            <w:pPr>
              <w:spacing w:after="0"/>
              <w:rPr>
                <w:sz w:val="1"/>
                <w:szCs w:val="1"/>
                <w:color w:val="auto"/>
              </w:rPr>
            </w:pPr>
          </w:p>
        </w:tc>
      </w:tr>
      <w:tr>
        <w:trPr>
          <w:trHeight w:val="85"/>
        </w:trPr>
        <w:tc>
          <w:tcPr>
            <w:tcW w:w="2000" w:type="dxa"/>
            <w:vAlign w:val="bottom"/>
            <w:vMerge w:val="restart"/>
          </w:tcPr>
          <w:p>
            <w:pPr>
              <w:ind w:left="100"/>
              <w:spacing w:after="0"/>
              <w:rPr>
                <w:sz w:val="20"/>
                <w:szCs w:val="20"/>
                <w:color w:val="auto"/>
              </w:rPr>
            </w:pPr>
            <w:r>
              <w:rPr>
                <w:rFonts w:ascii="Arial" w:cs="Arial" w:eastAsia="Arial" w:hAnsi="Arial"/>
                <w:sz w:val="13"/>
                <w:szCs w:val="13"/>
                <w:color w:val="0E1020"/>
              </w:rPr>
              <w:t>President and CEO</w:t>
            </w:r>
          </w:p>
        </w:tc>
        <w:tc>
          <w:tcPr>
            <w:tcW w:w="64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46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6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2000" w:type="dxa"/>
            <w:vAlign w:val="bottom"/>
            <w:tcBorders>
              <w:bottom w:val="single" w:sz="8" w:color="CFCFD2"/>
            </w:tcBorders>
          </w:tcPr>
          <w:p>
            <w:pPr>
              <w:spacing w:after="0"/>
              <w:rPr>
                <w:sz w:val="2"/>
                <w:szCs w:val="2"/>
                <w:color w:val="auto"/>
              </w:rPr>
            </w:pPr>
          </w:p>
        </w:tc>
        <w:tc>
          <w:tcPr>
            <w:tcW w:w="640" w:type="dxa"/>
            <w:vAlign w:val="bottom"/>
            <w:tcBorders>
              <w:bottom w:val="single" w:sz="8" w:color="CFCFD2"/>
            </w:tcBorders>
          </w:tcPr>
          <w:p>
            <w:pPr>
              <w:spacing w:after="0"/>
              <w:rPr>
                <w:sz w:val="2"/>
                <w:szCs w:val="2"/>
                <w:color w:val="auto"/>
              </w:rPr>
            </w:pPr>
          </w:p>
        </w:tc>
        <w:tc>
          <w:tcPr>
            <w:tcW w:w="1420" w:type="dxa"/>
            <w:vAlign w:val="bottom"/>
            <w:tcBorders>
              <w:bottom w:val="single" w:sz="8" w:color="CFCFD2"/>
            </w:tcBorders>
          </w:tcPr>
          <w:p>
            <w:pPr>
              <w:spacing w:after="0"/>
              <w:rPr>
                <w:sz w:val="2"/>
                <w:szCs w:val="2"/>
                <w:color w:val="auto"/>
              </w:rPr>
            </w:pPr>
          </w:p>
        </w:tc>
        <w:tc>
          <w:tcPr>
            <w:tcW w:w="1220" w:type="dxa"/>
            <w:vAlign w:val="bottom"/>
            <w:tcBorders>
              <w:bottom w:val="single" w:sz="8" w:color="CFCFD2"/>
            </w:tcBorders>
          </w:tcPr>
          <w:p>
            <w:pPr>
              <w:spacing w:after="0"/>
              <w:rPr>
                <w:sz w:val="2"/>
                <w:szCs w:val="2"/>
                <w:color w:val="auto"/>
              </w:rPr>
            </w:pPr>
          </w:p>
        </w:tc>
        <w:tc>
          <w:tcPr>
            <w:tcW w:w="4600" w:type="dxa"/>
            <w:vAlign w:val="bottom"/>
            <w:tcBorders>
              <w:bottom w:val="single" w:sz="8" w:color="CFCFD2"/>
            </w:tcBorders>
          </w:tcPr>
          <w:p>
            <w:pPr>
              <w:spacing w:after="0"/>
              <w:rPr>
                <w:sz w:val="2"/>
                <w:szCs w:val="2"/>
                <w:color w:val="auto"/>
              </w:rPr>
            </w:pPr>
          </w:p>
        </w:tc>
        <w:tc>
          <w:tcPr>
            <w:tcW w:w="136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000" w:type="dxa"/>
            <w:vAlign w:val="bottom"/>
            <w:vMerge w:val="restart"/>
          </w:tcPr>
          <w:p>
            <w:pPr>
              <w:ind w:left="100"/>
              <w:spacing w:after="0"/>
              <w:rPr>
                <w:sz w:val="20"/>
                <w:szCs w:val="20"/>
                <w:color w:val="auto"/>
              </w:rPr>
            </w:pPr>
            <w:r>
              <w:rPr>
                <w:rFonts w:ascii="Arial" w:cs="Arial" w:eastAsia="Arial" w:hAnsi="Arial"/>
                <w:sz w:val="13"/>
                <w:szCs w:val="13"/>
                <w:b w:val="1"/>
                <w:bCs w:val="1"/>
                <w:color w:val="004AAC"/>
              </w:rPr>
              <w:t>Anthony Gonzalez</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0E1020"/>
                <w:w w:val="82"/>
              </w:rPr>
              <w:t>41</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0E1020"/>
                <w:w w:val="96"/>
              </w:rPr>
              <w:t>2023</w:t>
            </w:r>
          </w:p>
        </w:tc>
        <w:tc>
          <w:tcPr>
            <w:tcW w:w="1220" w:type="dxa"/>
            <w:vAlign w:val="bottom"/>
          </w:tcPr>
          <w:p>
            <w:pPr>
              <w:spacing w:after="0"/>
              <w:rPr>
                <w:sz w:val="13"/>
                <w:szCs w:val="13"/>
                <w:color w:val="auto"/>
              </w:rPr>
            </w:pPr>
          </w:p>
        </w:tc>
        <w:tc>
          <w:tcPr>
            <w:tcW w:w="4600" w:type="dxa"/>
            <w:vAlign w:val="bottom"/>
          </w:tcPr>
          <w:p>
            <w:pPr>
              <w:ind w:left="200"/>
              <w:spacing w:after="0"/>
              <w:rPr>
                <w:sz w:val="20"/>
                <w:szCs w:val="20"/>
                <w:color w:val="auto"/>
              </w:rPr>
            </w:pPr>
            <w:r>
              <w:rPr>
                <w:rFonts w:ascii="Arial" w:cs="Arial" w:eastAsia="Arial" w:hAnsi="Arial"/>
                <w:sz w:val="13"/>
                <w:szCs w:val="13"/>
                <w:color w:val="0E1020"/>
              </w:rPr>
              <w:t>Former U.S. Congressman in the United States House of Representatives</w:t>
            </w:r>
          </w:p>
        </w:tc>
        <w:tc>
          <w:tcPr>
            <w:tcW w:w="1360" w:type="dxa"/>
            <w:vAlign w:val="bottom"/>
            <w:vMerge w:val="restart"/>
          </w:tcPr>
          <w:p>
            <w:pPr>
              <w:jc w:val="center"/>
              <w:ind w:right="37"/>
              <w:spacing w:after="0"/>
              <w:rPr>
                <w:sz w:val="20"/>
                <w:szCs w:val="20"/>
                <w:color w:val="auto"/>
              </w:rPr>
            </w:pPr>
            <w:r>
              <w:rPr>
                <w:rFonts w:ascii="Arial" w:cs="Arial" w:eastAsia="Arial" w:hAnsi="Arial"/>
                <w:sz w:val="13"/>
                <w:szCs w:val="13"/>
                <w:color w:val="0E1020"/>
              </w:rPr>
              <w:t>—</w:t>
            </w:r>
          </w:p>
        </w:tc>
        <w:tc>
          <w:tcPr>
            <w:tcW w:w="0" w:type="dxa"/>
            <w:vAlign w:val="bottom"/>
          </w:tcPr>
          <w:p>
            <w:pPr>
              <w:spacing w:after="0"/>
              <w:rPr>
                <w:sz w:val="1"/>
                <w:szCs w:val="1"/>
                <w:color w:val="auto"/>
              </w:rPr>
            </w:pPr>
          </w:p>
        </w:tc>
      </w:tr>
      <w:tr>
        <w:trPr>
          <w:trHeight w:val="91"/>
        </w:trPr>
        <w:tc>
          <w:tcPr>
            <w:tcW w:w="20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4600" w:type="dxa"/>
            <w:vAlign w:val="bottom"/>
            <w:vMerge w:val="restart"/>
          </w:tcPr>
          <w:p>
            <w:pPr>
              <w:ind w:left="200"/>
              <w:spacing w:after="0"/>
              <w:rPr>
                <w:sz w:val="20"/>
                <w:szCs w:val="20"/>
                <w:color w:val="auto"/>
              </w:rPr>
            </w:pPr>
            <w:r>
              <w:rPr>
                <w:rFonts w:ascii="Arial" w:cs="Arial" w:eastAsia="Arial" w:hAnsi="Arial"/>
                <w:sz w:val="13"/>
                <w:szCs w:val="13"/>
                <w:color w:val="0E1020"/>
              </w:rPr>
              <w:t>and current co-CEO of Cobalt Service Partners</w:t>
            </w: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600" w:type="dxa"/>
            <w:vAlign w:val="bottom"/>
            <w:vMerge w:val="continue"/>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2000" w:type="dxa"/>
            <w:vAlign w:val="bottom"/>
            <w:tcBorders>
              <w:bottom w:val="single" w:sz="8" w:color="CFCFD2"/>
            </w:tcBorders>
          </w:tcPr>
          <w:p>
            <w:pPr>
              <w:spacing w:after="0"/>
              <w:rPr>
                <w:sz w:val="2"/>
                <w:szCs w:val="2"/>
                <w:color w:val="auto"/>
              </w:rPr>
            </w:pPr>
          </w:p>
        </w:tc>
        <w:tc>
          <w:tcPr>
            <w:tcW w:w="640" w:type="dxa"/>
            <w:vAlign w:val="bottom"/>
            <w:tcBorders>
              <w:bottom w:val="single" w:sz="8" w:color="CFCFD2"/>
            </w:tcBorders>
          </w:tcPr>
          <w:p>
            <w:pPr>
              <w:spacing w:after="0"/>
              <w:rPr>
                <w:sz w:val="2"/>
                <w:szCs w:val="2"/>
                <w:color w:val="auto"/>
              </w:rPr>
            </w:pPr>
          </w:p>
        </w:tc>
        <w:tc>
          <w:tcPr>
            <w:tcW w:w="1420" w:type="dxa"/>
            <w:vAlign w:val="bottom"/>
            <w:tcBorders>
              <w:bottom w:val="single" w:sz="8" w:color="CFCFD2"/>
            </w:tcBorders>
          </w:tcPr>
          <w:p>
            <w:pPr>
              <w:spacing w:after="0"/>
              <w:rPr>
                <w:sz w:val="2"/>
                <w:szCs w:val="2"/>
                <w:color w:val="auto"/>
              </w:rPr>
            </w:pPr>
          </w:p>
        </w:tc>
        <w:tc>
          <w:tcPr>
            <w:tcW w:w="1220" w:type="dxa"/>
            <w:vAlign w:val="bottom"/>
            <w:tcBorders>
              <w:bottom w:val="single" w:sz="8" w:color="CFCFD2"/>
            </w:tcBorders>
          </w:tcPr>
          <w:p>
            <w:pPr>
              <w:spacing w:after="0"/>
              <w:rPr>
                <w:sz w:val="2"/>
                <w:szCs w:val="2"/>
                <w:color w:val="auto"/>
              </w:rPr>
            </w:pPr>
          </w:p>
        </w:tc>
        <w:tc>
          <w:tcPr>
            <w:tcW w:w="4600" w:type="dxa"/>
            <w:vAlign w:val="bottom"/>
            <w:tcBorders>
              <w:bottom w:val="single" w:sz="8" w:color="CFCFD2"/>
            </w:tcBorders>
          </w:tcPr>
          <w:p>
            <w:pPr>
              <w:spacing w:after="0"/>
              <w:rPr>
                <w:sz w:val="2"/>
                <w:szCs w:val="2"/>
                <w:color w:val="auto"/>
              </w:rPr>
            </w:pPr>
          </w:p>
        </w:tc>
        <w:tc>
          <w:tcPr>
            <w:tcW w:w="136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000" w:type="dxa"/>
            <w:vAlign w:val="bottom"/>
          </w:tcPr>
          <w:p>
            <w:pPr>
              <w:ind w:left="100"/>
              <w:spacing w:after="0"/>
              <w:rPr>
                <w:sz w:val="20"/>
                <w:szCs w:val="20"/>
                <w:color w:val="auto"/>
              </w:rPr>
            </w:pPr>
            <w:r>
              <w:rPr>
                <w:rFonts w:ascii="Arial" w:cs="Arial" w:eastAsia="Arial" w:hAnsi="Arial"/>
                <w:sz w:val="13"/>
                <w:szCs w:val="13"/>
                <w:b w:val="1"/>
                <w:bCs w:val="1"/>
                <w:color w:val="004AAC"/>
              </w:rPr>
              <w:t>David L. Herzog</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0E1020"/>
                <w:w w:val="82"/>
              </w:rPr>
              <w:t>66</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0E1020"/>
                <w:w w:val="96"/>
              </w:rPr>
              <w:t>2017</w:t>
            </w:r>
          </w:p>
        </w:tc>
        <w:tc>
          <w:tcPr>
            <w:tcW w:w="1220" w:type="dxa"/>
            <w:vAlign w:val="bottom"/>
          </w:tcPr>
          <w:p>
            <w:pPr>
              <w:spacing w:after="0"/>
              <w:rPr>
                <w:sz w:val="13"/>
                <w:szCs w:val="13"/>
                <w:color w:val="auto"/>
              </w:rPr>
            </w:pPr>
          </w:p>
        </w:tc>
        <w:tc>
          <w:tcPr>
            <w:tcW w:w="4600" w:type="dxa"/>
            <w:vAlign w:val="bottom"/>
          </w:tcPr>
          <w:p>
            <w:pPr>
              <w:ind w:left="200"/>
              <w:spacing w:after="0"/>
              <w:rPr>
                <w:sz w:val="20"/>
                <w:szCs w:val="20"/>
                <w:color w:val="auto"/>
              </w:rPr>
            </w:pPr>
            <w:r>
              <w:rPr>
                <w:rFonts w:ascii="Arial" w:cs="Arial" w:eastAsia="Arial" w:hAnsi="Arial"/>
                <w:sz w:val="13"/>
                <w:szCs w:val="13"/>
                <w:color w:val="0E1020"/>
              </w:rPr>
              <w:t>Former CFO and EVP of AIG and current chairman of the board of Aegon</w:t>
            </w:r>
          </w:p>
        </w:tc>
        <w:tc>
          <w:tcPr>
            <w:tcW w:w="1360" w:type="dxa"/>
            <w:vAlign w:val="bottom"/>
            <w:vMerge w:val="restart"/>
          </w:tcPr>
          <w:p>
            <w:pPr>
              <w:jc w:val="center"/>
              <w:ind w:right="37"/>
              <w:spacing w:after="0"/>
              <w:rPr>
                <w:sz w:val="20"/>
                <w:szCs w:val="20"/>
                <w:color w:val="auto"/>
              </w:rPr>
            </w:pPr>
            <w:r>
              <w:rPr>
                <w:rFonts w:ascii="Arial" w:cs="Arial" w:eastAsia="Arial" w:hAnsi="Arial"/>
                <w:sz w:val="13"/>
                <w:szCs w:val="13"/>
                <w:color w:val="0E1020"/>
                <w:w w:val="82"/>
              </w:rPr>
              <w:t>1</w:t>
            </w:r>
          </w:p>
        </w:tc>
        <w:tc>
          <w:tcPr>
            <w:tcW w:w="0" w:type="dxa"/>
            <w:vAlign w:val="bottom"/>
          </w:tcPr>
          <w:p>
            <w:pPr>
              <w:spacing w:after="0"/>
              <w:rPr>
                <w:sz w:val="1"/>
                <w:szCs w:val="1"/>
                <w:color w:val="auto"/>
              </w:rPr>
            </w:pPr>
          </w:p>
        </w:tc>
      </w:tr>
      <w:tr>
        <w:trPr>
          <w:trHeight w:val="85"/>
        </w:trPr>
        <w:tc>
          <w:tcPr>
            <w:tcW w:w="2000" w:type="dxa"/>
            <w:vAlign w:val="bottom"/>
            <w:vMerge w:val="restart"/>
          </w:tcPr>
          <w:p>
            <w:pPr>
              <w:ind w:left="100"/>
              <w:spacing w:after="0"/>
              <w:rPr>
                <w:sz w:val="20"/>
                <w:szCs w:val="20"/>
                <w:color w:val="auto"/>
              </w:rPr>
            </w:pPr>
            <w:r>
              <w:rPr>
                <w:rFonts w:ascii="Arial" w:cs="Arial" w:eastAsia="Arial" w:hAnsi="Arial"/>
                <w:sz w:val="13"/>
                <w:szCs w:val="13"/>
                <w:color w:val="0E1020"/>
              </w:rPr>
              <w:t>Chairman of the Board</w:t>
            </w:r>
          </w:p>
        </w:tc>
        <w:tc>
          <w:tcPr>
            <w:tcW w:w="64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4600" w:type="dxa"/>
            <w:vAlign w:val="bottom"/>
            <w:vMerge w:val="restart"/>
          </w:tcPr>
          <w:p>
            <w:pPr>
              <w:ind w:left="200"/>
              <w:spacing w:after="0"/>
              <w:rPr>
                <w:sz w:val="20"/>
                <w:szCs w:val="20"/>
                <w:color w:val="auto"/>
              </w:rPr>
            </w:pPr>
            <w:r>
              <w:rPr>
                <w:rFonts w:ascii="Arial" w:cs="Arial" w:eastAsia="Arial" w:hAnsi="Arial"/>
                <w:sz w:val="13"/>
                <w:szCs w:val="13"/>
                <w:color w:val="0E1020"/>
              </w:rPr>
              <w:t>Ltd</w:t>
            </w: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600" w:type="dxa"/>
            <w:vAlign w:val="bottom"/>
            <w:vMerge w:val="continue"/>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2000" w:type="dxa"/>
            <w:vAlign w:val="bottom"/>
            <w:tcBorders>
              <w:bottom w:val="single" w:sz="8" w:color="CFCFD2"/>
            </w:tcBorders>
          </w:tcPr>
          <w:p>
            <w:pPr>
              <w:spacing w:after="0"/>
              <w:rPr>
                <w:sz w:val="2"/>
                <w:szCs w:val="2"/>
                <w:color w:val="auto"/>
              </w:rPr>
            </w:pPr>
          </w:p>
        </w:tc>
        <w:tc>
          <w:tcPr>
            <w:tcW w:w="640" w:type="dxa"/>
            <w:vAlign w:val="bottom"/>
            <w:tcBorders>
              <w:bottom w:val="single" w:sz="8" w:color="CFCFD2"/>
            </w:tcBorders>
          </w:tcPr>
          <w:p>
            <w:pPr>
              <w:spacing w:after="0"/>
              <w:rPr>
                <w:sz w:val="2"/>
                <w:szCs w:val="2"/>
                <w:color w:val="auto"/>
              </w:rPr>
            </w:pPr>
          </w:p>
        </w:tc>
        <w:tc>
          <w:tcPr>
            <w:tcW w:w="1420" w:type="dxa"/>
            <w:vAlign w:val="bottom"/>
            <w:tcBorders>
              <w:bottom w:val="single" w:sz="8" w:color="CFCFD2"/>
            </w:tcBorders>
          </w:tcPr>
          <w:p>
            <w:pPr>
              <w:spacing w:after="0"/>
              <w:rPr>
                <w:sz w:val="2"/>
                <w:szCs w:val="2"/>
                <w:color w:val="auto"/>
              </w:rPr>
            </w:pPr>
          </w:p>
        </w:tc>
        <w:tc>
          <w:tcPr>
            <w:tcW w:w="1220" w:type="dxa"/>
            <w:vAlign w:val="bottom"/>
            <w:tcBorders>
              <w:bottom w:val="single" w:sz="8" w:color="CFCFD2"/>
            </w:tcBorders>
          </w:tcPr>
          <w:p>
            <w:pPr>
              <w:spacing w:after="0"/>
              <w:rPr>
                <w:sz w:val="2"/>
                <w:szCs w:val="2"/>
                <w:color w:val="auto"/>
              </w:rPr>
            </w:pPr>
          </w:p>
        </w:tc>
        <w:tc>
          <w:tcPr>
            <w:tcW w:w="4600" w:type="dxa"/>
            <w:vAlign w:val="bottom"/>
            <w:tcBorders>
              <w:bottom w:val="single" w:sz="8" w:color="CFCFD2"/>
            </w:tcBorders>
          </w:tcPr>
          <w:p>
            <w:pPr>
              <w:spacing w:after="0"/>
              <w:rPr>
                <w:sz w:val="2"/>
                <w:szCs w:val="2"/>
                <w:color w:val="auto"/>
              </w:rPr>
            </w:pPr>
          </w:p>
        </w:tc>
        <w:tc>
          <w:tcPr>
            <w:tcW w:w="136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000" w:type="dxa"/>
            <w:vAlign w:val="bottom"/>
            <w:vMerge w:val="restart"/>
          </w:tcPr>
          <w:p>
            <w:pPr>
              <w:ind w:left="100"/>
              <w:spacing w:after="0"/>
              <w:rPr>
                <w:sz w:val="20"/>
                <w:szCs w:val="20"/>
                <w:color w:val="auto"/>
              </w:rPr>
            </w:pPr>
            <w:r>
              <w:rPr>
                <w:rFonts w:ascii="Arial" w:cs="Arial" w:eastAsia="Arial" w:hAnsi="Arial"/>
                <w:sz w:val="13"/>
                <w:szCs w:val="13"/>
                <w:b w:val="1"/>
                <w:bCs w:val="1"/>
                <w:color w:val="004AAC"/>
              </w:rPr>
              <w:t>Pinkie D. Mayfield</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0E1020"/>
                <w:w w:val="82"/>
              </w:rPr>
              <w:t>58</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0E1020"/>
                <w:w w:val="96"/>
              </w:rPr>
              <w:t>2023</w:t>
            </w:r>
          </w:p>
        </w:tc>
        <w:tc>
          <w:tcPr>
            <w:tcW w:w="1220" w:type="dxa"/>
            <w:vAlign w:val="bottom"/>
          </w:tcPr>
          <w:p>
            <w:pPr>
              <w:spacing w:after="0"/>
              <w:rPr>
                <w:sz w:val="13"/>
                <w:szCs w:val="13"/>
                <w:color w:val="auto"/>
              </w:rPr>
            </w:pPr>
          </w:p>
        </w:tc>
        <w:tc>
          <w:tcPr>
            <w:tcW w:w="4600" w:type="dxa"/>
            <w:vAlign w:val="bottom"/>
          </w:tcPr>
          <w:p>
            <w:pPr>
              <w:ind w:left="200"/>
              <w:spacing w:after="0"/>
              <w:rPr>
                <w:sz w:val="20"/>
                <w:szCs w:val="20"/>
                <w:color w:val="auto"/>
              </w:rPr>
            </w:pPr>
            <w:r>
              <w:rPr>
                <w:rFonts w:ascii="Arial" w:cs="Arial" w:eastAsia="Arial" w:hAnsi="Arial"/>
                <w:sz w:val="13"/>
                <w:szCs w:val="13"/>
                <w:color w:val="0E1020"/>
              </w:rPr>
              <w:t>Former Chief Communications Officer and Vice President of Corporate</w:t>
            </w:r>
          </w:p>
        </w:tc>
        <w:tc>
          <w:tcPr>
            <w:tcW w:w="1360" w:type="dxa"/>
            <w:vAlign w:val="bottom"/>
            <w:vMerge w:val="restart"/>
          </w:tcPr>
          <w:p>
            <w:pPr>
              <w:jc w:val="center"/>
              <w:ind w:right="37"/>
              <w:spacing w:after="0"/>
              <w:rPr>
                <w:sz w:val="20"/>
                <w:szCs w:val="20"/>
                <w:color w:val="auto"/>
              </w:rPr>
            </w:pPr>
            <w:r>
              <w:rPr>
                <w:rFonts w:ascii="Arial" w:cs="Arial" w:eastAsia="Arial" w:hAnsi="Arial"/>
                <w:sz w:val="13"/>
                <w:szCs w:val="13"/>
                <w:color w:val="0E1020"/>
              </w:rPr>
              <w:t>—</w:t>
            </w:r>
          </w:p>
        </w:tc>
        <w:tc>
          <w:tcPr>
            <w:tcW w:w="0" w:type="dxa"/>
            <w:vAlign w:val="bottom"/>
          </w:tcPr>
          <w:p>
            <w:pPr>
              <w:spacing w:after="0"/>
              <w:rPr>
                <w:sz w:val="1"/>
                <w:szCs w:val="1"/>
                <w:color w:val="auto"/>
              </w:rPr>
            </w:pPr>
          </w:p>
        </w:tc>
      </w:tr>
      <w:tr>
        <w:trPr>
          <w:trHeight w:val="91"/>
        </w:trPr>
        <w:tc>
          <w:tcPr>
            <w:tcW w:w="20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4600" w:type="dxa"/>
            <w:vAlign w:val="bottom"/>
            <w:vMerge w:val="restart"/>
          </w:tcPr>
          <w:p>
            <w:pPr>
              <w:ind w:left="200"/>
              <w:spacing w:after="0"/>
              <w:rPr>
                <w:sz w:val="20"/>
                <w:szCs w:val="20"/>
                <w:color w:val="auto"/>
              </w:rPr>
            </w:pPr>
            <w:r>
              <w:rPr>
                <w:rFonts w:ascii="Arial" w:cs="Arial" w:eastAsia="Arial" w:hAnsi="Arial"/>
                <w:sz w:val="13"/>
                <w:szCs w:val="13"/>
                <w:color w:val="0E1020"/>
              </w:rPr>
              <w:t>Affairs of Graham Holdings Company</w:t>
            </w: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600" w:type="dxa"/>
            <w:vAlign w:val="bottom"/>
            <w:vMerge w:val="continue"/>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2000" w:type="dxa"/>
            <w:vAlign w:val="bottom"/>
            <w:tcBorders>
              <w:bottom w:val="single" w:sz="8" w:color="CFCFD2"/>
            </w:tcBorders>
          </w:tcPr>
          <w:p>
            <w:pPr>
              <w:spacing w:after="0"/>
              <w:rPr>
                <w:sz w:val="2"/>
                <w:szCs w:val="2"/>
                <w:color w:val="auto"/>
              </w:rPr>
            </w:pPr>
          </w:p>
        </w:tc>
        <w:tc>
          <w:tcPr>
            <w:tcW w:w="640" w:type="dxa"/>
            <w:vAlign w:val="bottom"/>
            <w:tcBorders>
              <w:bottom w:val="single" w:sz="8" w:color="CFCFD2"/>
            </w:tcBorders>
          </w:tcPr>
          <w:p>
            <w:pPr>
              <w:spacing w:after="0"/>
              <w:rPr>
                <w:sz w:val="2"/>
                <w:szCs w:val="2"/>
                <w:color w:val="auto"/>
              </w:rPr>
            </w:pPr>
          </w:p>
        </w:tc>
        <w:tc>
          <w:tcPr>
            <w:tcW w:w="1420" w:type="dxa"/>
            <w:vAlign w:val="bottom"/>
            <w:tcBorders>
              <w:bottom w:val="single" w:sz="8" w:color="CFCFD2"/>
            </w:tcBorders>
          </w:tcPr>
          <w:p>
            <w:pPr>
              <w:spacing w:after="0"/>
              <w:rPr>
                <w:sz w:val="2"/>
                <w:szCs w:val="2"/>
                <w:color w:val="auto"/>
              </w:rPr>
            </w:pPr>
          </w:p>
        </w:tc>
        <w:tc>
          <w:tcPr>
            <w:tcW w:w="1220" w:type="dxa"/>
            <w:vAlign w:val="bottom"/>
            <w:tcBorders>
              <w:bottom w:val="single" w:sz="8" w:color="CFCFD2"/>
            </w:tcBorders>
          </w:tcPr>
          <w:p>
            <w:pPr>
              <w:spacing w:after="0"/>
              <w:rPr>
                <w:sz w:val="2"/>
                <w:szCs w:val="2"/>
                <w:color w:val="auto"/>
              </w:rPr>
            </w:pPr>
          </w:p>
        </w:tc>
        <w:tc>
          <w:tcPr>
            <w:tcW w:w="4600" w:type="dxa"/>
            <w:vAlign w:val="bottom"/>
            <w:tcBorders>
              <w:bottom w:val="single" w:sz="8" w:color="CFCFD2"/>
            </w:tcBorders>
          </w:tcPr>
          <w:p>
            <w:pPr>
              <w:spacing w:after="0"/>
              <w:rPr>
                <w:sz w:val="2"/>
                <w:szCs w:val="2"/>
                <w:color w:val="auto"/>
              </w:rPr>
            </w:pPr>
          </w:p>
        </w:tc>
        <w:tc>
          <w:tcPr>
            <w:tcW w:w="136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000" w:type="dxa"/>
            <w:vAlign w:val="bottom"/>
            <w:vMerge w:val="restart"/>
          </w:tcPr>
          <w:p>
            <w:pPr>
              <w:ind w:left="100"/>
              <w:spacing w:after="0"/>
              <w:rPr>
                <w:sz w:val="20"/>
                <w:szCs w:val="20"/>
                <w:color w:val="auto"/>
              </w:rPr>
            </w:pPr>
            <w:r>
              <w:rPr>
                <w:rFonts w:ascii="Arial" w:cs="Arial" w:eastAsia="Arial" w:hAnsi="Arial"/>
                <w:sz w:val="13"/>
                <w:szCs w:val="13"/>
                <w:b w:val="1"/>
                <w:bCs w:val="1"/>
                <w:color w:val="004AAC"/>
              </w:rPr>
              <w:t>Dawn Rogers</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0E1020"/>
                <w:w w:val="82"/>
              </w:rPr>
              <w:t>61</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0E1020"/>
                <w:w w:val="96"/>
              </w:rPr>
              <w:t>2021</w:t>
            </w:r>
          </w:p>
        </w:tc>
        <w:tc>
          <w:tcPr>
            <w:tcW w:w="1220" w:type="dxa"/>
            <w:vAlign w:val="bottom"/>
          </w:tcPr>
          <w:p>
            <w:pPr>
              <w:spacing w:after="0"/>
              <w:rPr>
                <w:sz w:val="13"/>
                <w:szCs w:val="13"/>
                <w:color w:val="auto"/>
              </w:rPr>
            </w:pPr>
          </w:p>
        </w:tc>
        <w:tc>
          <w:tcPr>
            <w:tcW w:w="4600" w:type="dxa"/>
            <w:vAlign w:val="bottom"/>
          </w:tcPr>
          <w:p>
            <w:pPr>
              <w:ind w:left="200"/>
              <w:spacing w:after="0"/>
              <w:rPr>
                <w:sz w:val="20"/>
                <w:szCs w:val="20"/>
                <w:color w:val="auto"/>
              </w:rPr>
            </w:pPr>
            <w:r>
              <w:rPr>
                <w:rFonts w:ascii="Arial" w:cs="Arial" w:eastAsia="Arial" w:hAnsi="Arial"/>
                <w:sz w:val="13"/>
                <w:szCs w:val="13"/>
                <w:color w:val="0E1020"/>
              </w:rPr>
              <w:t>Director of Human Capital at American Securities LLC and former EVP and</w:t>
            </w:r>
          </w:p>
        </w:tc>
        <w:tc>
          <w:tcPr>
            <w:tcW w:w="1360" w:type="dxa"/>
            <w:vAlign w:val="bottom"/>
            <w:vMerge w:val="restart"/>
          </w:tcPr>
          <w:p>
            <w:pPr>
              <w:jc w:val="center"/>
              <w:ind w:right="37"/>
              <w:spacing w:after="0"/>
              <w:rPr>
                <w:sz w:val="20"/>
                <w:szCs w:val="20"/>
                <w:color w:val="auto"/>
              </w:rPr>
            </w:pPr>
            <w:r>
              <w:rPr>
                <w:rFonts w:ascii="Arial" w:cs="Arial" w:eastAsia="Arial" w:hAnsi="Arial"/>
                <w:sz w:val="13"/>
                <w:szCs w:val="13"/>
                <w:color w:val="0E1020"/>
              </w:rPr>
              <w:t>—</w:t>
            </w:r>
          </w:p>
        </w:tc>
        <w:tc>
          <w:tcPr>
            <w:tcW w:w="0" w:type="dxa"/>
            <w:vAlign w:val="bottom"/>
          </w:tcPr>
          <w:p>
            <w:pPr>
              <w:spacing w:after="0"/>
              <w:rPr>
                <w:sz w:val="1"/>
                <w:szCs w:val="1"/>
                <w:color w:val="auto"/>
              </w:rPr>
            </w:pPr>
          </w:p>
        </w:tc>
      </w:tr>
      <w:tr>
        <w:trPr>
          <w:trHeight w:val="91"/>
        </w:trPr>
        <w:tc>
          <w:tcPr>
            <w:tcW w:w="20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4600" w:type="dxa"/>
            <w:vAlign w:val="bottom"/>
            <w:vMerge w:val="restart"/>
          </w:tcPr>
          <w:p>
            <w:pPr>
              <w:ind w:left="200"/>
              <w:spacing w:after="0"/>
              <w:rPr>
                <w:sz w:val="20"/>
                <w:szCs w:val="20"/>
                <w:color w:val="auto"/>
              </w:rPr>
            </w:pPr>
            <w:r>
              <w:rPr>
                <w:rFonts w:ascii="Arial" w:cs="Arial" w:eastAsia="Arial" w:hAnsi="Arial"/>
                <w:sz w:val="13"/>
                <w:szCs w:val="13"/>
                <w:color w:val="0E1020"/>
              </w:rPr>
              <w:t>Chief Human Resources Officer at Pfizer</w:t>
            </w: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600" w:type="dxa"/>
            <w:vAlign w:val="bottom"/>
            <w:vMerge w:val="continue"/>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2000" w:type="dxa"/>
            <w:vAlign w:val="bottom"/>
            <w:tcBorders>
              <w:bottom w:val="single" w:sz="8" w:color="CFCFD2"/>
            </w:tcBorders>
          </w:tcPr>
          <w:p>
            <w:pPr>
              <w:spacing w:after="0"/>
              <w:rPr>
                <w:sz w:val="2"/>
                <w:szCs w:val="2"/>
                <w:color w:val="auto"/>
              </w:rPr>
            </w:pPr>
          </w:p>
        </w:tc>
        <w:tc>
          <w:tcPr>
            <w:tcW w:w="640" w:type="dxa"/>
            <w:vAlign w:val="bottom"/>
            <w:tcBorders>
              <w:bottom w:val="single" w:sz="8" w:color="CFCFD2"/>
            </w:tcBorders>
          </w:tcPr>
          <w:p>
            <w:pPr>
              <w:spacing w:after="0"/>
              <w:rPr>
                <w:sz w:val="2"/>
                <w:szCs w:val="2"/>
                <w:color w:val="auto"/>
              </w:rPr>
            </w:pPr>
          </w:p>
        </w:tc>
        <w:tc>
          <w:tcPr>
            <w:tcW w:w="1420" w:type="dxa"/>
            <w:vAlign w:val="bottom"/>
            <w:tcBorders>
              <w:bottom w:val="single" w:sz="8" w:color="CFCFD2"/>
            </w:tcBorders>
          </w:tcPr>
          <w:p>
            <w:pPr>
              <w:spacing w:after="0"/>
              <w:rPr>
                <w:sz w:val="2"/>
                <w:szCs w:val="2"/>
                <w:color w:val="auto"/>
              </w:rPr>
            </w:pPr>
          </w:p>
        </w:tc>
        <w:tc>
          <w:tcPr>
            <w:tcW w:w="1220" w:type="dxa"/>
            <w:vAlign w:val="bottom"/>
            <w:tcBorders>
              <w:bottom w:val="single" w:sz="8" w:color="CFCFD2"/>
            </w:tcBorders>
          </w:tcPr>
          <w:p>
            <w:pPr>
              <w:spacing w:after="0"/>
              <w:rPr>
                <w:sz w:val="2"/>
                <w:szCs w:val="2"/>
                <w:color w:val="auto"/>
              </w:rPr>
            </w:pPr>
          </w:p>
        </w:tc>
        <w:tc>
          <w:tcPr>
            <w:tcW w:w="4600" w:type="dxa"/>
            <w:vAlign w:val="bottom"/>
            <w:tcBorders>
              <w:bottom w:val="single" w:sz="8" w:color="CFCFD2"/>
            </w:tcBorders>
          </w:tcPr>
          <w:p>
            <w:pPr>
              <w:spacing w:after="0"/>
              <w:rPr>
                <w:sz w:val="2"/>
                <w:szCs w:val="2"/>
                <w:color w:val="auto"/>
              </w:rPr>
            </w:pPr>
          </w:p>
        </w:tc>
        <w:tc>
          <w:tcPr>
            <w:tcW w:w="136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000" w:type="dxa"/>
            <w:vAlign w:val="bottom"/>
            <w:vMerge w:val="restart"/>
          </w:tcPr>
          <w:p>
            <w:pPr>
              <w:ind w:left="100"/>
              <w:spacing w:after="0"/>
              <w:rPr>
                <w:sz w:val="20"/>
                <w:szCs w:val="20"/>
                <w:color w:val="auto"/>
              </w:rPr>
            </w:pPr>
            <w:r>
              <w:rPr>
                <w:rFonts w:ascii="Arial" w:cs="Arial" w:eastAsia="Arial" w:hAnsi="Arial"/>
                <w:sz w:val="13"/>
                <w:szCs w:val="13"/>
                <w:b w:val="1"/>
                <w:bCs w:val="1"/>
                <w:color w:val="004AAC"/>
              </w:rPr>
              <w:t>Carrie W. Teffner</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0E1020"/>
                <w:w w:val="82"/>
              </w:rPr>
              <w:t>59</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0E1020"/>
                <w:w w:val="96"/>
              </w:rPr>
              <w:t>2022</w:t>
            </w:r>
          </w:p>
        </w:tc>
        <w:tc>
          <w:tcPr>
            <w:tcW w:w="1220" w:type="dxa"/>
            <w:vAlign w:val="bottom"/>
          </w:tcPr>
          <w:p>
            <w:pPr>
              <w:spacing w:after="0"/>
              <w:rPr>
                <w:sz w:val="13"/>
                <w:szCs w:val="13"/>
                <w:color w:val="auto"/>
              </w:rPr>
            </w:pPr>
          </w:p>
        </w:tc>
        <w:tc>
          <w:tcPr>
            <w:tcW w:w="4600" w:type="dxa"/>
            <w:vAlign w:val="bottom"/>
          </w:tcPr>
          <w:p>
            <w:pPr>
              <w:ind w:left="200"/>
              <w:spacing w:after="0"/>
              <w:rPr>
                <w:sz w:val="20"/>
                <w:szCs w:val="20"/>
                <w:color w:val="auto"/>
              </w:rPr>
            </w:pPr>
            <w:r>
              <w:rPr>
                <w:rFonts w:ascii="Arial" w:cs="Arial" w:eastAsia="Arial" w:hAnsi="Arial"/>
                <w:sz w:val="13"/>
                <w:szCs w:val="13"/>
                <w:color w:val="0E1020"/>
                <w:w w:val="99"/>
              </w:rPr>
              <w:t>Former Interim Executive Chair of the Board of the Ascena Retail Group and</w:t>
            </w:r>
          </w:p>
        </w:tc>
        <w:tc>
          <w:tcPr>
            <w:tcW w:w="1360" w:type="dxa"/>
            <w:vAlign w:val="bottom"/>
            <w:vMerge w:val="restart"/>
          </w:tcPr>
          <w:p>
            <w:pPr>
              <w:jc w:val="center"/>
              <w:ind w:right="37"/>
              <w:spacing w:after="0"/>
              <w:rPr>
                <w:sz w:val="20"/>
                <w:szCs w:val="20"/>
                <w:color w:val="auto"/>
              </w:rPr>
            </w:pPr>
            <w:r>
              <w:rPr>
                <w:rFonts w:ascii="Arial" w:cs="Arial" w:eastAsia="Arial" w:hAnsi="Arial"/>
                <w:sz w:val="13"/>
                <w:szCs w:val="13"/>
                <w:color w:val="0E1020"/>
                <w:w w:val="82"/>
              </w:rPr>
              <w:t>1</w:t>
            </w:r>
          </w:p>
        </w:tc>
        <w:tc>
          <w:tcPr>
            <w:tcW w:w="0" w:type="dxa"/>
            <w:vAlign w:val="bottom"/>
          </w:tcPr>
          <w:p>
            <w:pPr>
              <w:spacing w:after="0"/>
              <w:rPr>
                <w:sz w:val="1"/>
                <w:szCs w:val="1"/>
                <w:color w:val="auto"/>
              </w:rPr>
            </w:pPr>
          </w:p>
        </w:tc>
      </w:tr>
      <w:tr>
        <w:trPr>
          <w:trHeight w:val="91"/>
        </w:trPr>
        <w:tc>
          <w:tcPr>
            <w:tcW w:w="20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4600" w:type="dxa"/>
            <w:vAlign w:val="bottom"/>
            <w:vMerge w:val="restart"/>
          </w:tcPr>
          <w:p>
            <w:pPr>
              <w:ind w:left="200"/>
              <w:spacing w:after="0"/>
              <w:rPr>
                <w:sz w:val="20"/>
                <w:szCs w:val="20"/>
                <w:color w:val="auto"/>
              </w:rPr>
            </w:pPr>
            <w:r>
              <w:rPr>
                <w:rFonts w:ascii="Arial" w:cs="Arial" w:eastAsia="Arial" w:hAnsi="Arial"/>
                <w:sz w:val="13"/>
                <w:szCs w:val="13"/>
                <w:color w:val="0E1020"/>
              </w:rPr>
              <w:t>former CFO of Crocs and current member of Amer Sports board</w:t>
            </w: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600" w:type="dxa"/>
            <w:vAlign w:val="bottom"/>
            <w:vMerge w:val="continue"/>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2000" w:type="dxa"/>
            <w:vAlign w:val="bottom"/>
            <w:tcBorders>
              <w:bottom w:val="single" w:sz="8" w:color="CFCFD2"/>
            </w:tcBorders>
          </w:tcPr>
          <w:p>
            <w:pPr>
              <w:spacing w:after="0"/>
              <w:rPr>
                <w:sz w:val="2"/>
                <w:szCs w:val="2"/>
                <w:color w:val="auto"/>
              </w:rPr>
            </w:pPr>
          </w:p>
        </w:tc>
        <w:tc>
          <w:tcPr>
            <w:tcW w:w="640" w:type="dxa"/>
            <w:vAlign w:val="bottom"/>
            <w:tcBorders>
              <w:bottom w:val="single" w:sz="8" w:color="CFCFD2"/>
            </w:tcBorders>
          </w:tcPr>
          <w:p>
            <w:pPr>
              <w:spacing w:after="0"/>
              <w:rPr>
                <w:sz w:val="2"/>
                <w:szCs w:val="2"/>
                <w:color w:val="auto"/>
              </w:rPr>
            </w:pPr>
          </w:p>
        </w:tc>
        <w:tc>
          <w:tcPr>
            <w:tcW w:w="1420" w:type="dxa"/>
            <w:vAlign w:val="bottom"/>
            <w:tcBorders>
              <w:bottom w:val="single" w:sz="8" w:color="CFCFD2"/>
            </w:tcBorders>
          </w:tcPr>
          <w:p>
            <w:pPr>
              <w:spacing w:after="0"/>
              <w:rPr>
                <w:sz w:val="2"/>
                <w:szCs w:val="2"/>
                <w:color w:val="auto"/>
              </w:rPr>
            </w:pPr>
          </w:p>
        </w:tc>
        <w:tc>
          <w:tcPr>
            <w:tcW w:w="1220" w:type="dxa"/>
            <w:vAlign w:val="bottom"/>
            <w:tcBorders>
              <w:bottom w:val="single" w:sz="8" w:color="CFCFD2"/>
            </w:tcBorders>
          </w:tcPr>
          <w:p>
            <w:pPr>
              <w:spacing w:after="0"/>
              <w:rPr>
                <w:sz w:val="2"/>
                <w:szCs w:val="2"/>
                <w:color w:val="auto"/>
              </w:rPr>
            </w:pPr>
          </w:p>
        </w:tc>
        <w:tc>
          <w:tcPr>
            <w:tcW w:w="4600" w:type="dxa"/>
            <w:vAlign w:val="bottom"/>
            <w:tcBorders>
              <w:bottom w:val="single" w:sz="8" w:color="CFCFD2"/>
            </w:tcBorders>
          </w:tcPr>
          <w:p>
            <w:pPr>
              <w:spacing w:after="0"/>
              <w:rPr>
                <w:sz w:val="2"/>
                <w:szCs w:val="2"/>
                <w:color w:val="auto"/>
              </w:rPr>
            </w:pPr>
          </w:p>
        </w:tc>
        <w:tc>
          <w:tcPr>
            <w:tcW w:w="136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00"/>
              <w:spacing w:after="0"/>
              <w:rPr>
                <w:sz w:val="20"/>
                <w:szCs w:val="20"/>
                <w:color w:val="auto"/>
              </w:rPr>
            </w:pPr>
            <w:r>
              <w:rPr>
                <w:rFonts w:ascii="Arial" w:cs="Arial" w:eastAsia="Arial" w:hAnsi="Arial"/>
                <w:sz w:val="13"/>
                <w:szCs w:val="13"/>
                <w:b w:val="1"/>
                <w:bCs w:val="1"/>
                <w:color w:val="004AAC"/>
              </w:rPr>
              <w:t>Akihiko Washington</w:t>
            </w:r>
          </w:p>
        </w:tc>
        <w:tc>
          <w:tcPr>
            <w:tcW w:w="640" w:type="dxa"/>
            <w:vAlign w:val="bottom"/>
          </w:tcPr>
          <w:p>
            <w:pPr>
              <w:jc w:val="center"/>
              <w:spacing w:after="0"/>
              <w:rPr>
                <w:sz w:val="20"/>
                <w:szCs w:val="20"/>
                <w:color w:val="auto"/>
              </w:rPr>
            </w:pPr>
            <w:r>
              <w:rPr>
                <w:rFonts w:ascii="Arial" w:cs="Arial" w:eastAsia="Arial" w:hAnsi="Arial"/>
                <w:sz w:val="13"/>
                <w:szCs w:val="13"/>
                <w:color w:val="0E1020"/>
                <w:w w:val="82"/>
              </w:rPr>
              <w:t>67</w:t>
            </w:r>
          </w:p>
        </w:tc>
        <w:tc>
          <w:tcPr>
            <w:tcW w:w="1420" w:type="dxa"/>
            <w:vAlign w:val="bottom"/>
          </w:tcPr>
          <w:p>
            <w:pPr>
              <w:jc w:val="center"/>
              <w:spacing w:after="0"/>
              <w:rPr>
                <w:sz w:val="20"/>
                <w:szCs w:val="20"/>
                <w:color w:val="auto"/>
              </w:rPr>
            </w:pPr>
            <w:r>
              <w:rPr>
                <w:rFonts w:ascii="Arial" w:cs="Arial" w:eastAsia="Arial" w:hAnsi="Arial"/>
                <w:sz w:val="13"/>
                <w:szCs w:val="13"/>
                <w:color w:val="0E1020"/>
                <w:w w:val="96"/>
              </w:rPr>
              <w:t>2021</w:t>
            </w:r>
          </w:p>
        </w:tc>
        <w:tc>
          <w:tcPr>
            <w:tcW w:w="12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3"/>
                <w:szCs w:val="13"/>
                <w:color w:val="0E1020"/>
                <w:w w:val="98"/>
              </w:rPr>
              <w:t>Former EVP of Worldwide Human Resources for Warner Bros. Entertainment</w:t>
            </w:r>
          </w:p>
        </w:tc>
        <w:tc>
          <w:tcPr>
            <w:tcW w:w="1360" w:type="dxa"/>
            <w:vAlign w:val="bottom"/>
          </w:tcPr>
          <w:p>
            <w:pPr>
              <w:jc w:val="center"/>
              <w:ind w:right="37"/>
              <w:spacing w:after="0"/>
              <w:rPr>
                <w:sz w:val="20"/>
                <w:szCs w:val="20"/>
                <w:color w:val="auto"/>
              </w:rPr>
            </w:pPr>
            <w:r>
              <w:rPr>
                <w:rFonts w:ascii="Arial" w:cs="Arial" w:eastAsia="Arial" w:hAnsi="Arial"/>
                <w:sz w:val="13"/>
                <w:szCs w:val="13"/>
                <w:color w:val="0E1020"/>
              </w:rPr>
              <w:t>—</w:t>
            </w:r>
          </w:p>
        </w:tc>
        <w:tc>
          <w:tcPr>
            <w:tcW w:w="0" w:type="dxa"/>
            <w:vAlign w:val="bottom"/>
          </w:tcPr>
          <w:p>
            <w:pPr>
              <w:spacing w:after="0"/>
              <w:rPr>
                <w:sz w:val="1"/>
                <w:szCs w:val="1"/>
                <w:color w:val="auto"/>
              </w:rPr>
            </w:pPr>
          </w:p>
        </w:tc>
      </w:tr>
      <w:tr>
        <w:trPr>
          <w:trHeight w:val="88"/>
        </w:trPr>
        <w:tc>
          <w:tcPr>
            <w:tcW w:w="2000" w:type="dxa"/>
            <w:vAlign w:val="bottom"/>
            <w:tcBorders>
              <w:bottom w:val="single" w:sz="8" w:color="CFCFD2"/>
            </w:tcBorders>
          </w:tcPr>
          <w:p>
            <w:pPr>
              <w:spacing w:after="0"/>
              <w:rPr>
                <w:sz w:val="7"/>
                <w:szCs w:val="7"/>
                <w:color w:val="auto"/>
              </w:rPr>
            </w:pPr>
          </w:p>
        </w:tc>
        <w:tc>
          <w:tcPr>
            <w:tcW w:w="640" w:type="dxa"/>
            <w:vAlign w:val="bottom"/>
            <w:tcBorders>
              <w:bottom w:val="single" w:sz="8" w:color="CFCFD2"/>
            </w:tcBorders>
          </w:tcPr>
          <w:p>
            <w:pPr>
              <w:spacing w:after="0"/>
              <w:rPr>
                <w:sz w:val="7"/>
                <w:szCs w:val="7"/>
                <w:color w:val="auto"/>
              </w:rPr>
            </w:pPr>
          </w:p>
        </w:tc>
        <w:tc>
          <w:tcPr>
            <w:tcW w:w="1420" w:type="dxa"/>
            <w:vAlign w:val="bottom"/>
            <w:tcBorders>
              <w:bottom w:val="single" w:sz="8" w:color="CFCFD2"/>
            </w:tcBorders>
          </w:tcPr>
          <w:p>
            <w:pPr>
              <w:spacing w:after="0"/>
              <w:rPr>
                <w:sz w:val="7"/>
                <w:szCs w:val="7"/>
                <w:color w:val="auto"/>
              </w:rPr>
            </w:pPr>
          </w:p>
        </w:tc>
        <w:tc>
          <w:tcPr>
            <w:tcW w:w="1220" w:type="dxa"/>
            <w:vAlign w:val="bottom"/>
            <w:tcBorders>
              <w:bottom w:val="single" w:sz="8" w:color="CFCFD2"/>
            </w:tcBorders>
          </w:tcPr>
          <w:p>
            <w:pPr>
              <w:spacing w:after="0"/>
              <w:rPr>
                <w:sz w:val="7"/>
                <w:szCs w:val="7"/>
                <w:color w:val="auto"/>
              </w:rPr>
            </w:pPr>
          </w:p>
        </w:tc>
        <w:tc>
          <w:tcPr>
            <w:tcW w:w="4600" w:type="dxa"/>
            <w:vAlign w:val="bottom"/>
            <w:tcBorders>
              <w:bottom w:val="single" w:sz="8" w:color="CFCFD2"/>
            </w:tcBorders>
          </w:tcPr>
          <w:p>
            <w:pPr>
              <w:spacing w:after="0"/>
              <w:rPr>
                <w:sz w:val="7"/>
                <w:szCs w:val="7"/>
                <w:color w:val="auto"/>
              </w:rPr>
            </w:pPr>
          </w:p>
        </w:tc>
        <w:tc>
          <w:tcPr>
            <w:tcW w:w="1360" w:type="dxa"/>
            <w:vAlign w:val="bottom"/>
            <w:tcBorders>
              <w:bottom w:val="single" w:sz="8" w:color="CFCFD2"/>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00"/>
              <w:spacing w:after="0"/>
              <w:rPr>
                <w:sz w:val="20"/>
                <w:szCs w:val="20"/>
                <w:color w:val="auto"/>
              </w:rPr>
            </w:pPr>
            <w:r>
              <w:rPr>
                <w:rFonts w:ascii="Arial" w:cs="Arial" w:eastAsia="Arial" w:hAnsi="Arial"/>
                <w:sz w:val="13"/>
                <w:szCs w:val="13"/>
                <w:b w:val="1"/>
                <w:bCs w:val="1"/>
                <w:color w:val="004AAC"/>
              </w:rPr>
              <w:t>Robert F. Woods</w:t>
            </w:r>
          </w:p>
        </w:tc>
        <w:tc>
          <w:tcPr>
            <w:tcW w:w="640" w:type="dxa"/>
            <w:vAlign w:val="bottom"/>
          </w:tcPr>
          <w:p>
            <w:pPr>
              <w:jc w:val="center"/>
              <w:spacing w:after="0"/>
              <w:rPr>
                <w:sz w:val="20"/>
                <w:szCs w:val="20"/>
                <w:color w:val="auto"/>
              </w:rPr>
            </w:pPr>
            <w:r>
              <w:rPr>
                <w:rFonts w:ascii="Arial" w:cs="Arial" w:eastAsia="Arial" w:hAnsi="Arial"/>
                <w:sz w:val="13"/>
                <w:szCs w:val="13"/>
                <w:color w:val="0E1020"/>
                <w:w w:val="82"/>
              </w:rPr>
              <w:t>71</w:t>
            </w:r>
          </w:p>
        </w:tc>
        <w:tc>
          <w:tcPr>
            <w:tcW w:w="1420" w:type="dxa"/>
            <w:vAlign w:val="bottom"/>
          </w:tcPr>
          <w:p>
            <w:pPr>
              <w:jc w:val="center"/>
              <w:spacing w:after="0"/>
              <w:rPr>
                <w:sz w:val="20"/>
                <w:szCs w:val="20"/>
                <w:color w:val="auto"/>
              </w:rPr>
            </w:pPr>
            <w:r>
              <w:rPr>
                <w:rFonts w:ascii="Arial" w:cs="Arial" w:eastAsia="Arial" w:hAnsi="Arial"/>
                <w:sz w:val="13"/>
                <w:szCs w:val="13"/>
                <w:color w:val="0E1020"/>
                <w:w w:val="96"/>
              </w:rPr>
              <w:t>2017</w:t>
            </w:r>
          </w:p>
        </w:tc>
        <w:tc>
          <w:tcPr>
            <w:tcW w:w="12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3"/>
                <w:szCs w:val="13"/>
                <w:color w:val="0E1020"/>
              </w:rPr>
              <w:t>Former SVP of Finance and CFO at SunGard Data Systems Inc.</w:t>
            </w:r>
          </w:p>
        </w:tc>
        <w:tc>
          <w:tcPr>
            <w:tcW w:w="1360" w:type="dxa"/>
            <w:vAlign w:val="bottom"/>
          </w:tcPr>
          <w:p>
            <w:pPr>
              <w:jc w:val="center"/>
              <w:ind w:right="37"/>
              <w:spacing w:after="0"/>
              <w:rPr>
                <w:sz w:val="20"/>
                <w:szCs w:val="20"/>
                <w:color w:val="auto"/>
              </w:rPr>
            </w:pPr>
            <w:r>
              <w:rPr>
                <w:rFonts w:ascii="Arial" w:cs="Arial" w:eastAsia="Arial" w:hAnsi="Arial"/>
                <w:sz w:val="13"/>
                <w:szCs w:val="13"/>
                <w:color w:val="0E1020"/>
              </w:rPr>
              <w:t>—</w:t>
            </w:r>
          </w:p>
        </w:tc>
        <w:tc>
          <w:tcPr>
            <w:tcW w:w="0" w:type="dxa"/>
            <w:vAlign w:val="bottom"/>
          </w:tcPr>
          <w:p>
            <w:pPr>
              <w:spacing w:after="0"/>
              <w:rPr>
                <w:sz w:val="1"/>
                <w:szCs w:val="1"/>
                <w:color w:val="auto"/>
              </w:rPr>
            </w:pPr>
          </w:p>
        </w:tc>
      </w:tr>
      <w:tr>
        <w:trPr>
          <w:trHeight w:val="88"/>
        </w:trPr>
        <w:tc>
          <w:tcPr>
            <w:tcW w:w="2000" w:type="dxa"/>
            <w:vAlign w:val="bottom"/>
            <w:tcBorders>
              <w:bottom w:val="single" w:sz="8" w:color="CFCFD2"/>
            </w:tcBorders>
          </w:tcPr>
          <w:p>
            <w:pPr>
              <w:spacing w:after="0"/>
              <w:rPr>
                <w:sz w:val="7"/>
                <w:szCs w:val="7"/>
                <w:color w:val="auto"/>
              </w:rPr>
            </w:pPr>
          </w:p>
        </w:tc>
        <w:tc>
          <w:tcPr>
            <w:tcW w:w="640" w:type="dxa"/>
            <w:vAlign w:val="bottom"/>
            <w:tcBorders>
              <w:bottom w:val="single" w:sz="8" w:color="CFCFD2"/>
            </w:tcBorders>
          </w:tcPr>
          <w:p>
            <w:pPr>
              <w:spacing w:after="0"/>
              <w:rPr>
                <w:sz w:val="7"/>
                <w:szCs w:val="7"/>
                <w:color w:val="auto"/>
              </w:rPr>
            </w:pPr>
          </w:p>
        </w:tc>
        <w:tc>
          <w:tcPr>
            <w:tcW w:w="1420" w:type="dxa"/>
            <w:vAlign w:val="bottom"/>
            <w:tcBorders>
              <w:bottom w:val="single" w:sz="8" w:color="CFCFD2"/>
            </w:tcBorders>
          </w:tcPr>
          <w:p>
            <w:pPr>
              <w:spacing w:after="0"/>
              <w:rPr>
                <w:sz w:val="7"/>
                <w:szCs w:val="7"/>
                <w:color w:val="auto"/>
              </w:rPr>
            </w:pPr>
          </w:p>
        </w:tc>
        <w:tc>
          <w:tcPr>
            <w:tcW w:w="1220" w:type="dxa"/>
            <w:vAlign w:val="bottom"/>
            <w:tcBorders>
              <w:bottom w:val="single" w:sz="8" w:color="CFCFD2"/>
            </w:tcBorders>
          </w:tcPr>
          <w:p>
            <w:pPr>
              <w:spacing w:after="0"/>
              <w:rPr>
                <w:sz w:val="7"/>
                <w:szCs w:val="7"/>
                <w:color w:val="auto"/>
              </w:rPr>
            </w:pPr>
          </w:p>
        </w:tc>
        <w:tc>
          <w:tcPr>
            <w:tcW w:w="4600" w:type="dxa"/>
            <w:vAlign w:val="bottom"/>
            <w:tcBorders>
              <w:bottom w:val="single" w:sz="8" w:color="CFCFD2"/>
            </w:tcBorders>
          </w:tcPr>
          <w:p>
            <w:pPr>
              <w:spacing w:after="0"/>
              <w:rPr>
                <w:sz w:val="7"/>
                <w:szCs w:val="7"/>
                <w:color w:val="auto"/>
              </w:rPr>
            </w:pPr>
          </w:p>
        </w:tc>
        <w:tc>
          <w:tcPr>
            <w:tcW w:w="1360" w:type="dxa"/>
            <w:vAlign w:val="bottom"/>
            <w:tcBorders>
              <w:bottom w:val="single" w:sz="8" w:color="CFCFD2"/>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-2025015</wp:posOffset>
            </wp:positionV>
            <wp:extent cx="119380" cy="1447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-1565910</wp:posOffset>
            </wp:positionV>
            <wp:extent cx="119380" cy="1447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-1336040</wp:posOffset>
            </wp:positionV>
            <wp:extent cx="119380" cy="1447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-1106170</wp:posOffset>
            </wp:positionV>
            <wp:extent cx="119380" cy="1447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-876300</wp:posOffset>
            </wp:positionV>
            <wp:extent cx="119380" cy="1447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-646430</wp:posOffset>
            </wp:positionV>
            <wp:extent cx="119380" cy="1447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-424815</wp:posOffset>
            </wp:positionV>
            <wp:extent cx="119380" cy="1447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-212090</wp:posOffset>
            </wp:positionV>
            <wp:extent cx="119380" cy="1447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9380" cy="144780"/>
                    </a:xfrm>
                    <a:prstGeom prst="rect">
                      <a:avLst/>
                    </a:prstGeom>
                    <a:noFill/>
                  </pic:spPr>
                </pic:pic>
              </a:graphicData>
            </a:graphic>
          </wp:anchor>
        </w:drawing>
      </w:r>
    </w:p>
    <w:p>
      <w:pPr>
        <w:spacing w:after="0" w:line="145" w:lineRule="exact"/>
        <w:rPr>
          <w:sz w:val="20"/>
          <w:szCs w:val="20"/>
          <w:color w:val="auto"/>
        </w:rPr>
      </w:pPr>
    </w:p>
    <w:p>
      <w:pPr>
        <w:ind w:left="460" w:hanging="292"/>
        <w:spacing w:after="0"/>
        <w:tabs>
          <w:tab w:leader="none" w:pos="460" w:val="left"/>
        </w:tabs>
        <w:numPr>
          <w:ilvl w:val="0"/>
          <w:numId w:val="4"/>
        </w:numPr>
        <w:rPr>
          <w:rFonts w:ascii="Arial" w:cs="Arial" w:eastAsia="Arial" w:hAnsi="Arial"/>
          <w:sz w:val="14"/>
          <w:szCs w:val="14"/>
          <w:color w:val="0E1020"/>
        </w:rPr>
      </w:pPr>
      <w:r>
        <w:rPr>
          <w:rFonts w:ascii="Arial" w:cs="Arial" w:eastAsia="Arial" w:hAnsi="Arial"/>
          <w:sz w:val="14"/>
          <w:szCs w:val="14"/>
          <w:color w:val="0E1020"/>
        </w:rPr>
        <w:t>As of June 4, 2026</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tabs>
          <w:tab w:leader="none" w:pos="556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2</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ind w:left="20"/>
        <w:spacing w:after="0"/>
        <w:tabs>
          <w:tab w:leader="none" w:pos="1018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0E1020"/>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542290</wp:posOffset>
            </wp:positionV>
            <wp:extent cx="7133590" cy="6216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3590" cy="62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b w:val="1"/>
          <w:bCs w:val="1"/>
          <w:color w:val="0E1020"/>
        </w:rPr>
        <w:t>PROPOSAL 2</w:t>
      </w:r>
    </w:p>
    <w:p>
      <w:pPr>
        <w:spacing w:after="0" w:line="36" w:lineRule="exact"/>
        <w:rPr>
          <w:sz w:val="20"/>
          <w:szCs w:val="20"/>
          <w:color w:val="auto"/>
        </w:rPr>
      </w:pPr>
    </w:p>
    <w:p>
      <w:pPr>
        <w:ind w:left="1460" w:right="580"/>
        <w:spacing w:after="0" w:line="281" w:lineRule="auto"/>
        <w:rPr>
          <w:sz w:val="20"/>
          <w:szCs w:val="20"/>
          <w:color w:val="auto"/>
        </w:rPr>
      </w:pPr>
      <w:r>
        <w:rPr>
          <w:rFonts w:ascii="Arial" w:cs="Arial" w:eastAsia="Arial" w:hAnsi="Arial"/>
          <w:sz w:val="14"/>
          <w:szCs w:val="14"/>
          <w:color w:val="0E1020"/>
        </w:rPr>
        <w:t>Ratification of the appointment of Deloitte &amp; Touche LLP as our independent registered public accounting firm for the fiscal year ending March 31, 2027</w:t>
      </w:r>
    </w:p>
    <w:p>
      <w:pPr>
        <w:spacing w:after="0" w:line="200" w:lineRule="exact"/>
        <w:rPr>
          <w:sz w:val="20"/>
          <w:szCs w:val="20"/>
          <w:color w:val="auto"/>
        </w:rPr>
      </w:pPr>
    </w:p>
    <w:p>
      <w:pPr>
        <w:spacing w:after="0" w:line="222"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0E1020"/>
        </w:rPr>
        <w:t>We are asking stockholders to consider and to vote upon the ratification of the appointment of Deloitte &amp; Touche LLP as DXC’s independent registered public accounting firm for the fiscal year ending March 31, 2027. The members of the Audit Committee (the Audit Committee) of the board of directors of DXC (the Board) and the Board believe that the continued retention of Deloitte &amp; Touche LLP to serve as DXC’s independent registered public accounting firm is in the best interests of DXC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166370</wp:posOffset>
            </wp:positionV>
            <wp:extent cx="7133590" cy="5873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3590" cy="58737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b w:val="1"/>
          <w:bCs w:val="1"/>
          <w:color w:val="0E1020"/>
        </w:rPr>
        <w:t>PROPOSAL 3</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4"/>
          <w:szCs w:val="14"/>
          <w:color w:val="0E1020"/>
        </w:rPr>
        <w:t>Approval, in a non-binding advisory vote, of our named executive officer compensation</w:t>
      </w:r>
    </w:p>
    <w:p>
      <w:pPr>
        <w:spacing w:after="0" w:line="200" w:lineRule="exact"/>
        <w:rPr>
          <w:sz w:val="20"/>
          <w:szCs w:val="20"/>
          <w:color w:val="auto"/>
        </w:rPr>
      </w:pPr>
    </w:p>
    <w:p>
      <w:pPr>
        <w:spacing w:after="0" w:line="33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0E1020"/>
        </w:rPr>
        <w:t>We are asking stockholders to approve, on a non-binding, advisory basis, the compensation of our named executive officers for the fiscal year ended March 31, 2026 (fiscal 2026), as disclosed in this Proxy Statement. In evaluating this proposal, we recommend that you review the information presented under "Compensation Discussion and Analysis (CD&amp;A)" in this Proxy Statement. As discussed in the CD&amp;A, we are strongly committed to tying executive compensation to business performance and, throughout our evolution, our executive compensation program has been grounded in a pay-for-performance philosophy aimed at achieving strong alignment between the Company's financial and strategic goals and our stockholders'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167640</wp:posOffset>
            </wp:positionV>
            <wp:extent cx="7133590" cy="6216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3590" cy="62166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b w:val="1"/>
          <w:bCs w:val="1"/>
          <w:color w:val="0E1020"/>
        </w:rPr>
        <w:t>PROPOSAL 4</w:t>
      </w:r>
    </w:p>
    <w:p>
      <w:pPr>
        <w:spacing w:after="0" w:line="36" w:lineRule="exact"/>
        <w:rPr>
          <w:sz w:val="20"/>
          <w:szCs w:val="20"/>
          <w:color w:val="auto"/>
        </w:rPr>
      </w:pPr>
    </w:p>
    <w:p>
      <w:pPr>
        <w:ind w:left="1460" w:right="680"/>
        <w:spacing w:after="0" w:line="281" w:lineRule="auto"/>
        <w:rPr>
          <w:sz w:val="20"/>
          <w:szCs w:val="20"/>
          <w:color w:val="auto"/>
        </w:rPr>
      </w:pPr>
      <w:r>
        <w:rPr>
          <w:rFonts w:ascii="Arial" w:cs="Arial" w:eastAsia="Arial" w:hAnsi="Arial"/>
          <w:sz w:val="14"/>
          <w:szCs w:val="14"/>
          <w:color w:val="0E1020"/>
        </w:rPr>
        <w:t>Approval of Term Extension and an Increase in the Number of Shares Available under Amended and Restated DXC Technology Company 2017 Omnibus Incentive Plan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0E1020"/>
        </w:rPr>
        <w:t>We are requesting that stockholders approve amendments to the Amended and Restated DXC Technology Company 2017 Omnibus Incentive Plan (2017</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0E1020"/>
        </w:rPr>
        <w:t>OIP), which include:</w:t>
      </w:r>
    </w:p>
    <w:p>
      <w:pPr>
        <w:spacing w:after="0" w:line="124" w:lineRule="exact"/>
        <w:rPr>
          <w:sz w:val="20"/>
          <w:szCs w:val="20"/>
          <w:color w:val="auto"/>
        </w:rPr>
      </w:pPr>
    </w:p>
    <w:p>
      <w:pPr>
        <w:ind w:left="300" w:hanging="293"/>
        <w:spacing w:after="0"/>
        <w:tabs>
          <w:tab w:leader="none" w:pos="300" w:val="left"/>
        </w:tabs>
        <w:numPr>
          <w:ilvl w:val="0"/>
          <w:numId w:val="5"/>
        </w:numPr>
        <w:rPr>
          <w:rFonts w:ascii="Arial" w:cs="Arial" w:eastAsia="Arial" w:hAnsi="Arial"/>
          <w:sz w:val="16"/>
          <w:szCs w:val="16"/>
          <w:color w:val="0E1020"/>
        </w:rPr>
      </w:pPr>
      <w:r>
        <w:rPr>
          <w:rFonts w:ascii="Arial" w:cs="Arial" w:eastAsia="Arial" w:hAnsi="Arial"/>
          <w:sz w:val="16"/>
          <w:szCs w:val="16"/>
          <w:color w:val="0E1020"/>
        </w:rPr>
        <w:t>An extension of the term of the 2017 OIP from March 30, 2027 to March 30, 2037;</w:t>
      </w:r>
    </w:p>
    <w:p>
      <w:pPr>
        <w:spacing w:after="0" w:line="137" w:lineRule="exact"/>
        <w:rPr>
          <w:rFonts w:ascii="Arial" w:cs="Arial" w:eastAsia="Arial" w:hAnsi="Arial"/>
          <w:sz w:val="16"/>
          <w:szCs w:val="16"/>
          <w:color w:val="0E1020"/>
        </w:rPr>
      </w:pPr>
    </w:p>
    <w:p>
      <w:pPr>
        <w:ind w:left="300" w:hanging="293"/>
        <w:spacing w:after="0"/>
        <w:tabs>
          <w:tab w:leader="none" w:pos="300" w:val="left"/>
        </w:tabs>
        <w:numPr>
          <w:ilvl w:val="0"/>
          <w:numId w:val="5"/>
        </w:numPr>
        <w:rPr>
          <w:rFonts w:ascii="Arial" w:cs="Arial" w:eastAsia="Arial" w:hAnsi="Arial"/>
          <w:sz w:val="16"/>
          <w:szCs w:val="16"/>
          <w:color w:val="0E1020"/>
        </w:rPr>
      </w:pPr>
      <w:r>
        <w:rPr>
          <w:rFonts w:ascii="Arial" w:cs="Arial" w:eastAsia="Arial" w:hAnsi="Arial"/>
          <w:sz w:val="16"/>
          <w:szCs w:val="16"/>
          <w:color w:val="0E1020"/>
        </w:rPr>
        <w:t>An increase of 20 million shares of common stock available for issuance under the 2017 OIP, bringing the maximum share limit to 71,200,000 shares.</w:t>
      </w:r>
    </w:p>
    <w:p>
      <w:pPr>
        <w:spacing w:after="0" w:line="218" w:lineRule="exact"/>
        <w:rPr>
          <w:sz w:val="20"/>
          <w:szCs w:val="20"/>
          <w:color w:val="auto"/>
        </w:rPr>
      </w:pPr>
    </w:p>
    <w:p>
      <w:pPr>
        <w:ind w:right="260"/>
        <w:spacing w:after="0" w:line="335" w:lineRule="auto"/>
        <w:rPr>
          <w:sz w:val="20"/>
          <w:szCs w:val="20"/>
          <w:color w:val="auto"/>
        </w:rPr>
      </w:pPr>
      <w:r>
        <w:rPr>
          <w:rFonts w:ascii="Arial" w:cs="Arial" w:eastAsia="Arial" w:hAnsi="Arial"/>
          <w:sz w:val="16"/>
          <w:szCs w:val="16"/>
          <w:color w:val="0E1020"/>
        </w:rPr>
        <w:t>If approved, we expect the additional shares would allow us to maintain our regular equity compensation program without interruption through DXC's fiscal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7133590" cy="6216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3590" cy="621665"/>
                    </a:xfrm>
                    <a:prstGeom prst="rect">
                      <a:avLst/>
                    </a:prstGeom>
                    <a:noFill/>
                  </pic:spPr>
                </pic:pic>
              </a:graphicData>
            </a:graphic>
          </wp:anchor>
        </w:drawing>
      </w:r>
    </w:p>
    <w:p>
      <w:pPr>
        <w:spacing w:after="0" w:line="38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b w:val="1"/>
          <w:bCs w:val="1"/>
          <w:color w:val="0E1020"/>
        </w:rPr>
        <w:t>PROPOSAL 5</w:t>
      </w:r>
    </w:p>
    <w:p>
      <w:pPr>
        <w:spacing w:after="0" w:line="36" w:lineRule="exact"/>
        <w:rPr>
          <w:sz w:val="20"/>
          <w:szCs w:val="20"/>
          <w:color w:val="auto"/>
        </w:rPr>
      </w:pPr>
    </w:p>
    <w:p>
      <w:pPr>
        <w:ind w:left="1460" w:right="340"/>
        <w:spacing w:after="0" w:line="281" w:lineRule="auto"/>
        <w:rPr>
          <w:sz w:val="20"/>
          <w:szCs w:val="20"/>
          <w:color w:val="auto"/>
        </w:rPr>
      </w:pPr>
      <w:r>
        <w:rPr>
          <w:rFonts w:ascii="Arial" w:cs="Arial" w:eastAsia="Arial" w:hAnsi="Arial"/>
          <w:sz w:val="14"/>
          <w:szCs w:val="14"/>
          <w:color w:val="0E1020"/>
        </w:rPr>
        <w:t>Approval of Term Extension and an Increase in the Number of Shares Available under Amended and Restated DXC Technology Company 2017 Non-Employee Director Incentive Plan</w:t>
      </w:r>
    </w:p>
    <w:p>
      <w:pPr>
        <w:spacing w:after="0" w:line="200" w:lineRule="exact"/>
        <w:rPr>
          <w:sz w:val="20"/>
          <w:szCs w:val="20"/>
          <w:color w:val="auto"/>
        </w:rPr>
      </w:pPr>
    </w:p>
    <w:p>
      <w:pPr>
        <w:spacing w:after="0" w:line="222" w:lineRule="exact"/>
        <w:rPr>
          <w:sz w:val="20"/>
          <w:szCs w:val="20"/>
          <w:color w:val="auto"/>
        </w:rPr>
      </w:pPr>
    </w:p>
    <w:p>
      <w:pPr>
        <w:ind w:right="80"/>
        <w:spacing w:after="0" w:line="318" w:lineRule="auto"/>
        <w:rPr>
          <w:sz w:val="20"/>
          <w:szCs w:val="20"/>
          <w:color w:val="auto"/>
        </w:rPr>
      </w:pPr>
      <w:r>
        <w:rPr>
          <w:rFonts w:ascii="Arial" w:cs="Arial" w:eastAsia="Arial" w:hAnsi="Arial"/>
          <w:sz w:val="16"/>
          <w:szCs w:val="16"/>
          <w:color w:val="0E1020"/>
        </w:rPr>
        <w:t>We are requesting that stockholders approve amendments to the Amended and Restated DXC Technology Company 2017 Non-Employee Director Incentive Plan (2017 DIP), which include:</w:t>
      </w:r>
    </w:p>
    <w:p>
      <w:pPr>
        <w:spacing w:after="0" w:line="49" w:lineRule="exact"/>
        <w:rPr>
          <w:sz w:val="20"/>
          <w:szCs w:val="20"/>
          <w:color w:val="auto"/>
        </w:rPr>
      </w:pPr>
    </w:p>
    <w:p>
      <w:pPr>
        <w:ind w:left="300" w:hanging="293"/>
        <w:spacing w:after="0"/>
        <w:tabs>
          <w:tab w:leader="none" w:pos="300" w:val="left"/>
        </w:tabs>
        <w:numPr>
          <w:ilvl w:val="0"/>
          <w:numId w:val="6"/>
        </w:numPr>
        <w:rPr>
          <w:rFonts w:ascii="Arial" w:cs="Arial" w:eastAsia="Arial" w:hAnsi="Arial"/>
          <w:sz w:val="16"/>
          <w:szCs w:val="16"/>
          <w:color w:val="0E1020"/>
        </w:rPr>
      </w:pPr>
      <w:r>
        <w:rPr>
          <w:rFonts w:ascii="Arial" w:cs="Arial" w:eastAsia="Arial" w:hAnsi="Arial"/>
          <w:sz w:val="16"/>
          <w:szCs w:val="16"/>
          <w:color w:val="0E1020"/>
        </w:rPr>
        <w:t>An extension of the term of the 2017 DIP from March 30, 2027 to March 30, 2037;</w:t>
      </w:r>
    </w:p>
    <w:p>
      <w:pPr>
        <w:spacing w:after="0" w:line="124" w:lineRule="exact"/>
        <w:rPr>
          <w:rFonts w:ascii="Arial" w:cs="Arial" w:eastAsia="Arial" w:hAnsi="Arial"/>
          <w:sz w:val="16"/>
          <w:szCs w:val="16"/>
          <w:color w:val="0E1020"/>
        </w:rPr>
      </w:pPr>
    </w:p>
    <w:p>
      <w:pPr>
        <w:ind w:left="300" w:hanging="293"/>
        <w:spacing w:after="0"/>
        <w:tabs>
          <w:tab w:leader="none" w:pos="300" w:val="left"/>
        </w:tabs>
        <w:numPr>
          <w:ilvl w:val="0"/>
          <w:numId w:val="6"/>
        </w:numPr>
        <w:rPr>
          <w:rFonts w:ascii="Arial" w:cs="Arial" w:eastAsia="Arial" w:hAnsi="Arial"/>
          <w:sz w:val="16"/>
          <w:szCs w:val="16"/>
          <w:color w:val="0E1020"/>
        </w:rPr>
      </w:pPr>
      <w:r>
        <w:rPr>
          <w:rFonts w:ascii="Arial" w:cs="Arial" w:eastAsia="Arial" w:hAnsi="Arial"/>
          <w:sz w:val="16"/>
          <w:szCs w:val="16"/>
          <w:color w:val="0E1020"/>
        </w:rPr>
        <w:t>An increase of 1 million shares of common stock available for issuance under the 2017 DIP, bringing the maximum share limit to 2,245,000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tabs>
          <w:tab w:leader="none" w:pos="556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3</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11" w:name="page12"/>
    <w:bookmarkEnd w:id="11"/>
    <w:p>
      <w:pPr>
        <w:jc w:val="right"/>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216535</wp:posOffset>
            </wp:positionH>
            <wp:positionV relativeFrom="page">
              <wp:posOffset>106045</wp:posOffset>
            </wp:positionV>
            <wp:extent cx="1166495" cy="3232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232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39"/>
          <w:szCs w:val="39"/>
          <w:b w:val="1"/>
          <w:bCs w:val="1"/>
          <w:color w:val="0E1020"/>
        </w:rPr>
        <w:t>PROPOSAL 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0E1020"/>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323215</wp:posOffset>
            </wp:positionV>
            <wp:extent cx="7133590" cy="5873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3590" cy="58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b w:val="1"/>
          <w:bCs w:val="1"/>
          <w:color w:val="0E1020"/>
        </w:rPr>
        <w:t>BOARD RECOMMENDATION</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4"/>
          <w:szCs w:val="14"/>
          <w:color w:val="0E1020"/>
        </w:rPr>
        <w:t xml:space="preserve">The Board of Directors recommends a vote </w:t>
      </w:r>
      <w:r>
        <w:rPr>
          <w:rFonts w:ascii="Arial" w:cs="Arial" w:eastAsia="Arial" w:hAnsi="Arial"/>
          <w:sz w:val="14"/>
          <w:szCs w:val="14"/>
          <w:b w:val="1"/>
          <w:bCs w:val="1"/>
          <w:color w:val="0E1020"/>
        </w:rPr>
        <w:t>FOR</w:t>
      </w:r>
      <w:r>
        <w:rPr>
          <w:rFonts w:ascii="Arial" w:cs="Arial" w:eastAsia="Arial" w:hAnsi="Arial"/>
          <w:sz w:val="14"/>
          <w:szCs w:val="14"/>
          <w:color w:val="0E1020"/>
        </w:rPr>
        <w:t xml:space="preserve"> the election of each of these 9 nominees for director.</w:t>
      </w:r>
    </w:p>
    <w:p>
      <w:pPr>
        <w:spacing w:after="0" w:line="200" w:lineRule="exact"/>
        <w:rPr>
          <w:sz w:val="20"/>
          <w:szCs w:val="20"/>
          <w:color w:val="auto"/>
        </w:rPr>
      </w:pPr>
    </w:p>
    <w:p>
      <w:pPr>
        <w:spacing w:after="0" w:line="331" w:lineRule="exact"/>
        <w:rPr>
          <w:sz w:val="20"/>
          <w:szCs w:val="20"/>
          <w:color w:val="auto"/>
        </w:rPr>
      </w:pPr>
    </w:p>
    <w:p>
      <w:pPr>
        <w:ind w:right="160"/>
        <w:spacing w:after="0" w:line="335" w:lineRule="auto"/>
        <w:rPr>
          <w:sz w:val="20"/>
          <w:szCs w:val="20"/>
          <w:color w:val="auto"/>
        </w:rPr>
      </w:pPr>
      <w:r>
        <w:rPr>
          <w:rFonts w:ascii="Arial" w:cs="Arial" w:eastAsia="Arial" w:hAnsi="Arial"/>
          <w:sz w:val="16"/>
          <w:szCs w:val="16"/>
          <w:color w:val="0E1020"/>
        </w:rPr>
        <w:t>There are 9 nominees for election to our Board of Directors. The directors elected will hold office until the 2027 Annual Meeting of Stockholders or until their successors have been elected and qualified. Each nominee has informed the Board that he or she is willing to serve as a director.</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Vote Required</w:t>
      </w:r>
    </w:p>
    <w:p>
      <w:pPr>
        <w:spacing w:after="0" w:line="148" w:lineRule="exact"/>
        <w:rPr>
          <w:sz w:val="20"/>
          <w:szCs w:val="20"/>
          <w:color w:val="auto"/>
        </w:rPr>
      </w:pPr>
    </w:p>
    <w:p>
      <w:pPr>
        <w:ind w:right="340"/>
        <w:spacing w:after="0" w:line="335" w:lineRule="auto"/>
        <w:rPr>
          <w:sz w:val="20"/>
          <w:szCs w:val="20"/>
          <w:color w:val="auto"/>
        </w:rPr>
      </w:pPr>
      <w:r>
        <w:rPr>
          <w:rFonts w:ascii="Arial" w:cs="Arial" w:eastAsia="Arial" w:hAnsi="Arial"/>
          <w:sz w:val="16"/>
          <w:szCs w:val="16"/>
          <w:color w:val="0E1020"/>
        </w:rPr>
        <w:t>In uncontested elections, director nominees are elected if the number of votes cast for such nominee’s election exceeds the number of votes cast against such nominee’s election. Abstentions and broker non-votes, if any, will have no effect on the vote for this proposal.</w:t>
      </w:r>
    </w:p>
    <w:p>
      <w:pPr>
        <w:spacing w:after="0" w:line="23" w:lineRule="exact"/>
        <w:rPr>
          <w:sz w:val="20"/>
          <w:szCs w:val="20"/>
          <w:color w:val="auto"/>
        </w:rPr>
      </w:pPr>
    </w:p>
    <w:p>
      <w:pPr>
        <w:ind w:right="40"/>
        <w:spacing w:after="0" w:line="316" w:lineRule="auto"/>
        <w:rPr>
          <w:sz w:val="20"/>
          <w:szCs w:val="20"/>
          <w:color w:val="auto"/>
        </w:rPr>
      </w:pPr>
      <w:r>
        <w:rPr>
          <w:rFonts w:ascii="Arial" w:cs="Arial" w:eastAsia="Arial" w:hAnsi="Arial"/>
          <w:sz w:val="16"/>
          <w:szCs w:val="16"/>
          <w:color w:val="0E1020"/>
        </w:rPr>
        <w:t>In accordance with DXC’s Corporate Governance Guidelines (the Guidelines), if an incumbent director nominee fails to receive the requisite number of votes, such director nominee shall promptly tender his or her resignation for consideration by the Nominating/Corporate Governance Committee of our Board (the Nominating/Corporate Governance Committee).</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Director Nomination Process</w:t>
      </w:r>
    </w:p>
    <w:p>
      <w:pPr>
        <w:spacing w:after="0" w:line="148"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0E1020"/>
        </w:rPr>
        <w:t>The Nominating/Corporate Governance Committee is responsible for reviewing and assessing with the Board the appropriate skills, experience, and background sought for Board members in the context of our business and then-current membership on the Board. This assessment of Board skills, experience, and background involves considering numerous factors including independence, experience, professional and personal ethics and values, and other personal characteristics.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0E1020"/>
        </w:rPr>
        <w:t>The Board seeks directors whose expertise achieves a balance across the following skills and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156210</wp:posOffset>
            </wp:positionV>
            <wp:extent cx="69799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79920" cy="8255"/>
                    </a:xfrm>
                    <a:prstGeom prst="rect">
                      <a:avLst/>
                    </a:prstGeom>
                    <a:noFill/>
                  </pic:spPr>
                </pic:pic>
              </a:graphicData>
            </a:graphic>
          </wp:anchor>
        </w:drawing>
      </w:r>
    </w:p>
    <w:p>
      <w:pPr>
        <w:spacing w:after="0" w:line="337" w:lineRule="exact"/>
        <w:rPr>
          <w:sz w:val="20"/>
          <w:szCs w:val="20"/>
          <w:color w:val="auto"/>
        </w:rPr>
      </w:pPr>
    </w:p>
    <w:p>
      <w:pPr>
        <w:ind w:left="900" w:right="260"/>
        <w:spacing w:after="0" w:line="280" w:lineRule="auto"/>
        <w:rPr>
          <w:sz w:val="20"/>
          <w:szCs w:val="20"/>
          <w:color w:val="auto"/>
        </w:rPr>
      </w:pPr>
      <w:r>
        <w:rPr>
          <w:rFonts w:ascii="Arial" w:cs="Arial" w:eastAsia="Arial" w:hAnsi="Arial"/>
          <w:sz w:val="14"/>
          <w:szCs w:val="14"/>
          <w:b w:val="1"/>
          <w:bCs w:val="1"/>
          <w:color w:val="0E1020"/>
        </w:rPr>
        <w:t xml:space="preserve">Leadership and Management: </w:t>
      </w:r>
      <w:r>
        <w:rPr>
          <w:rFonts w:ascii="Arial" w:cs="Arial" w:eastAsia="Arial" w:hAnsi="Arial"/>
          <w:sz w:val="14"/>
          <w:szCs w:val="14"/>
          <w:color w:val="0E1020"/>
        </w:rPr>
        <w:t>Includes experience as a senior executive in a global or large public or private organization with practical skills and insights</w:t>
      </w:r>
      <w:r>
        <w:rPr>
          <w:rFonts w:ascii="Arial" w:cs="Arial" w:eastAsia="Arial" w:hAnsi="Arial"/>
          <w:sz w:val="14"/>
          <w:szCs w:val="14"/>
          <w:b w:val="1"/>
          <w:bCs w:val="1"/>
          <w:color w:val="0E1020"/>
        </w:rPr>
        <w:t xml:space="preserve"> </w:t>
      </w:r>
      <w:r>
        <w:rPr>
          <w:rFonts w:ascii="Arial" w:cs="Arial" w:eastAsia="Arial" w:hAnsi="Arial"/>
          <w:sz w:val="14"/>
          <w:szCs w:val="14"/>
          <w:color w:val="0E1020"/>
        </w:rPr>
        <w:t>around setting business strategy, overseeing operations, driving cost leadership, facilitating change management, leading transformation and restructuring, and driving results in dynamic and evolving business environments.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69799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79920" cy="825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-342900</wp:posOffset>
            </wp:positionV>
            <wp:extent cx="238125" cy="2381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38125" cy="238125"/>
                    </a:xfrm>
                    <a:prstGeom prst="rect">
                      <a:avLst/>
                    </a:prstGeom>
                    <a:noFill/>
                  </pic:spPr>
                </pic:pic>
              </a:graphicData>
            </a:graphic>
          </wp:anchor>
        </w:drawing>
      </w:r>
    </w:p>
    <w:p>
      <w:pPr>
        <w:spacing w:after="0" w:line="167" w:lineRule="exact"/>
        <w:rPr>
          <w:sz w:val="20"/>
          <w:szCs w:val="20"/>
          <w:color w:val="auto"/>
        </w:rPr>
      </w:pPr>
    </w:p>
    <w:p>
      <w:pPr>
        <w:ind w:left="900" w:right="640"/>
        <w:spacing w:after="0" w:line="280" w:lineRule="auto"/>
        <w:rPr>
          <w:sz w:val="20"/>
          <w:szCs w:val="20"/>
          <w:color w:val="auto"/>
        </w:rPr>
      </w:pPr>
      <w:r>
        <w:rPr>
          <w:rFonts w:ascii="Arial" w:cs="Arial" w:eastAsia="Arial" w:hAnsi="Arial"/>
          <w:sz w:val="14"/>
          <w:szCs w:val="14"/>
          <w:b w:val="1"/>
          <w:bCs w:val="1"/>
          <w:color w:val="0E1020"/>
        </w:rPr>
        <w:t xml:space="preserve">Global and International Experience: </w:t>
      </w:r>
      <w:r>
        <w:rPr>
          <w:rFonts w:ascii="Arial" w:cs="Arial" w:eastAsia="Arial" w:hAnsi="Arial"/>
          <w:sz w:val="14"/>
          <w:szCs w:val="14"/>
          <w:color w:val="0E1020"/>
        </w:rPr>
        <w:t>Experience leading or managing significant international operations across multiple countries and regions.</w:t>
      </w:r>
      <w:r>
        <w:rPr>
          <w:rFonts w:ascii="Arial" w:cs="Arial" w:eastAsia="Arial" w:hAnsi="Arial"/>
          <w:sz w:val="14"/>
          <w:szCs w:val="14"/>
          <w:b w:val="1"/>
          <w:bCs w:val="1"/>
          <w:color w:val="0E1020"/>
        </w:rPr>
        <w:t xml:space="preserve"> </w:t>
      </w:r>
      <w:r>
        <w:rPr>
          <w:rFonts w:ascii="Arial" w:cs="Arial" w:eastAsia="Arial" w:hAnsi="Arial"/>
          <w:sz w:val="14"/>
          <w:szCs w:val="14"/>
          <w:color w:val="0E1020"/>
        </w:rPr>
        <w:t>Understanding of diverse regulatory environments, cultural contexts, and geopolitical dynamics, with the ability to navigate the complexities of operating a global enterprise.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69799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7992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wp:posOffset>
            </wp:positionH>
            <wp:positionV relativeFrom="paragraph">
              <wp:posOffset>-334010</wp:posOffset>
            </wp:positionV>
            <wp:extent cx="221615" cy="2216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1615" cy="22161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107950</wp:posOffset>
            </wp:positionV>
            <wp:extent cx="238125" cy="2381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8125" cy="238125"/>
                    </a:xfrm>
                    <a:prstGeom prst="rect">
                      <a:avLst/>
                    </a:prstGeom>
                    <a:noFill/>
                  </pic:spPr>
                </pic:pic>
              </a:graphicData>
            </a:graphic>
          </wp:anchor>
        </w:drawing>
      </w:r>
    </w:p>
    <w:p>
      <w:pPr>
        <w:spacing w:after="0" w:line="194" w:lineRule="exact"/>
        <w:rPr>
          <w:sz w:val="20"/>
          <w:szCs w:val="20"/>
          <w:color w:val="auto"/>
        </w:rPr>
      </w:pPr>
    </w:p>
    <w:p>
      <w:pPr>
        <w:ind w:left="900" w:right="360"/>
        <w:spacing w:after="0" w:line="302" w:lineRule="auto"/>
        <w:rPr>
          <w:sz w:val="20"/>
          <w:szCs w:val="20"/>
          <w:color w:val="auto"/>
        </w:rPr>
      </w:pPr>
      <w:r>
        <w:rPr>
          <w:rFonts w:ascii="Arial" w:cs="Arial" w:eastAsia="Arial" w:hAnsi="Arial"/>
          <w:sz w:val="14"/>
          <w:szCs w:val="14"/>
          <w:b w:val="1"/>
          <w:bCs w:val="1"/>
          <w:color w:val="0E1020"/>
        </w:rPr>
        <w:t xml:space="preserve">Public Company Governance: </w:t>
      </w:r>
      <w:r>
        <w:rPr>
          <w:rFonts w:ascii="Arial" w:cs="Arial" w:eastAsia="Arial" w:hAnsi="Arial"/>
          <w:sz w:val="14"/>
          <w:szCs w:val="14"/>
          <w:color w:val="0E1020"/>
        </w:rPr>
        <w:t>Experience with corporate and board governance, including oversight of compliance, risk, regulatory requirements, executive</w:t>
      </w:r>
      <w:r>
        <w:rPr>
          <w:rFonts w:ascii="Arial" w:cs="Arial" w:eastAsia="Arial" w:hAnsi="Arial"/>
          <w:sz w:val="14"/>
          <w:szCs w:val="14"/>
          <w:b w:val="1"/>
          <w:bCs w:val="1"/>
          <w:color w:val="0E1020"/>
        </w:rPr>
        <w:t xml:space="preserve"> </w:t>
      </w:r>
      <w:r>
        <w:rPr>
          <w:rFonts w:ascii="Arial" w:cs="Arial" w:eastAsia="Arial" w:hAnsi="Arial"/>
          <w:sz w:val="14"/>
          <w:szCs w:val="14"/>
          <w:color w:val="0E1020"/>
        </w:rPr>
        <w:t>compensation practices, governance matters, and policies and processes to effectively manage and monitor these in support of the stockholders'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72390</wp:posOffset>
            </wp:positionV>
            <wp:extent cx="69799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79920" cy="8255"/>
                    </a:xfrm>
                    <a:prstGeom prst="rect">
                      <a:avLst/>
                    </a:prstGeom>
                    <a:noFill/>
                  </pic:spPr>
                </pic:pic>
              </a:graphicData>
            </a:graphic>
          </wp:anchor>
        </w:drawing>
      </w:r>
    </w:p>
    <w:p>
      <w:pPr>
        <w:spacing w:after="0" w:line="205" w:lineRule="exact"/>
        <w:rPr>
          <w:sz w:val="20"/>
          <w:szCs w:val="20"/>
          <w:color w:val="auto"/>
        </w:rPr>
      </w:pPr>
    </w:p>
    <w:p>
      <w:pPr>
        <w:ind w:left="900" w:right="940"/>
        <w:spacing w:after="0" w:line="280" w:lineRule="auto"/>
        <w:rPr>
          <w:sz w:val="20"/>
          <w:szCs w:val="20"/>
          <w:color w:val="auto"/>
        </w:rPr>
      </w:pPr>
      <w:r>
        <w:rPr>
          <w:rFonts w:ascii="Arial" w:cs="Arial" w:eastAsia="Arial" w:hAnsi="Arial"/>
          <w:sz w:val="14"/>
          <w:szCs w:val="14"/>
          <w:b w:val="1"/>
          <w:bCs w:val="1"/>
          <w:color w:val="0E1020"/>
        </w:rPr>
        <w:t xml:space="preserve">Audit and Financial Expertise: </w:t>
      </w:r>
      <w:r>
        <w:rPr>
          <w:rFonts w:ascii="Arial" w:cs="Arial" w:eastAsia="Arial" w:hAnsi="Arial"/>
          <w:sz w:val="14"/>
          <w:szCs w:val="14"/>
          <w:color w:val="0E1020"/>
        </w:rPr>
        <w:t>Experience and understanding of areas such as accounting policies and standards, financial reporting, disclosure</w:t>
      </w:r>
      <w:r>
        <w:rPr>
          <w:rFonts w:ascii="Arial" w:cs="Arial" w:eastAsia="Arial" w:hAnsi="Arial"/>
          <w:sz w:val="14"/>
          <w:szCs w:val="14"/>
          <w:b w:val="1"/>
          <w:bCs w:val="1"/>
          <w:color w:val="0E1020"/>
        </w:rPr>
        <w:t xml:space="preserve"> </w:t>
      </w:r>
      <w:r>
        <w:rPr>
          <w:rFonts w:ascii="Arial" w:cs="Arial" w:eastAsia="Arial" w:hAnsi="Arial"/>
          <w:sz w:val="14"/>
          <w:szCs w:val="14"/>
          <w:color w:val="0E1020"/>
        </w:rPr>
        <w:t>requirements, financial statements, internal controls, audit (internal and external), complex financial transactions, capital allocation, and mergers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69799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79920" cy="825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-342900</wp:posOffset>
            </wp:positionV>
            <wp:extent cx="238125" cy="2381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8125" cy="238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556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4</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12" w:name="page13"/>
    <w:bookmarkEnd w:id="12"/>
    <w:p>
      <w:pPr>
        <w:ind w:left="20"/>
        <w:spacing w:after="0"/>
        <w:tabs>
          <w:tab w:leader="none" w:pos="1052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0E1020"/>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482600</wp:posOffset>
            </wp:positionV>
            <wp:extent cx="69799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79920" cy="825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542290</wp:posOffset>
            </wp:positionV>
            <wp:extent cx="238125" cy="2381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8125" cy="238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00" w:right="860"/>
        <w:spacing w:after="0" w:line="302" w:lineRule="auto"/>
        <w:rPr>
          <w:sz w:val="20"/>
          <w:szCs w:val="20"/>
          <w:color w:val="auto"/>
        </w:rPr>
      </w:pPr>
      <w:r>
        <w:rPr>
          <w:rFonts w:ascii="Arial" w:cs="Arial" w:eastAsia="Arial" w:hAnsi="Arial"/>
          <w:sz w:val="14"/>
          <w:szCs w:val="14"/>
          <w:b w:val="1"/>
          <w:bCs w:val="1"/>
          <w:color w:val="0E1020"/>
        </w:rPr>
        <w:t xml:space="preserve">Capital Markets and Treasury: </w:t>
      </w:r>
      <w:r>
        <w:rPr>
          <w:rFonts w:ascii="Arial" w:cs="Arial" w:eastAsia="Arial" w:hAnsi="Arial"/>
          <w:sz w:val="14"/>
          <w:szCs w:val="14"/>
          <w:color w:val="0E1020"/>
        </w:rPr>
        <w:t>Experience in raising funds in the debt and equity markets, managing liquidity and managing the complex interplay of</w:t>
      </w:r>
      <w:r>
        <w:rPr>
          <w:rFonts w:ascii="Arial" w:cs="Arial" w:eastAsia="Arial" w:hAnsi="Arial"/>
          <w:sz w:val="14"/>
          <w:szCs w:val="14"/>
          <w:b w:val="1"/>
          <w:bCs w:val="1"/>
          <w:color w:val="0E1020"/>
        </w:rPr>
        <w:t xml:space="preserve"> </w:t>
      </w:r>
      <w:r>
        <w:rPr>
          <w:rFonts w:ascii="Arial" w:cs="Arial" w:eastAsia="Arial" w:hAnsi="Arial"/>
          <w:sz w:val="14"/>
          <w:szCs w:val="14"/>
          <w:color w:val="0E1020"/>
        </w:rPr>
        <w:t>operational performance, rating agencies and stockholder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72390</wp:posOffset>
            </wp:positionV>
            <wp:extent cx="69799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79920" cy="825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131445</wp:posOffset>
            </wp:positionV>
            <wp:extent cx="238125" cy="2381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8125" cy="238125"/>
                    </a:xfrm>
                    <a:prstGeom prst="rect">
                      <a:avLst/>
                    </a:prstGeom>
                    <a:noFill/>
                  </pic:spPr>
                </pic:pic>
              </a:graphicData>
            </a:graphic>
          </wp:anchor>
        </w:drawing>
      </w:r>
    </w:p>
    <w:p>
      <w:pPr>
        <w:spacing w:after="0" w:line="232" w:lineRule="exact"/>
        <w:rPr>
          <w:sz w:val="20"/>
          <w:szCs w:val="20"/>
          <w:color w:val="auto"/>
        </w:rPr>
      </w:pPr>
    </w:p>
    <w:p>
      <w:pPr>
        <w:ind w:left="900" w:right="580"/>
        <w:spacing w:after="0" w:line="302" w:lineRule="auto"/>
        <w:rPr>
          <w:sz w:val="20"/>
          <w:szCs w:val="20"/>
          <w:color w:val="auto"/>
        </w:rPr>
      </w:pPr>
      <w:r>
        <w:rPr>
          <w:rFonts w:ascii="Arial" w:cs="Arial" w:eastAsia="Arial" w:hAnsi="Arial"/>
          <w:sz w:val="14"/>
          <w:szCs w:val="14"/>
          <w:b w:val="1"/>
          <w:bCs w:val="1"/>
          <w:color w:val="0E1020"/>
        </w:rPr>
        <w:t xml:space="preserve">Industry: </w:t>
      </w:r>
      <w:r>
        <w:rPr>
          <w:rFonts w:ascii="Arial" w:cs="Arial" w:eastAsia="Arial" w:hAnsi="Arial"/>
          <w:sz w:val="14"/>
          <w:szCs w:val="14"/>
          <w:color w:val="0E1020"/>
        </w:rPr>
        <w:t>Experience in the information technology services or professional services industry, including an understanding of marketplace dynamics, digital</w:t>
      </w:r>
      <w:r>
        <w:rPr>
          <w:rFonts w:ascii="Arial" w:cs="Arial" w:eastAsia="Arial" w:hAnsi="Arial"/>
          <w:sz w:val="14"/>
          <w:szCs w:val="14"/>
          <w:b w:val="1"/>
          <w:bCs w:val="1"/>
          <w:color w:val="0E1020"/>
        </w:rPr>
        <w:t xml:space="preserve"> </w:t>
      </w:r>
      <w:r>
        <w:rPr>
          <w:rFonts w:ascii="Arial" w:cs="Arial" w:eastAsia="Arial" w:hAnsi="Arial"/>
          <w:sz w:val="14"/>
          <w:szCs w:val="14"/>
          <w:color w:val="0E1020"/>
        </w:rPr>
        <w:t>transformation, competitive positioning and success drivers relevant to companies operating in these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72390</wp:posOffset>
            </wp:positionV>
            <wp:extent cx="69799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79920" cy="8255"/>
                    </a:xfrm>
                    <a:prstGeom prst="rect">
                      <a:avLst/>
                    </a:prstGeom>
                    <a:noFill/>
                  </pic:spPr>
                </pic:pic>
              </a:graphicData>
            </a:graphic>
          </wp:anchor>
        </w:drawing>
      </w:r>
    </w:p>
    <w:p>
      <w:pPr>
        <w:spacing w:after="0" w:line="205" w:lineRule="exact"/>
        <w:rPr>
          <w:sz w:val="20"/>
          <w:szCs w:val="20"/>
          <w:color w:val="auto"/>
        </w:rPr>
      </w:pPr>
    </w:p>
    <w:p>
      <w:pPr>
        <w:ind w:left="900" w:right="500"/>
        <w:spacing w:after="0" w:line="273" w:lineRule="auto"/>
        <w:rPr>
          <w:sz w:val="20"/>
          <w:szCs w:val="20"/>
          <w:color w:val="auto"/>
        </w:rPr>
      </w:pPr>
      <w:r>
        <w:rPr>
          <w:rFonts w:ascii="Arial" w:cs="Arial" w:eastAsia="Arial" w:hAnsi="Arial"/>
          <w:sz w:val="14"/>
          <w:szCs w:val="14"/>
          <w:b w:val="1"/>
          <w:bCs w:val="1"/>
          <w:color w:val="0E1020"/>
        </w:rPr>
        <w:t xml:space="preserve">Technology and Innovation: </w:t>
      </w:r>
      <w:r>
        <w:rPr>
          <w:rFonts w:ascii="Arial" w:cs="Arial" w:eastAsia="Arial" w:hAnsi="Arial"/>
          <w:sz w:val="14"/>
          <w:szCs w:val="14"/>
          <w:color w:val="0E1020"/>
        </w:rPr>
        <w:t>Experience in senior leadership roles at companies in the technology landscape and an understanding of enterprise enabling</w:t>
      </w:r>
      <w:r>
        <w:rPr>
          <w:rFonts w:ascii="Arial" w:cs="Arial" w:eastAsia="Arial" w:hAnsi="Arial"/>
          <w:sz w:val="14"/>
          <w:szCs w:val="14"/>
          <w:b w:val="1"/>
          <w:bCs w:val="1"/>
          <w:color w:val="0E1020"/>
        </w:rPr>
        <w:t xml:space="preserve"> </w:t>
      </w:r>
      <w:r>
        <w:rPr>
          <w:rFonts w:ascii="Arial" w:cs="Arial" w:eastAsia="Arial" w:hAnsi="Arial"/>
          <w:sz w:val="14"/>
          <w:szCs w:val="14"/>
          <w:color w:val="0E1020"/>
        </w:rPr>
        <w:t>technologies, with the ability to evaluate and guide technology strategy, digital transformation, and innovation. Experience with emerging technologies, including artificial intelligence, machine learning, and data analytics, encompassing the development, deployment, oversight, or governance of these technologies in an enterprise context.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69799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79920" cy="825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-390525</wp:posOffset>
            </wp:positionV>
            <wp:extent cx="238125" cy="2381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38125" cy="23812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111125</wp:posOffset>
            </wp:positionV>
            <wp:extent cx="238125" cy="2381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8125" cy="238125"/>
                    </a:xfrm>
                    <a:prstGeom prst="rect">
                      <a:avLst/>
                    </a:prstGeom>
                    <a:noFill/>
                  </pic:spPr>
                </pic:pic>
              </a:graphicData>
            </a:graphic>
          </wp:anchor>
        </w:drawing>
      </w:r>
    </w:p>
    <w:p>
      <w:pPr>
        <w:spacing w:after="0" w:line="199" w:lineRule="exact"/>
        <w:rPr>
          <w:sz w:val="20"/>
          <w:szCs w:val="20"/>
          <w:color w:val="auto"/>
        </w:rPr>
      </w:pPr>
    </w:p>
    <w:p>
      <w:pPr>
        <w:ind w:left="900" w:right="320"/>
        <w:spacing w:after="0" w:line="302" w:lineRule="auto"/>
        <w:rPr>
          <w:sz w:val="20"/>
          <w:szCs w:val="20"/>
          <w:color w:val="auto"/>
        </w:rPr>
      </w:pPr>
      <w:r>
        <w:rPr>
          <w:rFonts w:ascii="Arial" w:cs="Arial" w:eastAsia="Arial" w:hAnsi="Arial"/>
          <w:sz w:val="14"/>
          <w:szCs w:val="14"/>
          <w:b w:val="1"/>
          <w:bCs w:val="1"/>
          <w:color w:val="0E1020"/>
        </w:rPr>
        <w:t xml:space="preserve">Cybersecurity: </w:t>
      </w:r>
      <w:r>
        <w:rPr>
          <w:rFonts w:ascii="Arial" w:cs="Arial" w:eastAsia="Arial" w:hAnsi="Arial"/>
          <w:sz w:val="14"/>
          <w:szCs w:val="14"/>
          <w:color w:val="0E1020"/>
        </w:rPr>
        <w:t>Experience managing cybersecurity and information security risks, including an understanding of the evolving cyber threat landscape, incident</w:t>
      </w:r>
      <w:r>
        <w:rPr>
          <w:rFonts w:ascii="Arial" w:cs="Arial" w:eastAsia="Arial" w:hAnsi="Arial"/>
          <w:sz w:val="14"/>
          <w:szCs w:val="14"/>
          <w:b w:val="1"/>
          <w:bCs w:val="1"/>
          <w:color w:val="0E1020"/>
        </w:rPr>
        <w:t xml:space="preserve"> </w:t>
      </w:r>
      <w:r>
        <w:rPr>
          <w:rFonts w:ascii="Arial" w:cs="Arial" w:eastAsia="Arial" w:hAnsi="Arial"/>
          <w:sz w:val="14"/>
          <w:szCs w:val="14"/>
          <w:color w:val="0E1020"/>
        </w:rPr>
        <w:t>response, data protection, and the governance frameworks needed to protect the enterprise and its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72390</wp:posOffset>
            </wp:positionV>
            <wp:extent cx="69799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79920" cy="825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131445</wp:posOffset>
            </wp:positionV>
            <wp:extent cx="238125" cy="2381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8125" cy="238125"/>
                    </a:xfrm>
                    <a:prstGeom prst="rect">
                      <a:avLst/>
                    </a:prstGeom>
                    <a:noFill/>
                  </pic:spPr>
                </pic:pic>
              </a:graphicData>
            </a:graphic>
          </wp:anchor>
        </w:drawing>
      </w:r>
    </w:p>
    <w:p>
      <w:pPr>
        <w:spacing w:after="0" w:line="232" w:lineRule="exact"/>
        <w:rPr>
          <w:sz w:val="20"/>
          <w:szCs w:val="20"/>
          <w:color w:val="auto"/>
        </w:rPr>
      </w:pPr>
    </w:p>
    <w:p>
      <w:pPr>
        <w:ind w:left="900" w:right="540"/>
        <w:spacing w:after="0" w:line="302" w:lineRule="auto"/>
        <w:rPr>
          <w:sz w:val="20"/>
          <w:szCs w:val="20"/>
          <w:color w:val="auto"/>
        </w:rPr>
      </w:pPr>
      <w:r>
        <w:rPr>
          <w:rFonts w:ascii="Arial" w:cs="Arial" w:eastAsia="Arial" w:hAnsi="Arial"/>
          <w:sz w:val="14"/>
          <w:szCs w:val="14"/>
          <w:b w:val="1"/>
          <w:bCs w:val="1"/>
          <w:color w:val="0E1020"/>
        </w:rPr>
        <w:t xml:space="preserve">Human Capital Management: </w:t>
      </w:r>
      <w:r>
        <w:rPr>
          <w:rFonts w:ascii="Arial" w:cs="Arial" w:eastAsia="Arial" w:hAnsi="Arial"/>
          <w:sz w:val="14"/>
          <w:szCs w:val="14"/>
          <w:color w:val="0E1020"/>
        </w:rPr>
        <w:t>Experience overseeing talent strategy, succession planning, executive compensation, organizational culture, and workforce</w:t>
      </w:r>
      <w:r>
        <w:rPr>
          <w:rFonts w:ascii="Arial" w:cs="Arial" w:eastAsia="Arial" w:hAnsi="Arial"/>
          <w:sz w:val="14"/>
          <w:szCs w:val="14"/>
          <w:b w:val="1"/>
          <w:bCs w:val="1"/>
          <w:color w:val="0E1020"/>
        </w:rPr>
        <w:t xml:space="preserve"> </w:t>
      </w:r>
      <w:r>
        <w:rPr>
          <w:rFonts w:ascii="Arial" w:cs="Arial" w:eastAsia="Arial" w:hAnsi="Arial"/>
          <w:sz w:val="14"/>
          <w:szCs w:val="14"/>
          <w:color w:val="0E1020"/>
        </w:rPr>
        <w:t>development in complex global environments. Experience aligning HR policies and practices to attract, onboard, develop and retain top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72390</wp:posOffset>
            </wp:positionV>
            <wp:extent cx="69799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79920" cy="8255"/>
                    </a:xfrm>
                    <a:prstGeom prst="rect">
                      <a:avLst/>
                    </a:prstGeom>
                    <a:noFill/>
                  </pic:spPr>
                </pic:pic>
              </a:graphicData>
            </a:graphic>
          </wp:anchor>
        </w:drawing>
      </w:r>
    </w:p>
    <w:p>
      <w:pPr>
        <w:spacing w:after="0" w:line="205" w:lineRule="exact"/>
        <w:rPr>
          <w:sz w:val="20"/>
          <w:szCs w:val="20"/>
          <w:color w:val="auto"/>
        </w:rPr>
      </w:pPr>
    </w:p>
    <w:p>
      <w:pPr>
        <w:ind w:left="900" w:right="240"/>
        <w:spacing w:after="0" w:line="280" w:lineRule="auto"/>
        <w:rPr>
          <w:sz w:val="20"/>
          <w:szCs w:val="20"/>
          <w:color w:val="auto"/>
        </w:rPr>
      </w:pPr>
      <w:r>
        <w:rPr>
          <w:rFonts w:ascii="Arial" w:cs="Arial" w:eastAsia="Arial" w:hAnsi="Arial"/>
          <w:sz w:val="14"/>
          <w:szCs w:val="14"/>
          <w:b w:val="1"/>
          <w:bCs w:val="1"/>
          <w:color w:val="0E1020"/>
        </w:rPr>
        <w:t xml:space="preserve">Government/Regulatory and Public Policy: </w:t>
      </w:r>
      <w:r>
        <w:rPr>
          <w:rFonts w:ascii="Arial" w:cs="Arial" w:eastAsia="Arial" w:hAnsi="Arial"/>
          <w:sz w:val="14"/>
          <w:szCs w:val="14"/>
          <w:color w:val="0E1020"/>
        </w:rPr>
        <w:t>Broad regulatory or policy-making experience in business, government, technology, or public service. Experience</w:t>
      </w:r>
      <w:r>
        <w:rPr>
          <w:rFonts w:ascii="Arial" w:cs="Arial" w:eastAsia="Arial" w:hAnsi="Arial"/>
          <w:sz w:val="14"/>
          <w:szCs w:val="14"/>
          <w:b w:val="1"/>
          <w:bCs w:val="1"/>
          <w:color w:val="0E1020"/>
        </w:rPr>
        <w:t xml:space="preserve"> </w:t>
      </w:r>
      <w:r>
        <w:rPr>
          <w:rFonts w:ascii="Arial" w:cs="Arial" w:eastAsia="Arial" w:hAnsi="Arial"/>
          <w:sz w:val="14"/>
          <w:szCs w:val="14"/>
          <w:color w:val="0E1020"/>
        </w:rPr>
        <w:t>in government positions or through extensive interactions with the government, policymakers and government agencies. Experience with environmental sustainability, climate-related risks and opportunities, corporate responsibility, and related regulatory and reporting frameworks.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69799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79920" cy="825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-342900</wp:posOffset>
            </wp:positionV>
            <wp:extent cx="238125" cy="2381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8125" cy="23812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540"/>
        <w:spacing w:after="0" w:line="335" w:lineRule="auto"/>
        <w:rPr>
          <w:sz w:val="20"/>
          <w:szCs w:val="20"/>
          <w:color w:val="auto"/>
        </w:rPr>
      </w:pPr>
      <w:r>
        <w:rPr>
          <w:rFonts w:ascii="Arial" w:cs="Arial" w:eastAsia="Arial" w:hAnsi="Arial"/>
          <w:sz w:val="16"/>
          <w:szCs w:val="16"/>
          <w:color w:val="0E1020"/>
        </w:rPr>
        <w:t>In addition to the skills and expertise listed above, the Nominating/Corporate Governance Committee and the Board also believe that the following key attributes are important to an effective Board:</w:t>
      </w:r>
    </w:p>
    <w:p>
      <w:pPr>
        <w:spacing w:after="0" w:line="23" w:lineRule="exact"/>
        <w:rPr>
          <w:sz w:val="20"/>
          <w:szCs w:val="20"/>
          <w:color w:val="auto"/>
        </w:rPr>
      </w:pPr>
    </w:p>
    <w:p>
      <w:pPr>
        <w:ind w:left="300" w:hanging="293"/>
        <w:spacing w:after="0"/>
        <w:tabs>
          <w:tab w:leader="none" w:pos="300" w:val="left"/>
        </w:tabs>
        <w:numPr>
          <w:ilvl w:val="0"/>
          <w:numId w:val="7"/>
        </w:numPr>
        <w:rPr>
          <w:rFonts w:ascii="Arial" w:cs="Arial" w:eastAsia="Arial" w:hAnsi="Arial"/>
          <w:sz w:val="16"/>
          <w:szCs w:val="16"/>
          <w:color w:val="0E1020"/>
        </w:rPr>
      </w:pPr>
      <w:r>
        <w:rPr>
          <w:rFonts w:ascii="Arial" w:cs="Arial" w:eastAsia="Arial" w:hAnsi="Arial"/>
          <w:sz w:val="16"/>
          <w:szCs w:val="16"/>
          <w:color w:val="0E1020"/>
        </w:rPr>
        <w:t>integrity and demonstrated high ethical standards;</w:t>
      </w:r>
    </w:p>
    <w:p>
      <w:pPr>
        <w:spacing w:after="0" w:line="137" w:lineRule="exact"/>
        <w:rPr>
          <w:rFonts w:ascii="Arial" w:cs="Arial" w:eastAsia="Arial" w:hAnsi="Arial"/>
          <w:sz w:val="16"/>
          <w:szCs w:val="16"/>
          <w:color w:val="0E1020"/>
        </w:rPr>
      </w:pPr>
    </w:p>
    <w:p>
      <w:pPr>
        <w:ind w:left="300" w:hanging="293"/>
        <w:spacing w:after="0"/>
        <w:tabs>
          <w:tab w:leader="none" w:pos="300" w:val="left"/>
        </w:tabs>
        <w:numPr>
          <w:ilvl w:val="0"/>
          <w:numId w:val="7"/>
        </w:numPr>
        <w:rPr>
          <w:rFonts w:ascii="Arial" w:cs="Arial" w:eastAsia="Arial" w:hAnsi="Arial"/>
          <w:sz w:val="16"/>
          <w:szCs w:val="16"/>
          <w:color w:val="0E1020"/>
        </w:rPr>
      </w:pPr>
      <w:r>
        <w:rPr>
          <w:rFonts w:ascii="Arial" w:cs="Arial" w:eastAsia="Arial" w:hAnsi="Arial"/>
          <w:sz w:val="16"/>
          <w:szCs w:val="16"/>
          <w:color w:val="0E1020"/>
        </w:rPr>
        <w:t>sound judgment;</w:t>
      </w:r>
    </w:p>
    <w:p>
      <w:pPr>
        <w:spacing w:after="0" w:line="124" w:lineRule="exact"/>
        <w:rPr>
          <w:rFonts w:ascii="Arial" w:cs="Arial" w:eastAsia="Arial" w:hAnsi="Arial"/>
          <w:sz w:val="16"/>
          <w:szCs w:val="16"/>
          <w:color w:val="0E1020"/>
        </w:rPr>
      </w:pPr>
    </w:p>
    <w:p>
      <w:pPr>
        <w:ind w:left="300" w:hanging="293"/>
        <w:spacing w:after="0"/>
        <w:tabs>
          <w:tab w:leader="none" w:pos="300" w:val="left"/>
        </w:tabs>
        <w:numPr>
          <w:ilvl w:val="0"/>
          <w:numId w:val="7"/>
        </w:numPr>
        <w:rPr>
          <w:rFonts w:ascii="Arial" w:cs="Arial" w:eastAsia="Arial" w:hAnsi="Arial"/>
          <w:sz w:val="16"/>
          <w:szCs w:val="16"/>
          <w:color w:val="0E1020"/>
        </w:rPr>
      </w:pPr>
      <w:r>
        <w:rPr>
          <w:rFonts w:ascii="Arial" w:cs="Arial" w:eastAsia="Arial" w:hAnsi="Arial"/>
          <w:sz w:val="16"/>
          <w:szCs w:val="16"/>
          <w:color w:val="0E1020"/>
        </w:rPr>
        <w:t>analytical skills;</w:t>
      </w:r>
    </w:p>
    <w:p>
      <w:pPr>
        <w:spacing w:after="0" w:line="137" w:lineRule="exact"/>
        <w:rPr>
          <w:rFonts w:ascii="Arial" w:cs="Arial" w:eastAsia="Arial" w:hAnsi="Arial"/>
          <w:sz w:val="16"/>
          <w:szCs w:val="16"/>
          <w:color w:val="0E1020"/>
        </w:rPr>
      </w:pPr>
    </w:p>
    <w:p>
      <w:pPr>
        <w:ind w:left="300" w:hanging="293"/>
        <w:spacing w:after="0"/>
        <w:tabs>
          <w:tab w:leader="none" w:pos="300" w:val="left"/>
        </w:tabs>
        <w:numPr>
          <w:ilvl w:val="0"/>
          <w:numId w:val="7"/>
        </w:numPr>
        <w:rPr>
          <w:rFonts w:ascii="Arial" w:cs="Arial" w:eastAsia="Arial" w:hAnsi="Arial"/>
          <w:sz w:val="16"/>
          <w:szCs w:val="16"/>
          <w:color w:val="0E1020"/>
        </w:rPr>
      </w:pPr>
      <w:r>
        <w:rPr>
          <w:rFonts w:ascii="Arial" w:cs="Arial" w:eastAsia="Arial" w:hAnsi="Arial"/>
          <w:sz w:val="16"/>
          <w:szCs w:val="16"/>
          <w:color w:val="0E1020"/>
        </w:rPr>
        <w:t>the ability to engage management and each other in a constructive and collaborative fashion; and</w:t>
      </w:r>
    </w:p>
    <w:p>
      <w:pPr>
        <w:spacing w:after="0" w:line="124" w:lineRule="exact"/>
        <w:rPr>
          <w:rFonts w:ascii="Arial" w:cs="Arial" w:eastAsia="Arial" w:hAnsi="Arial"/>
          <w:sz w:val="16"/>
          <w:szCs w:val="16"/>
          <w:color w:val="0E1020"/>
        </w:rPr>
      </w:pPr>
    </w:p>
    <w:p>
      <w:pPr>
        <w:ind w:left="300" w:hanging="293"/>
        <w:spacing w:after="0"/>
        <w:tabs>
          <w:tab w:leader="none" w:pos="300" w:val="left"/>
        </w:tabs>
        <w:numPr>
          <w:ilvl w:val="0"/>
          <w:numId w:val="7"/>
        </w:numPr>
        <w:rPr>
          <w:rFonts w:ascii="Arial" w:cs="Arial" w:eastAsia="Arial" w:hAnsi="Arial"/>
          <w:sz w:val="16"/>
          <w:szCs w:val="16"/>
          <w:color w:val="0E1020"/>
        </w:rPr>
      </w:pPr>
      <w:r>
        <w:rPr>
          <w:rFonts w:ascii="Arial" w:cs="Arial" w:eastAsia="Arial" w:hAnsi="Arial"/>
          <w:sz w:val="16"/>
          <w:szCs w:val="16"/>
          <w:color w:val="0E1020"/>
        </w:rPr>
        <w:t>the commitment to devote significant time and energy to service on the Board and its committees.</w:t>
      </w:r>
    </w:p>
    <w:p>
      <w:pPr>
        <w:spacing w:after="0" w:line="218" w:lineRule="exact"/>
        <w:rPr>
          <w:sz w:val="20"/>
          <w:szCs w:val="20"/>
          <w:color w:val="auto"/>
        </w:rPr>
      </w:pPr>
    </w:p>
    <w:p>
      <w:pPr>
        <w:ind w:right="400"/>
        <w:spacing w:after="0" w:line="335" w:lineRule="auto"/>
        <w:rPr>
          <w:sz w:val="20"/>
          <w:szCs w:val="20"/>
          <w:color w:val="auto"/>
        </w:rPr>
      </w:pPr>
      <w:r>
        <w:rPr>
          <w:rFonts w:ascii="Arial" w:cs="Arial" w:eastAsia="Arial" w:hAnsi="Arial"/>
          <w:sz w:val="16"/>
          <w:szCs w:val="16"/>
          <w:color w:val="0E1020"/>
        </w:rPr>
        <w:t>In evaluating potential director nominees, the Nominating/Corporate Governance Committee considers the applicable qualifications. The committee then considers the contribution they would make to the quality of the Board’s decision making and effectiveness.</w:t>
      </w:r>
    </w:p>
    <w:p>
      <w:pPr>
        <w:spacing w:after="0" w:line="23"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color w:val="0E1020"/>
        </w:rPr>
        <w:t>The Nominating/Corporate Governance Committee will also consider potential director candidates recommended by stockholders in the same manner as other candidates. The stockholder nomination process is described under Business for 2027 Annual Meeting at the end of this Proxy Statement. This committee may retain from time to time third-party search firms to identify qualified director candidates and to assist the Nominating/Corporate Governance Committee in evaluating candidates identified by others.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tabs>
          <w:tab w:leader="none" w:pos="556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5</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13" w:name="page14"/>
    <w:bookmarkEnd w:id="13"/>
    <w:p>
      <w:pPr>
        <w:ind w:left="20"/>
        <w:spacing w:after="0"/>
        <w:tabs>
          <w:tab w:leader="none" w:pos="10100" w:val="left"/>
        </w:tabs>
        <w:rPr>
          <w:sz w:val="20"/>
          <w:szCs w:val="20"/>
          <w:color w:val="auto"/>
        </w:rPr>
      </w:pPr>
      <w:r>
        <w:rPr>
          <w:rFonts w:ascii="Arial" w:cs="Arial" w:eastAsia="Arial" w:hAnsi="Arial"/>
          <w:sz w:val="14"/>
          <w:szCs w:val="14"/>
          <w:color w:val="auto"/>
        </w:rPr>
        <w:t>Proposal 1</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2026 Director Nominees</w:t>
      </w:r>
    </w:p>
    <w:p>
      <w:pPr>
        <w:spacing w:after="0" w:line="148" w:lineRule="exact"/>
        <w:rPr>
          <w:sz w:val="20"/>
          <w:szCs w:val="20"/>
          <w:color w:val="auto"/>
        </w:rPr>
      </w:pPr>
    </w:p>
    <w:p>
      <w:pPr>
        <w:ind w:right="80"/>
        <w:spacing w:after="0" w:line="300" w:lineRule="auto"/>
        <w:rPr>
          <w:sz w:val="20"/>
          <w:szCs w:val="20"/>
          <w:color w:val="auto"/>
        </w:rPr>
      </w:pPr>
      <w:r>
        <w:rPr>
          <w:rFonts w:ascii="Arial" w:cs="Arial" w:eastAsia="Arial" w:hAnsi="Arial"/>
          <w:sz w:val="16"/>
          <w:szCs w:val="16"/>
          <w:color w:val="0E1020"/>
        </w:rPr>
        <w:t>Each of the nominees has a strong reputation and experience in areas relevant to the strategy and operations of DXC’s businesses. Each of the nominees holds or has held senior executive positions in global or large, complex organizations or has relevant operating experience. In these positions, they have also gained experience in core management skills, such as strategic and financial planning, public company financial reporting, corporate governance, risk management, thought leadership, executive management and leadership refreshment. Many of our directors also have experience serving on boards of directors and board committees of other public companies. On June 1, 2026, Karl Racine notified the Board that he will not stand for re-election as a director at the Annual Meeting. Mr. Racine's decision is not the result of any disagreement with the Company on any matter relating to the Company's operations, policies, or practices. The Company is grateful for Mr. Racine's service on the Board and his contributions over the years. In connection with Mr. Racine's departure, the Board intends to reduce its size from 10 directors to nine directors after the Annual Meeting.</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Board Skills Matrix</w:t>
      </w:r>
    </w:p>
    <w:p>
      <w:pPr>
        <w:spacing w:after="0" w:line="148" w:lineRule="exact"/>
        <w:rPr>
          <w:sz w:val="20"/>
          <w:szCs w:val="20"/>
          <w:color w:val="auto"/>
        </w:rPr>
      </w:pPr>
    </w:p>
    <w:p>
      <w:pPr>
        <w:ind w:right="320"/>
        <w:spacing w:after="0" w:line="335" w:lineRule="auto"/>
        <w:rPr>
          <w:sz w:val="20"/>
          <w:szCs w:val="20"/>
          <w:color w:val="auto"/>
        </w:rPr>
      </w:pPr>
      <w:r>
        <w:rPr>
          <w:rFonts w:ascii="Arial" w:cs="Arial" w:eastAsia="Arial" w:hAnsi="Arial"/>
          <w:sz w:val="16"/>
          <w:szCs w:val="16"/>
          <w:color w:val="0E1020"/>
        </w:rPr>
        <w:t>The following chart provides summary information about each of our director nominees’ skills and attributes. More detailed information is provided in each director nominee’s biography.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108585</wp:posOffset>
            </wp:positionV>
            <wp:extent cx="238125" cy="2381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8125" cy="238125"/>
                    </a:xfrm>
                    <a:prstGeom prst="rect">
                      <a:avLst/>
                    </a:prstGeom>
                    <a:noFill/>
                  </pic:spPr>
                </pic:pic>
              </a:graphicData>
            </a:graphic>
          </wp:anchor>
        </w:drawing>
        <w:drawing>
          <wp:anchor simplePos="0" relativeHeight="251657728" behindDoc="1" locked="0" layoutInCell="0" allowOverlap="1">
            <wp:simplePos x="0" y="0"/>
            <wp:positionH relativeFrom="column">
              <wp:posOffset>1673225</wp:posOffset>
            </wp:positionH>
            <wp:positionV relativeFrom="paragraph">
              <wp:posOffset>125730</wp:posOffset>
            </wp:positionV>
            <wp:extent cx="221615" cy="2216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1615" cy="22161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108585</wp:posOffset>
            </wp:positionV>
            <wp:extent cx="238125" cy="2381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8125" cy="23812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108585</wp:posOffset>
            </wp:positionV>
            <wp:extent cx="238125" cy="2381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38125" cy="238125"/>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108585</wp:posOffset>
            </wp:positionV>
            <wp:extent cx="238125" cy="2381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8125" cy="238125"/>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108585</wp:posOffset>
            </wp:positionV>
            <wp:extent cx="238125" cy="2381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8125" cy="238125"/>
                    </a:xfrm>
                    <a:prstGeom prst="rect">
                      <a:avLst/>
                    </a:prstGeom>
                    <a:noFill/>
                  </pic:spPr>
                </pic:pic>
              </a:graphicData>
            </a:graphic>
          </wp:anchor>
        </w:drawing>
        <w:drawing>
          <wp:anchor simplePos="0" relativeHeight="251657728" behindDoc="1" locked="0" layoutInCell="0" allowOverlap="1">
            <wp:simplePos x="0" y="0"/>
            <wp:positionH relativeFrom="column">
              <wp:posOffset>4456430</wp:posOffset>
            </wp:positionH>
            <wp:positionV relativeFrom="paragraph">
              <wp:posOffset>108585</wp:posOffset>
            </wp:positionV>
            <wp:extent cx="238125" cy="2381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8125" cy="23812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108585</wp:posOffset>
            </wp:positionV>
            <wp:extent cx="238125" cy="2381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8125" cy="238125"/>
                    </a:xfrm>
                    <a:prstGeom prst="rect">
                      <a:avLst/>
                    </a:prstGeom>
                    <a:noFill/>
                  </pic:spPr>
                </pic:pic>
              </a:graphicData>
            </a:graphic>
          </wp:anchor>
        </w:drawing>
        <w:drawing>
          <wp:anchor simplePos="0" relativeHeight="251657728" behindDoc="1" locked="0" layoutInCell="0" allowOverlap="1">
            <wp:simplePos x="0" y="0"/>
            <wp:positionH relativeFrom="column">
              <wp:posOffset>5826760</wp:posOffset>
            </wp:positionH>
            <wp:positionV relativeFrom="paragraph">
              <wp:posOffset>108585</wp:posOffset>
            </wp:positionV>
            <wp:extent cx="238125" cy="2381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8125" cy="238125"/>
                    </a:xfrm>
                    <a:prstGeom prst="rect">
                      <a:avLst/>
                    </a:prstGeom>
                    <a:noFill/>
                  </pic:spPr>
                </pic:pic>
              </a:graphicData>
            </a:graphic>
          </wp:anchor>
        </w:drawing>
        <w:drawing>
          <wp:anchor simplePos="0" relativeHeight="251657728" behindDoc="1" locked="0" layoutInCell="0" allowOverlap="1">
            <wp:simplePos x="0" y="0"/>
            <wp:positionH relativeFrom="column">
              <wp:posOffset>6584315</wp:posOffset>
            </wp:positionH>
            <wp:positionV relativeFrom="paragraph">
              <wp:posOffset>108585</wp:posOffset>
            </wp:positionV>
            <wp:extent cx="238125" cy="2381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8125" cy="238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280" w:type="dxa"/>
            <w:vAlign w:val="bottom"/>
            <w:shd w:val="clear" w:color="auto" w:fill="F6F3F0"/>
          </w:tcPr>
          <w:p>
            <w:pPr>
              <w:spacing w:after="0"/>
              <w:rPr>
                <w:sz w:val="18"/>
                <w:szCs w:val="18"/>
                <w:color w:val="auto"/>
              </w:rPr>
            </w:pPr>
          </w:p>
        </w:tc>
        <w:tc>
          <w:tcPr>
            <w:tcW w:w="1020" w:type="dxa"/>
            <w:vAlign w:val="bottom"/>
            <w:vMerge w:val="restart"/>
            <w:shd w:val="clear" w:color="auto" w:fill="F6F3F0"/>
          </w:tcPr>
          <w:p>
            <w:pPr>
              <w:ind w:left="140"/>
              <w:spacing w:after="0"/>
              <w:rPr>
                <w:sz w:val="20"/>
                <w:szCs w:val="20"/>
                <w:color w:val="auto"/>
              </w:rPr>
            </w:pPr>
            <w:r>
              <w:rPr>
                <w:rFonts w:ascii="Arial" w:cs="Arial" w:eastAsia="Arial" w:hAnsi="Arial"/>
                <w:sz w:val="12"/>
                <w:szCs w:val="12"/>
                <w:b w:val="1"/>
                <w:bCs w:val="1"/>
                <w:color w:val="0E1020"/>
              </w:rPr>
              <w:t>Leadership &amp;</w:t>
            </w:r>
          </w:p>
        </w:tc>
        <w:tc>
          <w:tcPr>
            <w:tcW w:w="960" w:type="dxa"/>
            <w:vAlign w:val="bottom"/>
            <w:shd w:val="clear" w:color="auto" w:fill="F6F3F0"/>
          </w:tcPr>
          <w:p>
            <w:pPr>
              <w:jc w:val="center"/>
              <w:spacing w:after="0"/>
              <w:rPr>
                <w:sz w:val="20"/>
                <w:szCs w:val="20"/>
                <w:color w:val="auto"/>
              </w:rPr>
            </w:pPr>
            <w:r>
              <w:rPr>
                <w:rFonts w:ascii="Arial" w:cs="Arial" w:eastAsia="Arial" w:hAnsi="Arial"/>
                <w:sz w:val="12"/>
                <w:szCs w:val="12"/>
                <w:b w:val="1"/>
                <w:bCs w:val="1"/>
                <w:color w:val="0E1020"/>
                <w:w w:val="96"/>
              </w:rPr>
              <w:t>Global and</w:t>
            </w:r>
          </w:p>
        </w:tc>
        <w:tc>
          <w:tcPr>
            <w:tcW w:w="1080" w:type="dxa"/>
            <w:vAlign w:val="bottom"/>
            <w:vMerge w:val="restart"/>
            <w:shd w:val="clear" w:color="auto" w:fill="F6F3F0"/>
          </w:tcPr>
          <w:p>
            <w:pPr>
              <w:jc w:val="center"/>
              <w:spacing w:after="0"/>
              <w:rPr>
                <w:sz w:val="20"/>
                <w:szCs w:val="20"/>
                <w:color w:val="auto"/>
              </w:rPr>
            </w:pPr>
            <w:r>
              <w:rPr>
                <w:rFonts w:ascii="Arial" w:cs="Arial" w:eastAsia="Arial" w:hAnsi="Arial"/>
                <w:sz w:val="12"/>
                <w:szCs w:val="12"/>
                <w:b w:val="1"/>
                <w:bCs w:val="1"/>
                <w:color w:val="0E1020"/>
                <w:w w:val="97"/>
              </w:rPr>
              <w:t>Public Company</w:t>
            </w:r>
          </w:p>
        </w:tc>
        <w:tc>
          <w:tcPr>
            <w:tcW w:w="760" w:type="dxa"/>
            <w:vAlign w:val="bottom"/>
            <w:shd w:val="clear" w:color="auto" w:fill="F6F3F0"/>
          </w:tcPr>
          <w:p>
            <w:pPr>
              <w:jc w:val="center"/>
              <w:spacing w:after="0"/>
              <w:rPr>
                <w:sz w:val="20"/>
                <w:szCs w:val="20"/>
                <w:color w:val="auto"/>
              </w:rPr>
            </w:pPr>
            <w:r>
              <w:rPr>
                <w:rFonts w:ascii="Arial" w:cs="Arial" w:eastAsia="Arial" w:hAnsi="Arial"/>
                <w:sz w:val="12"/>
                <w:szCs w:val="12"/>
                <w:b w:val="1"/>
                <w:bCs w:val="1"/>
                <w:color w:val="0E1020"/>
                <w:w w:val="93"/>
              </w:rPr>
              <w:t>Audit &amp;</w:t>
            </w:r>
          </w:p>
        </w:tc>
        <w:tc>
          <w:tcPr>
            <w:tcW w:w="860" w:type="dxa"/>
            <w:vAlign w:val="bottom"/>
            <w:shd w:val="clear" w:color="auto" w:fill="F6F3F0"/>
          </w:tcPr>
          <w:p>
            <w:pPr>
              <w:jc w:val="center"/>
              <w:spacing w:after="0"/>
              <w:rPr>
                <w:sz w:val="20"/>
                <w:szCs w:val="20"/>
                <w:color w:val="auto"/>
              </w:rPr>
            </w:pPr>
            <w:r>
              <w:rPr>
                <w:rFonts w:ascii="Arial" w:cs="Arial" w:eastAsia="Arial" w:hAnsi="Arial"/>
                <w:sz w:val="12"/>
                <w:szCs w:val="12"/>
                <w:b w:val="1"/>
                <w:bCs w:val="1"/>
                <w:color w:val="0E1020"/>
                <w:w w:val="94"/>
              </w:rPr>
              <w:t>Capital</w:t>
            </w:r>
          </w:p>
        </w:tc>
        <w:tc>
          <w:tcPr>
            <w:tcW w:w="720" w:type="dxa"/>
            <w:vAlign w:val="bottom"/>
            <w:shd w:val="clear" w:color="auto" w:fill="F6F3F0"/>
          </w:tcPr>
          <w:p>
            <w:pPr>
              <w:spacing w:after="0"/>
              <w:rPr>
                <w:sz w:val="18"/>
                <w:szCs w:val="18"/>
                <w:color w:val="auto"/>
              </w:rPr>
            </w:pPr>
          </w:p>
        </w:tc>
        <w:tc>
          <w:tcPr>
            <w:tcW w:w="1040" w:type="dxa"/>
            <w:vAlign w:val="bottom"/>
            <w:vMerge w:val="restart"/>
            <w:shd w:val="clear" w:color="auto" w:fill="F6F3F0"/>
          </w:tcPr>
          <w:p>
            <w:pPr>
              <w:jc w:val="center"/>
              <w:spacing w:after="0"/>
              <w:rPr>
                <w:sz w:val="20"/>
                <w:szCs w:val="20"/>
                <w:color w:val="auto"/>
              </w:rPr>
            </w:pPr>
            <w:r>
              <w:rPr>
                <w:rFonts w:ascii="Arial" w:cs="Arial" w:eastAsia="Arial" w:hAnsi="Arial"/>
                <w:sz w:val="12"/>
                <w:szCs w:val="12"/>
                <w:b w:val="1"/>
                <w:bCs w:val="1"/>
                <w:color w:val="0E1020"/>
                <w:w w:val="95"/>
              </w:rPr>
              <w:t>Technology &amp;</w:t>
            </w:r>
          </w:p>
        </w:tc>
        <w:tc>
          <w:tcPr>
            <w:tcW w:w="1080" w:type="dxa"/>
            <w:vAlign w:val="bottom"/>
            <w:shd w:val="clear" w:color="auto" w:fill="F6F3F0"/>
          </w:tcPr>
          <w:p>
            <w:pPr>
              <w:spacing w:after="0"/>
              <w:rPr>
                <w:sz w:val="18"/>
                <w:szCs w:val="18"/>
                <w:color w:val="auto"/>
              </w:rPr>
            </w:pPr>
          </w:p>
        </w:tc>
        <w:tc>
          <w:tcPr>
            <w:tcW w:w="1020" w:type="dxa"/>
            <w:vAlign w:val="bottom"/>
            <w:vMerge w:val="restart"/>
            <w:shd w:val="clear" w:color="auto" w:fill="F6F3F0"/>
          </w:tcPr>
          <w:p>
            <w:pPr>
              <w:jc w:val="center"/>
              <w:ind w:left="42"/>
              <w:spacing w:after="0"/>
              <w:rPr>
                <w:sz w:val="20"/>
                <w:szCs w:val="20"/>
                <w:color w:val="auto"/>
              </w:rPr>
            </w:pPr>
            <w:r>
              <w:rPr>
                <w:rFonts w:ascii="Arial" w:cs="Arial" w:eastAsia="Arial" w:hAnsi="Arial"/>
                <w:sz w:val="12"/>
                <w:szCs w:val="12"/>
                <w:b w:val="1"/>
                <w:bCs w:val="1"/>
                <w:color w:val="0E1020"/>
                <w:w w:val="95"/>
              </w:rPr>
              <w:t>Human Capital</w:t>
            </w:r>
          </w:p>
        </w:tc>
        <w:tc>
          <w:tcPr>
            <w:tcW w:w="1420" w:type="dxa"/>
            <w:vAlign w:val="bottom"/>
            <w:vMerge w:val="restart"/>
            <w:shd w:val="clear" w:color="auto" w:fill="F6F3F0"/>
          </w:tcPr>
          <w:p>
            <w:pPr>
              <w:jc w:val="center"/>
              <w:ind w:left="2"/>
              <w:spacing w:after="0"/>
              <w:rPr>
                <w:sz w:val="20"/>
                <w:szCs w:val="20"/>
                <w:color w:val="auto"/>
              </w:rPr>
            </w:pPr>
            <w:r>
              <w:rPr>
                <w:rFonts w:ascii="Arial" w:cs="Arial" w:eastAsia="Arial" w:hAnsi="Arial"/>
                <w:sz w:val="12"/>
                <w:szCs w:val="12"/>
                <w:b w:val="1"/>
                <w:bCs w:val="1"/>
                <w:color w:val="0E1020"/>
                <w:w w:val="96"/>
              </w:rPr>
              <w:t>Government/Regulatory</w:t>
            </w:r>
          </w:p>
        </w:tc>
        <w:tc>
          <w:tcPr>
            <w:tcW w:w="0" w:type="dxa"/>
            <w:vAlign w:val="bottom"/>
          </w:tcPr>
          <w:p>
            <w:pPr>
              <w:spacing w:after="0"/>
              <w:rPr>
                <w:sz w:val="1"/>
                <w:szCs w:val="1"/>
                <w:color w:val="auto"/>
              </w:rPr>
            </w:pPr>
          </w:p>
        </w:tc>
      </w:tr>
      <w:tr>
        <w:trPr>
          <w:trHeight w:val="134"/>
        </w:trPr>
        <w:tc>
          <w:tcPr>
            <w:tcW w:w="1280" w:type="dxa"/>
            <w:vAlign w:val="bottom"/>
            <w:shd w:val="clear" w:color="auto" w:fill="F6F3F0"/>
          </w:tcPr>
          <w:p>
            <w:pPr>
              <w:spacing w:after="0"/>
              <w:rPr>
                <w:sz w:val="11"/>
                <w:szCs w:val="11"/>
                <w:color w:val="auto"/>
              </w:rPr>
            </w:pPr>
          </w:p>
        </w:tc>
        <w:tc>
          <w:tcPr>
            <w:tcW w:w="1020" w:type="dxa"/>
            <w:vAlign w:val="bottom"/>
            <w:vMerge w:val="continue"/>
            <w:shd w:val="clear" w:color="auto" w:fill="F6F3F0"/>
          </w:tcPr>
          <w:p>
            <w:pPr>
              <w:spacing w:after="0"/>
              <w:rPr>
                <w:sz w:val="11"/>
                <w:szCs w:val="11"/>
                <w:color w:val="auto"/>
              </w:rPr>
            </w:pPr>
          </w:p>
        </w:tc>
        <w:tc>
          <w:tcPr>
            <w:tcW w:w="960" w:type="dxa"/>
            <w:vAlign w:val="bottom"/>
            <w:shd w:val="clear" w:color="auto" w:fill="F6F3F0"/>
          </w:tcPr>
          <w:p>
            <w:pPr>
              <w:jc w:val="center"/>
              <w:ind w:left="2"/>
              <w:spacing w:after="0" w:line="134" w:lineRule="exact"/>
              <w:rPr>
                <w:sz w:val="20"/>
                <w:szCs w:val="20"/>
                <w:color w:val="auto"/>
              </w:rPr>
            </w:pPr>
            <w:r>
              <w:rPr>
                <w:rFonts w:ascii="Arial" w:cs="Arial" w:eastAsia="Arial" w:hAnsi="Arial"/>
                <w:sz w:val="12"/>
                <w:szCs w:val="12"/>
                <w:b w:val="1"/>
                <w:bCs w:val="1"/>
                <w:color w:val="0E1020"/>
                <w:w w:val="97"/>
              </w:rPr>
              <w:t>International</w:t>
            </w:r>
          </w:p>
        </w:tc>
        <w:tc>
          <w:tcPr>
            <w:tcW w:w="1080" w:type="dxa"/>
            <w:vAlign w:val="bottom"/>
            <w:vMerge w:val="continue"/>
            <w:shd w:val="clear" w:color="auto" w:fill="F6F3F0"/>
          </w:tcPr>
          <w:p>
            <w:pPr>
              <w:spacing w:after="0"/>
              <w:rPr>
                <w:sz w:val="11"/>
                <w:szCs w:val="11"/>
                <w:color w:val="auto"/>
              </w:rPr>
            </w:pPr>
          </w:p>
        </w:tc>
        <w:tc>
          <w:tcPr>
            <w:tcW w:w="760" w:type="dxa"/>
            <w:vAlign w:val="bottom"/>
            <w:shd w:val="clear" w:color="auto" w:fill="F6F3F0"/>
          </w:tcPr>
          <w:p>
            <w:pPr>
              <w:jc w:val="center"/>
              <w:spacing w:after="0" w:line="134" w:lineRule="exact"/>
              <w:rPr>
                <w:sz w:val="20"/>
                <w:szCs w:val="20"/>
                <w:color w:val="auto"/>
              </w:rPr>
            </w:pPr>
            <w:r>
              <w:rPr>
                <w:rFonts w:ascii="Arial" w:cs="Arial" w:eastAsia="Arial" w:hAnsi="Arial"/>
                <w:sz w:val="12"/>
                <w:szCs w:val="12"/>
                <w:b w:val="1"/>
                <w:bCs w:val="1"/>
                <w:color w:val="0E1020"/>
                <w:w w:val="99"/>
              </w:rPr>
              <w:t>Financial</w:t>
            </w:r>
          </w:p>
        </w:tc>
        <w:tc>
          <w:tcPr>
            <w:tcW w:w="860" w:type="dxa"/>
            <w:vAlign w:val="bottom"/>
            <w:shd w:val="clear" w:color="auto" w:fill="F6F3F0"/>
          </w:tcPr>
          <w:p>
            <w:pPr>
              <w:jc w:val="center"/>
              <w:spacing w:after="0" w:line="134" w:lineRule="exact"/>
              <w:rPr>
                <w:sz w:val="20"/>
                <w:szCs w:val="20"/>
                <w:color w:val="auto"/>
              </w:rPr>
            </w:pPr>
            <w:r>
              <w:rPr>
                <w:rFonts w:ascii="Arial" w:cs="Arial" w:eastAsia="Arial" w:hAnsi="Arial"/>
                <w:sz w:val="12"/>
                <w:szCs w:val="12"/>
                <w:b w:val="1"/>
                <w:bCs w:val="1"/>
                <w:color w:val="0E1020"/>
                <w:w w:val="94"/>
              </w:rPr>
              <w:t>Markets &amp;</w:t>
            </w:r>
          </w:p>
        </w:tc>
        <w:tc>
          <w:tcPr>
            <w:tcW w:w="720" w:type="dxa"/>
            <w:vAlign w:val="bottom"/>
            <w:shd w:val="clear" w:color="auto" w:fill="F6F3F0"/>
          </w:tcPr>
          <w:p>
            <w:pPr>
              <w:spacing w:after="0"/>
              <w:rPr>
                <w:sz w:val="11"/>
                <w:szCs w:val="11"/>
                <w:color w:val="auto"/>
              </w:rPr>
            </w:pPr>
          </w:p>
        </w:tc>
        <w:tc>
          <w:tcPr>
            <w:tcW w:w="1040" w:type="dxa"/>
            <w:vAlign w:val="bottom"/>
            <w:vMerge w:val="continue"/>
            <w:shd w:val="clear" w:color="auto" w:fill="F6F3F0"/>
          </w:tcPr>
          <w:p>
            <w:pPr>
              <w:spacing w:after="0"/>
              <w:rPr>
                <w:sz w:val="11"/>
                <w:szCs w:val="11"/>
                <w:color w:val="auto"/>
              </w:rPr>
            </w:pPr>
          </w:p>
        </w:tc>
        <w:tc>
          <w:tcPr>
            <w:tcW w:w="1080" w:type="dxa"/>
            <w:vAlign w:val="bottom"/>
            <w:shd w:val="clear" w:color="auto" w:fill="F6F3F0"/>
          </w:tcPr>
          <w:p>
            <w:pPr>
              <w:spacing w:after="0"/>
              <w:rPr>
                <w:sz w:val="11"/>
                <w:szCs w:val="11"/>
                <w:color w:val="auto"/>
              </w:rPr>
            </w:pPr>
          </w:p>
        </w:tc>
        <w:tc>
          <w:tcPr>
            <w:tcW w:w="1020" w:type="dxa"/>
            <w:vAlign w:val="bottom"/>
            <w:vMerge w:val="continue"/>
            <w:shd w:val="clear" w:color="auto" w:fill="F6F3F0"/>
          </w:tcPr>
          <w:p>
            <w:pPr>
              <w:spacing w:after="0"/>
              <w:rPr>
                <w:sz w:val="11"/>
                <w:szCs w:val="11"/>
                <w:color w:val="auto"/>
              </w:rPr>
            </w:pPr>
          </w:p>
        </w:tc>
        <w:tc>
          <w:tcPr>
            <w:tcW w:w="1420" w:type="dxa"/>
            <w:vAlign w:val="bottom"/>
            <w:vMerge w:val="continue"/>
            <w:shd w:val="clear" w:color="auto" w:fill="F6F3F0"/>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F6F3F0"/>
          </w:tcPr>
          <w:p>
            <w:pPr>
              <w:ind w:left="100"/>
              <w:spacing w:after="0"/>
              <w:rPr>
                <w:sz w:val="20"/>
                <w:szCs w:val="20"/>
                <w:color w:val="auto"/>
              </w:rPr>
            </w:pPr>
            <w:r>
              <w:rPr>
                <w:rFonts w:ascii="Arial" w:cs="Arial" w:eastAsia="Arial" w:hAnsi="Arial"/>
                <w:sz w:val="12"/>
                <w:szCs w:val="12"/>
                <w:b w:val="1"/>
                <w:bCs w:val="1"/>
                <w:color w:val="0E1020"/>
              </w:rPr>
              <w:t>Top Skills</w:t>
            </w:r>
          </w:p>
        </w:tc>
        <w:tc>
          <w:tcPr>
            <w:tcW w:w="1020" w:type="dxa"/>
            <w:vAlign w:val="bottom"/>
            <w:shd w:val="clear" w:color="auto" w:fill="F6F3F0"/>
          </w:tcPr>
          <w:p>
            <w:pPr>
              <w:ind w:left="160"/>
              <w:spacing w:after="0"/>
              <w:rPr>
                <w:sz w:val="20"/>
                <w:szCs w:val="20"/>
                <w:color w:val="auto"/>
              </w:rPr>
            </w:pPr>
            <w:r>
              <w:rPr>
                <w:rFonts w:ascii="Arial" w:cs="Arial" w:eastAsia="Arial" w:hAnsi="Arial"/>
                <w:sz w:val="12"/>
                <w:szCs w:val="12"/>
                <w:b w:val="1"/>
                <w:bCs w:val="1"/>
                <w:color w:val="0E1020"/>
              </w:rPr>
              <w:t>Management</w:t>
            </w:r>
          </w:p>
        </w:tc>
        <w:tc>
          <w:tcPr>
            <w:tcW w:w="960" w:type="dxa"/>
            <w:vAlign w:val="bottom"/>
            <w:shd w:val="clear" w:color="auto" w:fill="F6F3F0"/>
          </w:tcPr>
          <w:p>
            <w:pPr>
              <w:jc w:val="center"/>
              <w:ind w:left="2"/>
              <w:spacing w:after="0"/>
              <w:rPr>
                <w:sz w:val="20"/>
                <w:szCs w:val="20"/>
                <w:color w:val="auto"/>
              </w:rPr>
            </w:pPr>
            <w:r>
              <w:rPr>
                <w:rFonts w:ascii="Arial" w:cs="Arial" w:eastAsia="Arial" w:hAnsi="Arial"/>
                <w:sz w:val="12"/>
                <w:szCs w:val="12"/>
                <w:b w:val="1"/>
                <w:bCs w:val="1"/>
                <w:color w:val="0E1020"/>
                <w:w w:val="96"/>
              </w:rPr>
              <w:t>Experience</w:t>
            </w:r>
          </w:p>
        </w:tc>
        <w:tc>
          <w:tcPr>
            <w:tcW w:w="1080" w:type="dxa"/>
            <w:vAlign w:val="bottom"/>
            <w:shd w:val="clear" w:color="auto" w:fill="F6F3F0"/>
          </w:tcPr>
          <w:p>
            <w:pPr>
              <w:jc w:val="center"/>
              <w:spacing w:after="0"/>
              <w:rPr>
                <w:sz w:val="20"/>
                <w:szCs w:val="20"/>
                <w:color w:val="auto"/>
              </w:rPr>
            </w:pPr>
            <w:r>
              <w:rPr>
                <w:rFonts w:ascii="Arial" w:cs="Arial" w:eastAsia="Arial" w:hAnsi="Arial"/>
                <w:sz w:val="12"/>
                <w:szCs w:val="12"/>
                <w:b w:val="1"/>
                <w:bCs w:val="1"/>
                <w:color w:val="0E1020"/>
                <w:w w:val="97"/>
              </w:rPr>
              <w:t>Governance</w:t>
            </w:r>
          </w:p>
        </w:tc>
        <w:tc>
          <w:tcPr>
            <w:tcW w:w="760" w:type="dxa"/>
            <w:vAlign w:val="bottom"/>
            <w:shd w:val="clear" w:color="auto" w:fill="F6F3F0"/>
          </w:tcPr>
          <w:p>
            <w:pPr>
              <w:jc w:val="center"/>
              <w:spacing w:after="0"/>
              <w:rPr>
                <w:sz w:val="20"/>
                <w:szCs w:val="20"/>
                <w:color w:val="auto"/>
              </w:rPr>
            </w:pPr>
            <w:r>
              <w:rPr>
                <w:rFonts w:ascii="Arial" w:cs="Arial" w:eastAsia="Arial" w:hAnsi="Arial"/>
                <w:sz w:val="12"/>
                <w:szCs w:val="12"/>
                <w:b w:val="1"/>
                <w:bCs w:val="1"/>
                <w:color w:val="0E1020"/>
                <w:w w:val="96"/>
              </w:rPr>
              <w:t>Expertise</w:t>
            </w:r>
          </w:p>
        </w:tc>
        <w:tc>
          <w:tcPr>
            <w:tcW w:w="860" w:type="dxa"/>
            <w:vAlign w:val="bottom"/>
            <w:shd w:val="clear" w:color="auto" w:fill="F6F3F0"/>
          </w:tcPr>
          <w:p>
            <w:pPr>
              <w:jc w:val="center"/>
              <w:spacing w:after="0"/>
              <w:rPr>
                <w:sz w:val="20"/>
                <w:szCs w:val="20"/>
                <w:color w:val="auto"/>
              </w:rPr>
            </w:pPr>
            <w:r>
              <w:rPr>
                <w:rFonts w:ascii="Arial" w:cs="Arial" w:eastAsia="Arial" w:hAnsi="Arial"/>
                <w:sz w:val="12"/>
                <w:szCs w:val="12"/>
                <w:b w:val="1"/>
                <w:bCs w:val="1"/>
                <w:color w:val="0E1020"/>
                <w:w w:val="98"/>
              </w:rPr>
              <w:t>Treasury</w:t>
            </w:r>
          </w:p>
        </w:tc>
        <w:tc>
          <w:tcPr>
            <w:tcW w:w="720" w:type="dxa"/>
            <w:vAlign w:val="bottom"/>
            <w:shd w:val="clear" w:color="auto" w:fill="F6F3F0"/>
          </w:tcPr>
          <w:p>
            <w:pPr>
              <w:ind w:left="140"/>
              <w:spacing w:after="0"/>
              <w:rPr>
                <w:sz w:val="20"/>
                <w:szCs w:val="20"/>
                <w:color w:val="auto"/>
              </w:rPr>
            </w:pPr>
            <w:r>
              <w:rPr>
                <w:rFonts w:ascii="Arial" w:cs="Arial" w:eastAsia="Arial" w:hAnsi="Arial"/>
                <w:sz w:val="12"/>
                <w:szCs w:val="12"/>
                <w:b w:val="1"/>
                <w:bCs w:val="1"/>
                <w:color w:val="0E1020"/>
              </w:rPr>
              <w:t>Industry</w:t>
            </w:r>
          </w:p>
        </w:tc>
        <w:tc>
          <w:tcPr>
            <w:tcW w:w="1040" w:type="dxa"/>
            <w:vAlign w:val="bottom"/>
            <w:shd w:val="clear" w:color="auto" w:fill="F6F3F0"/>
          </w:tcPr>
          <w:p>
            <w:pPr>
              <w:jc w:val="center"/>
              <w:spacing w:after="0"/>
              <w:rPr>
                <w:sz w:val="20"/>
                <w:szCs w:val="20"/>
                <w:color w:val="auto"/>
              </w:rPr>
            </w:pPr>
            <w:r>
              <w:rPr>
                <w:rFonts w:ascii="Arial" w:cs="Arial" w:eastAsia="Arial" w:hAnsi="Arial"/>
                <w:sz w:val="12"/>
                <w:szCs w:val="12"/>
                <w:b w:val="1"/>
                <w:bCs w:val="1"/>
                <w:color w:val="0E1020"/>
                <w:w w:val="98"/>
              </w:rPr>
              <w:t>Innovation</w:t>
            </w:r>
          </w:p>
        </w:tc>
        <w:tc>
          <w:tcPr>
            <w:tcW w:w="1080" w:type="dxa"/>
            <w:vAlign w:val="bottom"/>
            <w:shd w:val="clear" w:color="auto" w:fill="F6F3F0"/>
          </w:tcPr>
          <w:p>
            <w:pPr>
              <w:ind w:left="160"/>
              <w:spacing w:after="0"/>
              <w:rPr>
                <w:sz w:val="20"/>
                <w:szCs w:val="20"/>
                <w:color w:val="auto"/>
              </w:rPr>
            </w:pPr>
            <w:r>
              <w:rPr>
                <w:rFonts w:ascii="Arial" w:cs="Arial" w:eastAsia="Arial" w:hAnsi="Arial"/>
                <w:sz w:val="12"/>
                <w:szCs w:val="12"/>
                <w:b w:val="1"/>
                <w:bCs w:val="1"/>
                <w:color w:val="0E1020"/>
              </w:rPr>
              <w:t>Cybersecurity</w:t>
            </w:r>
          </w:p>
        </w:tc>
        <w:tc>
          <w:tcPr>
            <w:tcW w:w="1020" w:type="dxa"/>
            <w:vAlign w:val="bottom"/>
            <w:shd w:val="clear" w:color="auto" w:fill="F6F3F0"/>
          </w:tcPr>
          <w:p>
            <w:pPr>
              <w:jc w:val="center"/>
              <w:ind w:left="42"/>
              <w:spacing w:after="0"/>
              <w:rPr>
                <w:sz w:val="20"/>
                <w:szCs w:val="20"/>
                <w:color w:val="auto"/>
              </w:rPr>
            </w:pPr>
            <w:r>
              <w:rPr>
                <w:rFonts w:ascii="Arial" w:cs="Arial" w:eastAsia="Arial" w:hAnsi="Arial"/>
                <w:sz w:val="12"/>
                <w:szCs w:val="12"/>
                <w:b w:val="1"/>
                <w:bCs w:val="1"/>
                <w:color w:val="0E1020"/>
                <w:w w:val="98"/>
              </w:rPr>
              <w:t>Management</w:t>
            </w:r>
          </w:p>
        </w:tc>
        <w:tc>
          <w:tcPr>
            <w:tcW w:w="1420" w:type="dxa"/>
            <w:vAlign w:val="bottom"/>
            <w:shd w:val="clear" w:color="auto" w:fill="F6F3F0"/>
          </w:tcPr>
          <w:p>
            <w:pPr>
              <w:jc w:val="center"/>
              <w:ind w:left="2"/>
              <w:spacing w:after="0"/>
              <w:rPr>
                <w:sz w:val="20"/>
                <w:szCs w:val="20"/>
                <w:color w:val="auto"/>
              </w:rPr>
            </w:pPr>
            <w:r>
              <w:rPr>
                <w:rFonts w:ascii="Arial" w:cs="Arial" w:eastAsia="Arial" w:hAnsi="Arial"/>
                <w:sz w:val="12"/>
                <w:szCs w:val="12"/>
                <w:b w:val="1"/>
                <w:bCs w:val="1"/>
                <w:color w:val="0E1020"/>
                <w:w w:val="96"/>
              </w:rPr>
              <w:t>&amp; Public Policy</w:t>
            </w:r>
          </w:p>
        </w:tc>
        <w:tc>
          <w:tcPr>
            <w:tcW w:w="0" w:type="dxa"/>
            <w:vAlign w:val="bottom"/>
          </w:tcPr>
          <w:p>
            <w:pPr>
              <w:spacing w:after="0"/>
              <w:rPr>
                <w:sz w:val="1"/>
                <w:szCs w:val="1"/>
                <w:color w:val="auto"/>
              </w:rPr>
            </w:pPr>
          </w:p>
        </w:tc>
      </w:tr>
      <w:tr>
        <w:trPr>
          <w:trHeight w:val="65"/>
        </w:trPr>
        <w:tc>
          <w:tcPr>
            <w:tcW w:w="1280" w:type="dxa"/>
            <w:vAlign w:val="bottom"/>
            <w:tcBorders>
              <w:bottom w:val="single" w:sz="8" w:color="CFCFD2"/>
            </w:tcBorders>
            <w:shd w:val="clear" w:color="auto" w:fill="F6F3F0"/>
          </w:tcPr>
          <w:p>
            <w:pPr>
              <w:spacing w:after="0"/>
              <w:rPr>
                <w:sz w:val="5"/>
                <w:szCs w:val="5"/>
                <w:color w:val="auto"/>
              </w:rPr>
            </w:pPr>
          </w:p>
        </w:tc>
        <w:tc>
          <w:tcPr>
            <w:tcW w:w="1020" w:type="dxa"/>
            <w:vAlign w:val="bottom"/>
            <w:tcBorders>
              <w:bottom w:val="single" w:sz="8" w:color="CFCFD2"/>
            </w:tcBorders>
            <w:shd w:val="clear" w:color="auto" w:fill="F6F3F0"/>
          </w:tcPr>
          <w:p>
            <w:pPr>
              <w:spacing w:after="0"/>
              <w:rPr>
                <w:sz w:val="5"/>
                <w:szCs w:val="5"/>
                <w:color w:val="auto"/>
              </w:rPr>
            </w:pPr>
          </w:p>
        </w:tc>
        <w:tc>
          <w:tcPr>
            <w:tcW w:w="960" w:type="dxa"/>
            <w:vAlign w:val="bottom"/>
            <w:tcBorders>
              <w:bottom w:val="single" w:sz="8" w:color="CFCFD2"/>
            </w:tcBorders>
            <w:shd w:val="clear" w:color="auto" w:fill="F6F3F0"/>
          </w:tcPr>
          <w:p>
            <w:pPr>
              <w:spacing w:after="0"/>
              <w:rPr>
                <w:sz w:val="5"/>
                <w:szCs w:val="5"/>
                <w:color w:val="auto"/>
              </w:rPr>
            </w:pPr>
          </w:p>
        </w:tc>
        <w:tc>
          <w:tcPr>
            <w:tcW w:w="1080" w:type="dxa"/>
            <w:vAlign w:val="bottom"/>
            <w:tcBorders>
              <w:bottom w:val="single" w:sz="8" w:color="CFCFD2"/>
            </w:tcBorders>
            <w:shd w:val="clear" w:color="auto" w:fill="F6F3F0"/>
          </w:tcPr>
          <w:p>
            <w:pPr>
              <w:spacing w:after="0"/>
              <w:rPr>
                <w:sz w:val="5"/>
                <w:szCs w:val="5"/>
                <w:color w:val="auto"/>
              </w:rPr>
            </w:pPr>
          </w:p>
        </w:tc>
        <w:tc>
          <w:tcPr>
            <w:tcW w:w="760" w:type="dxa"/>
            <w:vAlign w:val="bottom"/>
            <w:tcBorders>
              <w:bottom w:val="single" w:sz="8" w:color="CFCFD2"/>
            </w:tcBorders>
            <w:shd w:val="clear" w:color="auto" w:fill="F6F3F0"/>
          </w:tcPr>
          <w:p>
            <w:pPr>
              <w:spacing w:after="0"/>
              <w:rPr>
                <w:sz w:val="5"/>
                <w:szCs w:val="5"/>
                <w:color w:val="auto"/>
              </w:rPr>
            </w:pPr>
          </w:p>
        </w:tc>
        <w:tc>
          <w:tcPr>
            <w:tcW w:w="860" w:type="dxa"/>
            <w:vAlign w:val="bottom"/>
            <w:tcBorders>
              <w:bottom w:val="single" w:sz="8" w:color="CFCFD2"/>
            </w:tcBorders>
            <w:shd w:val="clear" w:color="auto" w:fill="F6F3F0"/>
          </w:tcPr>
          <w:p>
            <w:pPr>
              <w:spacing w:after="0"/>
              <w:rPr>
                <w:sz w:val="5"/>
                <w:szCs w:val="5"/>
                <w:color w:val="auto"/>
              </w:rPr>
            </w:pPr>
          </w:p>
        </w:tc>
        <w:tc>
          <w:tcPr>
            <w:tcW w:w="720" w:type="dxa"/>
            <w:vAlign w:val="bottom"/>
            <w:tcBorders>
              <w:bottom w:val="single" w:sz="8" w:color="CFCFD2"/>
            </w:tcBorders>
            <w:shd w:val="clear" w:color="auto" w:fill="F6F3F0"/>
          </w:tcPr>
          <w:p>
            <w:pPr>
              <w:spacing w:after="0"/>
              <w:rPr>
                <w:sz w:val="5"/>
                <w:szCs w:val="5"/>
                <w:color w:val="auto"/>
              </w:rPr>
            </w:pPr>
          </w:p>
        </w:tc>
        <w:tc>
          <w:tcPr>
            <w:tcW w:w="1040" w:type="dxa"/>
            <w:vAlign w:val="bottom"/>
            <w:tcBorders>
              <w:bottom w:val="single" w:sz="8" w:color="CFCFD2"/>
            </w:tcBorders>
            <w:shd w:val="clear" w:color="auto" w:fill="F6F3F0"/>
          </w:tcPr>
          <w:p>
            <w:pPr>
              <w:spacing w:after="0"/>
              <w:rPr>
                <w:sz w:val="5"/>
                <w:szCs w:val="5"/>
                <w:color w:val="auto"/>
              </w:rPr>
            </w:pPr>
          </w:p>
        </w:tc>
        <w:tc>
          <w:tcPr>
            <w:tcW w:w="1080" w:type="dxa"/>
            <w:vAlign w:val="bottom"/>
            <w:tcBorders>
              <w:bottom w:val="single" w:sz="8" w:color="CFCFD2"/>
            </w:tcBorders>
            <w:shd w:val="clear" w:color="auto" w:fill="F6F3F0"/>
          </w:tcPr>
          <w:p>
            <w:pPr>
              <w:spacing w:after="0"/>
              <w:rPr>
                <w:sz w:val="5"/>
                <w:szCs w:val="5"/>
                <w:color w:val="auto"/>
              </w:rPr>
            </w:pPr>
          </w:p>
        </w:tc>
        <w:tc>
          <w:tcPr>
            <w:tcW w:w="1020" w:type="dxa"/>
            <w:vAlign w:val="bottom"/>
            <w:tcBorders>
              <w:bottom w:val="single" w:sz="8" w:color="CFCFD2"/>
            </w:tcBorders>
            <w:shd w:val="clear" w:color="auto" w:fill="F6F3F0"/>
          </w:tcPr>
          <w:p>
            <w:pPr>
              <w:spacing w:after="0"/>
              <w:rPr>
                <w:sz w:val="5"/>
                <w:szCs w:val="5"/>
                <w:color w:val="auto"/>
              </w:rPr>
            </w:pPr>
          </w:p>
        </w:tc>
        <w:tc>
          <w:tcPr>
            <w:tcW w:w="1420" w:type="dxa"/>
            <w:vAlign w:val="bottom"/>
            <w:tcBorders>
              <w:bottom w:val="single" w:sz="8" w:color="CFCFD2"/>
            </w:tcBorders>
            <w:shd w:val="clear" w:color="auto" w:fill="F6F3F0"/>
          </w:tcPr>
          <w:p>
            <w:pPr>
              <w:spacing w:after="0"/>
              <w:rPr>
                <w:sz w:val="5"/>
                <w:szCs w:val="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004AAC"/>
        </w:rPr>
        <w:t>David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-91440</wp:posOffset>
            </wp:positionV>
            <wp:extent cx="119380" cy="1447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-91440</wp:posOffset>
            </wp:positionV>
            <wp:extent cx="119380" cy="1447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-91440</wp:posOffset>
            </wp:positionV>
            <wp:extent cx="119380" cy="1447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-91440</wp:posOffset>
            </wp:positionV>
            <wp:extent cx="119380" cy="1447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-91440</wp:posOffset>
            </wp:positionV>
            <wp:extent cx="119380" cy="1447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-91440</wp:posOffset>
            </wp:positionV>
            <wp:extent cx="119380" cy="1447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-91440</wp:posOffset>
            </wp:positionV>
            <wp:extent cx="119380" cy="1447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-91440</wp:posOffset>
            </wp:positionV>
            <wp:extent cx="119380" cy="1447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5886450</wp:posOffset>
            </wp:positionH>
            <wp:positionV relativeFrom="paragraph">
              <wp:posOffset>-91440</wp:posOffset>
            </wp:positionV>
            <wp:extent cx="119380" cy="1447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6644005</wp:posOffset>
            </wp:positionH>
            <wp:positionV relativeFrom="paragraph">
              <wp:posOffset>-91440</wp:posOffset>
            </wp:positionV>
            <wp:extent cx="119380" cy="1447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9380" cy="144780"/>
                    </a:xfrm>
                    <a:prstGeom prst="rect">
                      <a:avLst/>
                    </a:prstGeom>
                    <a:noFill/>
                  </pic:spPr>
                </pic:pic>
              </a:graphicData>
            </a:graphic>
          </wp:anchor>
        </w:drawing>
      </w:r>
    </w:p>
    <w:p>
      <w:pPr>
        <w:spacing w:after="0" w:line="2"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004AAC"/>
        </w:rPr>
        <w:t>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35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004AAC"/>
        </w:rPr>
        <w:t>Raul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-91440</wp:posOffset>
            </wp:positionV>
            <wp:extent cx="119380" cy="1447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-91440</wp:posOffset>
            </wp:positionV>
            <wp:extent cx="119380" cy="1447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-91440</wp:posOffset>
            </wp:positionV>
            <wp:extent cx="119380" cy="1447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-91440</wp:posOffset>
            </wp:positionV>
            <wp:extent cx="119380" cy="1447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-91440</wp:posOffset>
            </wp:positionV>
            <wp:extent cx="119380" cy="1447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-91440</wp:posOffset>
            </wp:positionV>
            <wp:extent cx="119380" cy="1447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-91440</wp:posOffset>
            </wp:positionV>
            <wp:extent cx="119380" cy="1447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-91440</wp:posOffset>
            </wp:positionV>
            <wp:extent cx="119380" cy="1447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5886450</wp:posOffset>
            </wp:positionH>
            <wp:positionV relativeFrom="paragraph">
              <wp:posOffset>-91440</wp:posOffset>
            </wp:positionV>
            <wp:extent cx="119380" cy="1447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6644005</wp:posOffset>
            </wp:positionH>
            <wp:positionV relativeFrom="paragraph">
              <wp:posOffset>-91440</wp:posOffset>
            </wp:positionV>
            <wp:extent cx="119380" cy="1447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9380" cy="144780"/>
                    </a:xfrm>
                    <a:prstGeom prst="rect">
                      <a:avLst/>
                    </a:prstGeom>
                    <a:noFill/>
                  </pic:spPr>
                </pic:pic>
              </a:graphicData>
            </a:graphic>
          </wp:anchor>
        </w:drawing>
      </w:r>
    </w:p>
    <w:p>
      <w:pPr>
        <w:spacing w:after="0" w:line="2"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004AAC"/>
        </w:rPr>
        <w:t>Fernandez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35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004AAC"/>
        </w:rPr>
        <w:t>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-91440</wp:posOffset>
            </wp:positionV>
            <wp:extent cx="119380" cy="1447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-91440</wp:posOffset>
            </wp:positionV>
            <wp:extent cx="119380" cy="1447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-91440</wp:posOffset>
            </wp:positionV>
            <wp:extent cx="119380" cy="1447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-91440</wp:posOffset>
            </wp:positionV>
            <wp:extent cx="119380" cy="1447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-91440</wp:posOffset>
            </wp:positionV>
            <wp:extent cx="119380" cy="1447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-91440</wp:posOffset>
            </wp:positionV>
            <wp:extent cx="119380" cy="1447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-91440</wp:posOffset>
            </wp:positionV>
            <wp:extent cx="119380" cy="1447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-91440</wp:posOffset>
            </wp:positionV>
            <wp:extent cx="119380" cy="1447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5886450</wp:posOffset>
            </wp:positionH>
            <wp:positionV relativeFrom="paragraph">
              <wp:posOffset>-91440</wp:posOffset>
            </wp:positionV>
            <wp:extent cx="119380" cy="1447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6644005</wp:posOffset>
            </wp:positionH>
            <wp:positionV relativeFrom="paragraph">
              <wp:posOffset>-91440</wp:posOffset>
            </wp:positionV>
            <wp:extent cx="119380" cy="1447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9380" cy="144780"/>
                    </a:xfrm>
                    <a:prstGeom prst="rect">
                      <a:avLst/>
                    </a:prstGeom>
                    <a:noFill/>
                  </pic:spPr>
                </pic:pic>
              </a:graphicData>
            </a:graphic>
          </wp:anchor>
        </w:drawing>
      </w:r>
    </w:p>
    <w:p>
      <w:pPr>
        <w:spacing w:after="0" w:line="2"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004AAC"/>
        </w:rPr>
        <w:t>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35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004AAC"/>
        </w:rPr>
        <w:t>David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-91440</wp:posOffset>
            </wp:positionV>
            <wp:extent cx="119380" cy="1447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-91440</wp:posOffset>
            </wp:positionV>
            <wp:extent cx="119380" cy="1447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-91440</wp:posOffset>
            </wp:positionV>
            <wp:extent cx="119380" cy="1447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-91440</wp:posOffset>
            </wp:positionV>
            <wp:extent cx="119380" cy="1447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-91440</wp:posOffset>
            </wp:positionV>
            <wp:extent cx="119380" cy="1447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-91440</wp:posOffset>
            </wp:positionV>
            <wp:extent cx="119380" cy="1447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-91440</wp:posOffset>
            </wp:positionV>
            <wp:extent cx="119380" cy="1447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-91440</wp:posOffset>
            </wp:positionV>
            <wp:extent cx="119380" cy="1447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5886450</wp:posOffset>
            </wp:positionH>
            <wp:positionV relativeFrom="paragraph">
              <wp:posOffset>-91440</wp:posOffset>
            </wp:positionV>
            <wp:extent cx="119380" cy="1447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6644005</wp:posOffset>
            </wp:positionH>
            <wp:positionV relativeFrom="paragraph">
              <wp:posOffset>-91440</wp:posOffset>
            </wp:positionV>
            <wp:extent cx="119380" cy="1447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9380" cy="144780"/>
                    </a:xfrm>
                    <a:prstGeom prst="rect">
                      <a:avLst/>
                    </a:prstGeom>
                    <a:noFill/>
                  </pic:spPr>
                </pic:pic>
              </a:graphicData>
            </a:graphic>
          </wp:anchor>
        </w:drawing>
      </w:r>
    </w:p>
    <w:p>
      <w:pPr>
        <w:spacing w:after="0" w:line="2"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004AAC"/>
        </w:rPr>
        <w:t>Herzog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35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004AAC"/>
        </w:rPr>
        <w:t>Pinkie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-91440</wp:posOffset>
            </wp:positionV>
            <wp:extent cx="119380" cy="1447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-91440</wp:posOffset>
            </wp:positionV>
            <wp:extent cx="119380" cy="1447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-91440</wp:posOffset>
            </wp:positionV>
            <wp:extent cx="119380" cy="1447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-91440</wp:posOffset>
            </wp:positionV>
            <wp:extent cx="119380" cy="1447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-91440</wp:posOffset>
            </wp:positionV>
            <wp:extent cx="119380" cy="1447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-91440</wp:posOffset>
            </wp:positionV>
            <wp:extent cx="119380" cy="1447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-91440</wp:posOffset>
            </wp:positionV>
            <wp:extent cx="119380" cy="1447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-91440</wp:posOffset>
            </wp:positionV>
            <wp:extent cx="119380" cy="1447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5886450</wp:posOffset>
            </wp:positionH>
            <wp:positionV relativeFrom="paragraph">
              <wp:posOffset>-91440</wp:posOffset>
            </wp:positionV>
            <wp:extent cx="119380" cy="1447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6644005</wp:posOffset>
            </wp:positionH>
            <wp:positionV relativeFrom="paragraph">
              <wp:posOffset>-91440</wp:posOffset>
            </wp:positionV>
            <wp:extent cx="119380" cy="1447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9380" cy="144780"/>
                    </a:xfrm>
                    <a:prstGeom prst="rect">
                      <a:avLst/>
                    </a:prstGeom>
                    <a:noFill/>
                  </pic:spPr>
                </pic:pic>
              </a:graphicData>
            </a:graphic>
          </wp:anchor>
        </w:drawing>
      </w:r>
    </w:p>
    <w:p>
      <w:pPr>
        <w:spacing w:after="0" w:line="2"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004AAC"/>
        </w:rPr>
        <w:t>Mayfield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35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004AAC"/>
        </w:rPr>
        <w:t>Dawn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-91440</wp:posOffset>
            </wp:positionV>
            <wp:extent cx="119380" cy="1447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-91440</wp:posOffset>
            </wp:positionV>
            <wp:extent cx="119380" cy="1447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-91440</wp:posOffset>
            </wp:positionV>
            <wp:extent cx="119380" cy="1447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-91440</wp:posOffset>
            </wp:positionV>
            <wp:extent cx="119380" cy="1447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-91440</wp:posOffset>
            </wp:positionV>
            <wp:extent cx="119380" cy="1447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-91440</wp:posOffset>
            </wp:positionV>
            <wp:extent cx="119380" cy="1447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-91440</wp:posOffset>
            </wp:positionV>
            <wp:extent cx="119380" cy="1447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-91440</wp:posOffset>
            </wp:positionV>
            <wp:extent cx="119380" cy="1447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5886450</wp:posOffset>
            </wp:positionH>
            <wp:positionV relativeFrom="paragraph">
              <wp:posOffset>-91440</wp:posOffset>
            </wp:positionV>
            <wp:extent cx="119380" cy="1447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6644005</wp:posOffset>
            </wp:positionH>
            <wp:positionV relativeFrom="paragraph">
              <wp:posOffset>-91440</wp:posOffset>
            </wp:positionV>
            <wp:extent cx="119380" cy="1447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9380" cy="144780"/>
                    </a:xfrm>
                    <a:prstGeom prst="rect">
                      <a:avLst/>
                    </a:prstGeom>
                    <a:noFill/>
                  </pic:spPr>
                </pic:pic>
              </a:graphicData>
            </a:graphic>
          </wp:anchor>
        </w:drawing>
      </w:r>
    </w:p>
    <w:p>
      <w:pPr>
        <w:spacing w:after="0" w:line="2"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004AAC"/>
        </w:rPr>
        <w:t>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35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004AAC"/>
        </w:rPr>
        <w:t>Carrie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-91440</wp:posOffset>
            </wp:positionV>
            <wp:extent cx="119380" cy="1447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-91440</wp:posOffset>
            </wp:positionV>
            <wp:extent cx="119380" cy="1447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-91440</wp:posOffset>
            </wp:positionV>
            <wp:extent cx="119380" cy="1447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-91440</wp:posOffset>
            </wp:positionV>
            <wp:extent cx="119380" cy="1447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-91440</wp:posOffset>
            </wp:positionV>
            <wp:extent cx="119380" cy="1447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-91440</wp:posOffset>
            </wp:positionV>
            <wp:extent cx="119380" cy="1447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-91440</wp:posOffset>
            </wp:positionV>
            <wp:extent cx="119380" cy="1447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-91440</wp:posOffset>
            </wp:positionV>
            <wp:extent cx="119380" cy="1447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5886450</wp:posOffset>
            </wp:positionH>
            <wp:positionV relativeFrom="paragraph">
              <wp:posOffset>-91440</wp:posOffset>
            </wp:positionV>
            <wp:extent cx="119380" cy="1447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6644005</wp:posOffset>
            </wp:positionH>
            <wp:positionV relativeFrom="paragraph">
              <wp:posOffset>-91440</wp:posOffset>
            </wp:positionV>
            <wp:extent cx="119380" cy="1447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9380" cy="144780"/>
                    </a:xfrm>
                    <a:prstGeom prst="rect">
                      <a:avLst/>
                    </a:prstGeom>
                    <a:noFill/>
                  </pic:spPr>
                </pic:pic>
              </a:graphicData>
            </a:graphic>
          </wp:anchor>
        </w:drawing>
      </w:r>
    </w:p>
    <w:p>
      <w:pPr>
        <w:spacing w:after="0" w:line="2"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004AAC"/>
        </w:rPr>
        <w:t>Teffner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35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004AAC"/>
        </w:rPr>
        <w:t>Akihiko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-91440</wp:posOffset>
            </wp:positionV>
            <wp:extent cx="119380" cy="1447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-91440</wp:posOffset>
            </wp:positionV>
            <wp:extent cx="119380" cy="1447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-91440</wp:posOffset>
            </wp:positionV>
            <wp:extent cx="119380" cy="1447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-91440</wp:posOffset>
            </wp:positionV>
            <wp:extent cx="119380" cy="1447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-91440</wp:posOffset>
            </wp:positionV>
            <wp:extent cx="119380" cy="1447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-91440</wp:posOffset>
            </wp:positionV>
            <wp:extent cx="119380" cy="1447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-91440</wp:posOffset>
            </wp:positionV>
            <wp:extent cx="119380" cy="1447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-91440</wp:posOffset>
            </wp:positionV>
            <wp:extent cx="119380" cy="1447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5886450</wp:posOffset>
            </wp:positionH>
            <wp:positionV relativeFrom="paragraph">
              <wp:posOffset>-91440</wp:posOffset>
            </wp:positionV>
            <wp:extent cx="119380" cy="1447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6644005</wp:posOffset>
            </wp:positionH>
            <wp:positionV relativeFrom="paragraph">
              <wp:posOffset>-91440</wp:posOffset>
            </wp:positionV>
            <wp:extent cx="119380" cy="1447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9380" cy="144780"/>
                    </a:xfrm>
                    <a:prstGeom prst="rect">
                      <a:avLst/>
                    </a:prstGeom>
                    <a:noFill/>
                  </pic:spPr>
                </pic:pic>
              </a:graphicData>
            </a:graphic>
          </wp:anchor>
        </w:drawing>
      </w:r>
    </w:p>
    <w:p>
      <w:pPr>
        <w:spacing w:after="0" w:line="2"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004AAC"/>
        </w:rPr>
        <w:t>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35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004AAC"/>
        </w:rPr>
        <w:t>Robert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-91440</wp:posOffset>
            </wp:positionV>
            <wp:extent cx="119380" cy="1447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1724025</wp:posOffset>
            </wp:positionH>
            <wp:positionV relativeFrom="paragraph">
              <wp:posOffset>-91440</wp:posOffset>
            </wp:positionV>
            <wp:extent cx="119380" cy="1447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-91440</wp:posOffset>
            </wp:positionV>
            <wp:extent cx="119380" cy="1447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-91440</wp:posOffset>
            </wp:positionV>
            <wp:extent cx="119380" cy="1447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-91440</wp:posOffset>
            </wp:positionV>
            <wp:extent cx="119380" cy="1447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-91440</wp:posOffset>
            </wp:positionV>
            <wp:extent cx="119380" cy="1447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-91440</wp:posOffset>
            </wp:positionV>
            <wp:extent cx="119380" cy="1447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-91440</wp:posOffset>
            </wp:positionV>
            <wp:extent cx="119380" cy="1447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5886450</wp:posOffset>
            </wp:positionH>
            <wp:positionV relativeFrom="paragraph">
              <wp:posOffset>-91440</wp:posOffset>
            </wp:positionV>
            <wp:extent cx="119380" cy="1447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6644005</wp:posOffset>
            </wp:positionH>
            <wp:positionV relativeFrom="paragraph">
              <wp:posOffset>-91440</wp:posOffset>
            </wp:positionV>
            <wp:extent cx="119380" cy="1447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9380" cy="144780"/>
                    </a:xfrm>
                    <a:prstGeom prst="rect">
                      <a:avLst/>
                    </a:prstGeom>
                    <a:noFill/>
                  </pic:spPr>
                </pic:pic>
              </a:graphicData>
            </a:graphic>
          </wp:anchor>
        </w:drawing>
      </w:r>
    </w:p>
    <w:p>
      <w:pPr>
        <w:spacing w:after="0" w:line="2"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004AAC"/>
        </w:rPr>
        <w:t>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35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156845</wp:posOffset>
            </wp:positionV>
            <wp:extent cx="102235" cy="1276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02235" cy="127635"/>
                    </a:xfrm>
                    <a:prstGeom prst="rect">
                      <a:avLst/>
                    </a:prstGeom>
                    <a:noFill/>
                  </pic:spPr>
                </pic:pic>
              </a:graphicData>
            </a:graphic>
          </wp:anchor>
        </w:drawing>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4"/>
          <w:szCs w:val="14"/>
          <w:color w:val="0E1020"/>
        </w:rPr>
        <w:t>Skill Possessed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tabs>
          <w:tab w:leader="none" w:pos="556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6</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4" w:name="page15"/>
    <w:bookmarkEnd w:id="14"/>
    <w:p>
      <w:pPr>
        <w:ind w:left="20"/>
        <w:spacing w:after="0"/>
        <w:tabs>
          <w:tab w:leader="none" w:pos="1052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0E1020"/>
        </w:rPr>
        <w:t>Proposal 1</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Board Composition and Refreshment</w:t>
      </w:r>
    </w:p>
    <w:p>
      <w:pPr>
        <w:spacing w:after="0" w:line="148"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color w:val="0E1020"/>
        </w:rPr>
        <w:t>Our Board believes that maintaining a range of backgrounds, skills, expertise, and other personal characteristics promotes inclusiveness, enhances the Board's deliberations, and enables the Board to better represent all of DXC's constituents, including its varied customer base and workforce, and to support business decisions that are aligned with long-term value. The Board does not maintain a formal diversity policy. The Board is, however, committed to regular renewal and refreshment, and to seeking highly qualified candidates from a variety of backgrounds as part of each director search.</w:t>
      </w:r>
    </w:p>
    <w:p>
      <w:pPr>
        <w:spacing w:after="0" w:line="41"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color w:val="0E1020"/>
        </w:rPr>
        <w:t>The Nominating/Corporate Governance Committee, which oversees succession planning for the Board and makes recommendations regarding key leadership roles on the Board and its committees, regularly reviews Board composition and assesses the skills and characteristics of our directors to ensure the Board's makeup supports the Company's evolving strategy. The Committee also reviews committee assignments annually to determine whether rotation of members or chairs would introduce fresh perspectives and broaden the experience represented on the Board's committees.</w:t>
      </w:r>
    </w:p>
    <w:p>
      <w:pPr>
        <w:spacing w:after="0" w:line="41" w:lineRule="exact"/>
        <w:rPr>
          <w:sz w:val="20"/>
          <w:szCs w:val="20"/>
          <w:color w:val="auto"/>
        </w:rPr>
      </w:pPr>
    </w:p>
    <w:p>
      <w:pPr>
        <w:ind w:right="40"/>
        <w:spacing w:after="0" w:line="316" w:lineRule="auto"/>
        <w:rPr>
          <w:sz w:val="20"/>
          <w:szCs w:val="20"/>
          <w:color w:val="auto"/>
        </w:rPr>
      </w:pPr>
      <w:r>
        <w:rPr>
          <w:rFonts w:ascii="Arial" w:cs="Arial" w:eastAsia="Arial" w:hAnsi="Arial"/>
          <w:sz w:val="16"/>
          <w:szCs w:val="16"/>
          <w:color w:val="0E1020"/>
        </w:rPr>
        <w:t>Our Board believes that these practices, together with the Board's annual evaluation process and the Board retirement policy based on an age limit of 72, are important factors in the Board's refreshment efforts. The Board strikes a balance between long-serving members with deep knowledge of our business and newer members who bring fresh skills, experience, and valuable perspectives. The average tenure of our director nominees is 5.5 years.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0E1020"/>
        </w:rPr>
        <w:t>The Company reports demographic information on an aggregate basis only. All diversity data is based on voluntary self-identification by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198755</wp:posOffset>
            </wp:positionV>
            <wp:extent cx="5669280" cy="22644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69280" cy="226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556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7</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15" w:name="page16"/>
    <w:bookmarkEnd w:id="15"/>
    <w:p>
      <w:pPr>
        <w:ind w:left="20"/>
        <w:spacing w:after="0"/>
        <w:tabs>
          <w:tab w:leader="none" w:pos="10100" w:val="left"/>
        </w:tabs>
        <w:rPr>
          <w:sz w:val="20"/>
          <w:szCs w:val="20"/>
          <w:color w:val="auto"/>
        </w:rPr>
      </w:pPr>
      <w:r>
        <w:rPr>
          <w:rFonts w:ascii="Arial" w:cs="Arial" w:eastAsia="Arial" w:hAnsi="Arial"/>
          <w:sz w:val="14"/>
          <w:szCs w:val="14"/>
          <w:color w:val="auto"/>
        </w:rPr>
        <w:t>Proposal 1</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2026 Director Nominees Biographies</w:t>
      </w:r>
    </w:p>
    <w:p>
      <w:pPr>
        <w:spacing w:after="0" w:line="148" w:lineRule="exact"/>
        <w:rPr>
          <w:sz w:val="20"/>
          <w:szCs w:val="20"/>
          <w:color w:val="auto"/>
        </w:rPr>
      </w:pPr>
    </w:p>
    <w:p>
      <w:pPr>
        <w:ind w:right="200"/>
        <w:spacing w:after="0" w:line="316" w:lineRule="auto"/>
        <w:rPr>
          <w:sz w:val="20"/>
          <w:szCs w:val="20"/>
          <w:color w:val="auto"/>
        </w:rPr>
      </w:pPr>
      <w:r>
        <w:rPr>
          <w:rFonts w:ascii="Arial" w:cs="Arial" w:eastAsia="Arial" w:hAnsi="Arial"/>
          <w:sz w:val="16"/>
          <w:szCs w:val="16"/>
          <w:color w:val="0E1020"/>
        </w:rPr>
        <w:t>The biographies of each of the nominees below contains information as of the date of this Proxy Statement regarding the person’s service as a director, director positions held currently or at any time during the last five years, and skills, experience and qualifications that led to the conclusion that such person should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211455</wp:posOffset>
            </wp:positionV>
            <wp:extent cx="1302385" cy="13023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02385" cy="130238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4AAC"/>
        </w:rPr>
        <w:t>DXC Committees:</w:t>
      </w:r>
    </w:p>
    <w:p>
      <w:pPr>
        <w:spacing w:after="0" w:line="124" w:lineRule="exact"/>
        <w:rPr>
          <w:sz w:val="20"/>
          <w:szCs w:val="20"/>
          <w:color w:val="auto"/>
        </w:rPr>
      </w:pPr>
    </w:p>
    <w:p>
      <w:pPr>
        <w:ind w:left="320" w:hanging="134"/>
        <w:spacing w:after="0"/>
        <w:tabs>
          <w:tab w:leader="none" w:pos="320" w:val="left"/>
        </w:tabs>
        <w:numPr>
          <w:ilvl w:val="0"/>
          <w:numId w:val="8"/>
        </w:numPr>
        <w:rPr>
          <w:rFonts w:ascii="Arial" w:cs="Arial" w:eastAsia="Arial" w:hAnsi="Arial"/>
          <w:sz w:val="14"/>
          <w:szCs w:val="14"/>
          <w:color w:val="0E1020"/>
        </w:rPr>
      </w:pPr>
      <w:r>
        <w:rPr>
          <w:rFonts w:ascii="Arial" w:cs="Arial" w:eastAsia="Arial" w:hAnsi="Arial"/>
          <w:sz w:val="14"/>
          <w:szCs w:val="14"/>
          <w:color w:val="0E1020"/>
        </w:rPr>
        <w:t>Audit</w:t>
      </w:r>
    </w:p>
    <w:p>
      <w:pPr>
        <w:spacing w:after="0" w:line="40" w:lineRule="exact"/>
        <w:rPr>
          <w:rFonts w:ascii="Arial" w:cs="Arial" w:eastAsia="Arial" w:hAnsi="Arial"/>
          <w:sz w:val="14"/>
          <w:szCs w:val="14"/>
          <w:color w:val="0E1020"/>
        </w:rPr>
      </w:pPr>
    </w:p>
    <w:p>
      <w:pPr>
        <w:ind w:left="340" w:hanging="154"/>
        <w:spacing w:after="0" w:line="341" w:lineRule="auto"/>
        <w:tabs>
          <w:tab w:leader="none" w:pos="309" w:val="left"/>
        </w:tabs>
        <w:numPr>
          <w:ilvl w:val="0"/>
          <w:numId w:val="8"/>
        </w:numPr>
        <w:rPr>
          <w:rFonts w:ascii="Arial" w:cs="Arial" w:eastAsia="Arial" w:hAnsi="Arial"/>
          <w:sz w:val="14"/>
          <w:szCs w:val="14"/>
          <w:color w:val="0E1020"/>
        </w:rPr>
      </w:pPr>
      <w:r>
        <w:rPr>
          <w:rFonts w:ascii="Arial" w:cs="Arial" w:eastAsia="Arial" w:hAnsi="Arial"/>
          <w:sz w:val="14"/>
          <w:szCs w:val="14"/>
          <w:color w:val="0E1020"/>
        </w:rPr>
        <w:t>Nominating/Corporate Governance (chair)</w:t>
      </w:r>
    </w:p>
    <w:p>
      <w:pPr>
        <w:spacing w:after="0" w:line="96" w:lineRule="exact"/>
        <w:rPr>
          <w:sz w:val="20"/>
          <w:szCs w:val="20"/>
          <w:color w:val="auto"/>
        </w:rPr>
      </w:pPr>
    </w:p>
    <w:p>
      <w:pPr>
        <w:ind w:left="180" w:right="820"/>
        <w:spacing w:after="0" w:line="325" w:lineRule="auto"/>
        <w:rPr>
          <w:sz w:val="20"/>
          <w:szCs w:val="20"/>
          <w:color w:val="auto"/>
        </w:rPr>
      </w:pPr>
      <w:r>
        <w:rPr>
          <w:rFonts w:ascii="Arial" w:cs="Arial" w:eastAsia="Arial" w:hAnsi="Arial"/>
          <w:sz w:val="17"/>
          <w:szCs w:val="17"/>
          <w:b w:val="1"/>
          <w:bCs w:val="1"/>
          <w:color w:val="004AAC"/>
        </w:rPr>
        <w:t>Other Public Company Boards:</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E1020"/>
        </w:rPr>
        <w:t>Former (Past Five Years):</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4"/>
          <w:szCs w:val="14"/>
          <w:color w:val="0E1020"/>
        </w:rPr>
        <w:t>• Hertz Global Holdings,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E1020"/>
        </w:rPr>
        <w:t>DAVID A. BARNES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 xml:space="preserve">Age: </w:t>
      </w:r>
      <w:r>
        <w:rPr>
          <w:rFonts w:ascii="Arial" w:cs="Arial" w:eastAsia="Arial" w:hAnsi="Arial"/>
          <w:sz w:val="18"/>
          <w:szCs w:val="18"/>
          <w:color w:val="0E1020"/>
        </w:rPr>
        <w:t>70 |</w:t>
      </w:r>
      <w:r>
        <w:rPr>
          <w:rFonts w:ascii="Arial" w:cs="Arial" w:eastAsia="Arial" w:hAnsi="Arial"/>
          <w:sz w:val="18"/>
          <w:szCs w:val="18"/>
          <w:b w:val="1"/>
          <w:bCs w:val="1"/>
          <w:color w:val="0E1020"/>
        </w:rPr>
        <w:t xml:space="preserve"> Director Since: </w:t>
      </w:r>
      <w:r>
        <w:rPr>
          <w:rFonts w:ascii="Arial" w:cs="Arial" w:eastAsia="Arial" w:hAnsi="Arial"/>
          <w:sz w:val="18"/>
          <w:szCs w:val="18"/>
          <w:color w:val="0E1020"/>
        </w:rPr>
        <w:t>2020</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004AAC"/>
        </w:rPr>
        <w:t>Career Highlights</w:t>
      </w:r>
    </w:p>
    <w:p>
      <w:pPr>
        <w:spacing w:after="0" w:line="111" w:lineRule="exact"/>
        <w:rPr>
          <w:sz w:val="20"/>
          <w:szCs w:val="20"/>
          <w:color w:val="auto"/>
        </w:rPr>
      </w:pPr>
    </w:p>
    <w:p>
      <w:pPr>
        <w:ind w:right="20"/>
        <w:spacing w:after="0" w:line="304" w:lineRule="auto"/>
        <w:rPr>
          <w:sz w:val="20"/>
          <w:szCs w:val="20"/>
          <w:color w:val="auto"/>
        </w:rPr>
      </w:pPr>
      <w:r>
        <w:rPr>
          <w:rFonts w:ascii="Arial" w:cs="Arial" w:eastAsia="Arial" w:hAnsi="Arial"/>
          <w:sz w:val="14"/>
          <w:szCs w:val="14"/>
          <w:color w:val="0E1020"/>
        </w:rPr>
        <w:t>Mr. Barnes has served as a member of our Board since August 13, 2020. He is the former Senior Vice President, Chief Information and Global Business Services Officer of United Parcel Service, Inc. (UPS), a role he held from 2011 to 2016. From 2005 to 2011, Mr. Barnes served as Senior Vice President and Chief Information Officer for UPS. In his role as Chief Information Officer of UPS and a member of the UPS Management Committee, he was responsible for all aspects of UPS technology utilized in over 220 countries and territories. He also chaired the UPS Information Technology Governance Committee responsible for global technology strategy, architecture, mobility, hardware design, and research and development. In addition, he was responsible for information security, served as Co-Chair of the Enterprise Risk Committee, and was a member of the UPS Corporate Strategy and the Finance Committees. Prior to serving as a member of the UPS Management Committee, he held a number of key leadership positions throughout his 39-year career at UPS in areas including technology development, operations, UPS airline, international custom house brokerage, mergers and acquisitions, and finance.</w:t>
      </w:r>
    </w:p>
    <w:p>
      <w:pPr>
        <w:spacing w:after="0" w:line="52" w:lineRule="exact"/>
        <w:rPr>
          <w:sz w:val="20"/>
          <w:szCs w:val="20"/>
          <w:color w:val="auto"/>
        </w:rPr>
      </w:pPr>
    </w:p>
    <w:p>
      <w:pPr>
        <w:spacing w:after="0" w:line="306" w:lineRule="auto"/>
        <w:rPr>
          <w:sz w:val="20"/>
          <w:szCs w:val="20"/>
          <w:color w:val="auto"/>
        </w:rPr>
      </w:pPr>
      <w:r>
        <w:rPr>
          <w:rFonts w:ascii="Arial" w:cs="Arial" w:eastAsia="Arial" w:hAnsi="Arial"/>
          <w:sz w:val="14"/>
          <w:szCs w:val="14"/>
          <w:color w:val="0E1020"/>
        </w:rPr>
        <w:t>Mr. Barnes has also served as Senior Advisor for Bridge Growth Partners LLC (Bridge Growth), a private equity fund, since 2016, and in this capacity has served as a member of the board of directors for several privately held companies in Bridge Growth's technology investment portfolio. He also served as a director of Hertz Global Holdings, Inc. from May 2016 to August 2021; Ingram Micro Inc., a global technology and supply chain service provider, from June 2014 to December 2016, where he was a member of the Audit Committee and chair of the Technology Committee; Solace Corporation, a real-time data and AI Agent Mesh software company, from June 2016 to December 2023, where he served on the Audit Committee; and Syniti, a software and data services company, from 2017 to December 2024, where he served on the Audit and Technology Committees.</w:t>
      </w:r>
    </w:p>
    <w:p>
      <w:pPr>
        <w:spacing w:after="0" w:line="122" w:lineRule="exact"/>
        <w:rPr>
          <w:sz w:val="20"/>
          <w:szCs w:val="20"/>
          <w:color w:val="auto"/>
        </w:rPr>
      </w:pPr>
    </w:p>
    <w:p>
      <w:pPr>
        <w:sectPr>
          <w:pgSz w:w="11900" w:h="16838" w:orient="portrait"/>
          <w:cols w:equalWidth="0" w:num="2">
            <w:col w:w="2540" w:space="520"/>
            <w:col w:w="8160"/>
          </w:cols>
          <w:pgMar w:left="320" w:top="224" w:right="359" w:bottom="1440" w:gutter="0" w:footer="0" w:header="0"/>
          <w:type w:val="continuous"/>
        </w:sectPr>
      </w:pPr>
    </w:p>
    <w:p>
      <w:pPr>
        <w:ind w:left="3060"/>
        <w:spacing w:after="0"/>
        <w:rPr>
          <w:sz w:val="20"/>
          <w:szCs w:val="20"/>
          <w:color w:val="auto"/>
        </w:rPr>
      </w:pPr>
      <w:r>
        <w:rPr>
          <w:rFonts w:ascii="Arial" w:cs="Arial" w:eastAsia="Arial" w:hAnsi="Arial"/>
          <w:sz w:val="18"/>
          <w:szCs w:val="18"/>
          <w:b w:val="1"/>
          <w:bCs w:val="1"/>
          <w:color w:val="004AAC"/>
        </w:rPr>
        <w:t>Key Skills and Experience</w:t>
      </w:r>
    </w:p>
    <w:p>
      <w:pPr>
        <w:spacing w:after="0" w:line="124" w:lineRule="exact"/>
        <w:rPr>
          <w:sz w:val="20"/>
          <w:szCs w:val="20"/>
          <w:color w:val="auto"/>
        </w:rPr>
      </w:pPr>
    </w:p>
    <w:p>
      <w:pPr>
        <w:ind w:left="3060" w:right="100"/>
        <w:spacing w:after="0" w:line="305" w:lineRule="auto"/>
        <w:rPr>
          <w:sz w:val="20"/>
          <w:szCs w:val="20"/>
          <w:color w:val="auto"/>
        </w:rPr>
      </w:pPr>
      <w:r>
        <w:rPr>
          <w:rFonts w:ascii="Arial" w:cs="Arial" w:eastAsia="Arial" w:hAnsi="Arial"/>
          <w:sz w:val="14"/>
          <w:szCs w:val="14"/>
          <w:color w:val="0E1020"/>
        </w:rPr>
        <w:t>Mr. Barnes brings to the DXC Board of Directors deep cybersecurity expertise and board-level cybersecurity and AI oversight; extensive technology and innovation leadership, including global technology strategy, architecture, R&amp;D, and emerging technology; global operations experience spanning technology, international brokerage, mergers and acquisitions, and finance across multiple regions; audit and financial expertise; industry experience; experience with environmental sustainability, climate-related risks, and related regulatory and reporting frameworks; and extensive experience with corporate and board governance.</w:t>
      </w:r>
    </w:p>
    <w:p>
      <w:pPr>
        <w:sectPr>
          <w:pgSz w:w="11900" w:h="16838" w:orient="portrait"/>
          <w:cols w:equalWidth="0" w:num="1">
            <w:col w:w="11220"/>
          </w:cols>
          <w:pgMar w:left="320" w:top="22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556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8</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388620</wp:posOffset>
            </wp:positionV>
            <wp:extent cx="1302385" cy="13023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02385" cy="1302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0" w:right="620"/>
        <w:spacing w:after="0" w:line="318" w:lineRule="auto"/>
        <w:rPr>
          <w:sz w:val="20"/>
          <w:szCs w:val="20"/>
          <w:color w:val="auto"/>
        </w:rPr>
      </w:pPr>
      <w:r>
        <w:rPr>
          <w:rFonts w:ascii="Arial" w:cs="Arial" w:eastAsia="Arial" w:hAnsi="Arial"/>
          <w:sz w:val="17"/>
          <w:szCs w:val="17"/>
          <w:b w:val="1"/>
          <w:bCs w:val="1"/>
          <w:color w:val="004AAC"/>
        </w:rPr>
        <w:t>Other Public Company Boards: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E1020"/>
        </w:rPr>
        <w:t>Former (Past Five Years):</w:t>
      </w:r>
    </w:p>
    <w:p>
      <w:pPr>
        <w:spacing w:after="0" w:line="80" w:lineRule="exact"/>
        <w:rPr>
          <w:sz w:val="20"/>
          <w:szCs w:val="20"/>
          <w:color w:val="auto"/>
        </w:rPr>
      </w:pPr>
    </w:p>
    <w:p>
      <w:pPr>
        <w:ind w:left="300" w:hanging="134"/>
        <w:spacing w:after="0"/>
        <w:tabs>
          <w:tab w:leader="none" w:pos="300" w:val="left"/>
        </w:tabs>
        <w:numPr>
          <w:ilvl w:val="0"/>
          <w:numId w:val="9"/>
        </w:numPr>
        <w:rPr>
          <w:rFonts w:ascii="Arial" w:cs="Arial" w:eastAsia="Arial" w:hAnsi="Arial"/>
          <w:sz w:val="14"/>
          <w:szCs w:val="14"/>
          <w:color w:val="0E1020"/>
        </w:rPr>
      </w:pPr>
      <w:r>
        <w:rPr>
          <w:rFonts w:ascii="Arial" w:cs="Arial" w:eastAsia="Arial" w:hAnsi="Arial"/>
          <w:sz w:val="14"/>
          <w:szCs w:val="14"/>
          <w:color w:val="0E1020"/>
        </w:rPr>
        <w:t>Broadcom, Inc.</w:t>
      </w:r>
    </w:p>
    <w:p>
      <w:pPr>
        <w:spacing w:after="0" w:line="40" w:lineRule="exact"/>
        <w:rPr>
          <w:rFonts w:ascii="Arial" w:cs="Arial" w:eastAsia="Arial" w:hAnsi="Arial"/>
          <w:sz w:val="14"/>
          <w:szCs w:val="14"/>
          <w:color w:val="0E1020"/>
        </w:rPr>
      </w:pPr>
    </w:p>
    <w:p>
      <w:pPr>
        <w:ind w:left="300" w:hanging="134"/>
        <w:spacing w:after="0"/>
        <w:tabs>
          <w:tab w:leader="none" w:pos="300" w:val="left"/>
        </w:tabs>
        <w:numPr>
          <w:ilvl w:val="0"/>
          <w:numId w:val="9"/>
        </w:numPr>
        <w:rPr>
          <w:rFonts w:ascii="Arial" w:cs="Arial" w:eastAsia="Arial" w:hAnsi="Arial"/>
          <w:sz w:val="14"/>
          <w:szCs w:val="14"/>
          <w:color w:val="0E1020"/>
        </w:rPr>
      </w:pPr>
      <w:r>
        <w:rPr>
          <w:rFonts w:ascii="Arial" w:cs="Arial" w:eastAsia="Arial" w:hAnsi="Arial"/>
          <w:sz w:val="14"/>
          <w:szCs w:val="14"/>
          <w:color w:val="0E1020"/>
        </w:rPr>
        <w:t>GameStop Corp.</w:t>
      </w:r>
    </w:p>
    <w:p>
      <w:pPr>
        <w:spacing w:after="0" w:line="40" w:lineRule="exact"/>
        <w:rPr>
          <w:rFonts w:ascii="Arial" w:cs="Arial" w:eastAsia="Arial" w:hAnsi="Arial"/>
          <w:sz w:val="14"/>
          <w:szCs w:val="14"/>
          <w:color w:val="0E1020"/>
        </w:rPr>
      </w:pPr>
    </w:p>
    <w:p>
      <w:pPr>
        <w:ind w:left="300" w:hanging="134"/>
        <w:spacing w:after="0"/>
        <w:tabs>
          <w:tab w:leader="none" w:pos="300" w:val="left"/>
        </w:tabs>
        <w:numPr>
          <w:ilvl w:val="0"/>
          <w:numId w:val="9"/>
        </w:numPr>
        <w:rPr>
          <w:rFonts w:ascii="Arial" w:cs="Arial" w:eastAsia="Arial" w:hAnsi="Arial"/>
          <w:sz w:val="14"/>
          <w:szCs w:val="14"/>
          <w:color w:val="0E1020"/>
        </w:rPr>
      </w:pPr>
      <w:r>
        <w:rPr>
          <w:rFonts w:ascii="Arial" w:cs="Arial" w:eastAsia="Arial" w:hAnsi="Arial"/>
          <w:sz w:val="14"/>
          <w:szCs w:val="14"/>
          <w:color w:val="0E1020"/>
        </w:rPr>
        <w:t>Capitol Investment Corp. V</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0E1020"/>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E1020"/>
        </w:rPr>
        <w:t>RAUL J. FERNANDEZ</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 xml:space="preserve">Age: </w:t>
      </w:r>
      <w:r>
        <w:rPr>
          <w:rFonts w:ascii="Arial" w:cs="Arial" w:eastAsia="Arial" w:hAnsi="Arial"/>
          <w:sz w:val="18"/>
          <w:szCs w:val="18"/>
          <w:color w:val="0E1020"/>
        </w:rPr>
        <w:t>59 |</w:t>
      </w:r>
      <w:r>
        <w:rPr>
          <w:rFonts w:ascii="Arial" w:cs="Arial" w:eastAsia="Arial" w:hAnsi="Arial"/>
          <w:sz w:val="18"/>
          <w:szCs w:val="18"/>
          <w:b w:val="1"/>
          <w:bCs w:val="1"/>
          <w:color w:val="0E1020"/>
        </w:rPr>
        <w:t xml:space="preserve"> Director Since: </w:t>
      </w:r>
      <w:r>
        <w:rPr>
          <w:rFonts w:ascii="Arial" w:cs="Arial" w:eastAsia="Arial" w:hAnsi="Arial"/>
          <w:sz w:val="18"/>
          <w:szCs w:val="18"/>
          <w:color w:val="0E1020"/>
        </w:rPr>
        <w:t>2020</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004AAC"/>
        </w:rPr>
        <w:t>Career Highlights</w:t>
      </w:r>
    </w:p>
    <w:p>
      <w:pPr>
        <w:spacing w:after="0" w:line="124" w:lineRule="exact"/>
        <w:rPr>
          <w:sz w:val="20"/>
          <w:szCs w:val="20"/>
          <w:color w:val="auto"/>
        </w:rPr>
      </w:pPr>
    </w:p>
    <w:p>
      <w:pPr>
        <w:ind w:right="220"/>
        <w:spacing w:after="0" w:line="322" w:lineRule="auto"/>
        <w:rPr>
          <w:sz w:val="20"/>
          <w:szCs w:val="20"/>
          <w:color w:val="auto"/>
        </w:rPr>
      </w:pPr>
      <w:r>
        <w:rPr>
          <w:rFonts w:ascii="Arial" w:cs="Arial" w:eastAsia="Arial" w:hAnsi="Arial"/>
          <w:sz w:val="14"/>
          <w:szCs w:val="14"/>
          <w:color w:val="0E1020"/>
        </w:rPr>
        <w:t>Mr. Fernandez has served as DXC’s President and CEO since February 1, 2024, after serving from December 2023 as DXC’s Interim President and CEO. He has served as a member of our Board of Directors since August 2020.</w:t>
      </w:r>
    </w:p>
    <w:p>
      <w:pPr>
        <w:spacing w:after="0" w:line="51" w:lineRule="exact"/>
        <w:rPr>
          <w:sz w:val="20"/>
          <w:szCs w:val="20"/>
          <w:color w:val="auto"/>
        </w:rPr>
      </w:pPr>
    </w:p>
    <w:p>
      <w:pPr>
        <w:ind w:right="60"/>
        <w:spacing w:after="0" w:line="301" w:lineRule="auto"/>
        <w:rPr>
          <w:sz w:val="20"/>
          <w:szCs w:val="20"/>
          <w:color w:val="auto"/>
        </w:rPr>
      </w:pPr>
      <w:r>
        <w:rPr>
          <w:rFonts w:ascii="Arial" w:cs="Arial" w:eastAsia="Arial" w:hAnsi="Arial"/>
          <w:sz w:val="14"/>
          <w:szCs w:val="14"/>
          <w:color w:val="0E1020"/>
        </w:rPr>
        <w:t>Mr. Fernandez brings more than three decades of executive experience scaling innovative and rapidly growing technology companies. He was the founder of Proxicom (NASDAQ: PXCM), which under his leadership evolved into a prominent early global provider of e-commerce solutions for Fortune 500 companies. Mr. Fernandez guided the growth of Proxicom from its launch in 1991 to public listing in 1999, after which Proxicom was acquired by Dimension Data (LSE: DDT). From 2000 to 2002, he served as Chief Executive Officer for Dimension Data North America, an information systems integration company, and in 2001 as a director of its parent company, Dimension Data Holdings Plc. He also served as Chairman and CEO for ObjectVideo, a leading developer of intelligent video surveillance software, which was sold to Alarm.com (NASDAQ: ALRM) in 2017. Mr. Fernandez was also a member of President George W. Bush’s Council of Advisors on Science and Technology. He is Vice Chairman and co-owner of Monumental Sports &amp; Entertainment, a private partnership which owns some of Washington, D.C.’s major sports franchises. Mr. Fernandez also serves on the Board of Directors of TikTok USDS Joint Venture, where he chairs the Security Committee.</w:t>
      </w:r>
    </w:p>
    <w:p>
      <w:pPr>
        <w:spacing w:after="0" w:line="71" w:lineRule="exact"/>
        <w:rPr>
          <w:sz w:val="20"/>
          <w:szCs w:val="20"/>
          <w:color w:val="auto"/>
        </w:rPr>
      </w:pPr>
    </w:p>
    <w:p>
      <w:pPr>
        <w:jc w:val="both"/>
        <w:ind w:right="100"/>
        <w:spacing w:after="0" w:line="320" w:lineRule="auto"/>
        <w:rPr>
          <w:sz w:val="20"/>
          <w:szCs w:val="20"/>
          <w:color w:val="auto"/>
        </w:rPr>
      </w:pPr>
      <w:r>
        <w:rPr>
          <w:rFonts w:ascii="Arial" w:cs="Arial" w:eastAsia="Arial" w:hAnsi="Arial"/>
          <w:sz w:val="14"/>
          <w:szCs w:val="14"/>
          <w:color w:val="0E1020"/>
        </w:rPr>
        <w:t>Mr. Fernandez has also served on the board of directors of several public companies, including Broadcom from January 2020 to April 2024, GameStop from April 2019 to June 2021, and Kate Spade &amp; Co. from 2000 until its acquisition by Coach, Inc. in July 2017.</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004AAC"/>
        </w:rPr>
        <w:t>Key Skills and Experience</w:t>
      </w:r>
    </w:p>
    <w:p>
      <w:pPr>
        <w:spacing w:after="0" w:line="124" w:lineRule="exact"/>
        <w:rPr>
          <w:sz w:val="20"/>
          <w:szCs w:val="20"/>
          <w:color w:val="auto"/>
        </w:rPr>
      </w:pPr>
    </w:p>
    <w:p>
      <w:pPr>
        <w:ind w:right="60"/>
        <w:spacing w:after="0" w:line="304" w:lineRule="auto"/>
        <w:rPr>
          <w:sz w:val="20"/>
          <w:szCs w:val="20"/>
          <w:color w:val="auto"/>
        </w:rPr>
      </w:pPr>
      <w:r>
        <w:rPr>
          <w:rFonts w:ascii="Arial" w:cs="Arial" w:eastAsia="Arial" w:hAnsi="Arial"/>
          <w:sz w:val="14"/>
          <w:szCs w:val="14"/>
          <w:color w:val="0E1020"/>
        </w:rPr>
        <w:t>Mr. Fernandez brings to the DXC Board of Directors deep knowledge of DXC's business, strategy, and global operations as President and Chief Executive Officer; extensive technology and innovation experience as a career technology entrepreneur and investor; cybersecurity and data governance oversight experience; capital markets experience, including public offerings and private investments; broad public company governance experience, including audit, compensation, and governance committee service across multiple public company boards; human capital management experience through oversight of executive talent strategy and workforce development; and relevant industry expertise in the technology sector.</w:t>
      </w:r>
    </w:p>
    <w:p>
      <w:pPr>
        <w:spacing w:after="0" w:line="200" w:lineRule="exact"/>
        <w:rPr>
          <w:sz w:val="20"/>
          <w:szCs w:val="20"/>
          <w:color w:val="auto"/>
        </w:rPr>
      </w:pPr>
    </w:p>
    <w:p>
      <w:pPr>
        <w:sectPr>
          <w:pgSz w:w="11900" w:h="16838" w:orient="portrait"/>
          <w:cols w:equalWidth="0" w:num="2">
            <w:col w:w="2320" w:space="720"/>
            <w:col w:w="8160"/>
          </w:cols>
          <w:pgMar w:left="340" w:top="22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5540" w:val="left"/>
          <w:tab w:leader="none" w:pos="976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9</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146050</wp:posOffset>
            </wp:positionV>
            <wp:extent cx="71589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224" w:right="3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color w:val="auto"/>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388620</wp:posOffset>
            </wp:positionV>
            <wp:extent cx="1302385" cy="13023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02385" cy="1302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4AAC"/>
        </w:rPr>
        <w:t>DXC Committees:</w:t>
      </w:r>
    </w:p>
    <w:p>
      <w:pPr>
        <w:spacing w:after="0" w:line="111" w:lineRule="exact"/>
        <w:rPr>
          <w:sz w:val="20"/>
          <w:szCs w:val="20"/>
          <w:color w:val="auto"/>
        </w:rPr>
      </w:pPr>
    </w:p>
    <w:p>
      <w:pPr>
        <w:ind w:left="300" w:hanging="134"/>
        <w:spacing w:after="0"/>
        <w:tabs>
          <w:tab w:leader="none" w:pos="300" w:val="left"/>
        </w:tabs>
        <w:numPr>
          <w:ilvl w:val="0"/>
          <w:numId w:val="10"/>
        </w:numPr>
        <w:rPr>
          <w:rFonts w:ascii="Arial" w:cs="Arial" w:eastAsia="Arial" w:hAnsi="Arial"/>
          <w:sz w:val="14"/>
          <w:szCs w:val="14"/>
          <w:color w:val="0E1020"/>
        </w:rPr>
      </w:pPr>
      <w:r>
        <w:rPr>
          <w:rFonts w:ascii="Arial" w:cs="Arial" w:eastAsia="Arial" w:hAnsi="Arial"/>
          <w:sz w:val="14"/>
          <w:szCs w:val="14"/>
          <w:color w:val="0E1020"/>
        </w:rPr>
        <w:t>Compensation</w:t>
      </w:r>
    </w:p>
    <w:p>
      <w:pPr>
        <w:spacing w:after="0" w:line="40" w:lineRule="exact"/>
        <w:rPr>
          <w:rFonts w:ascii="Arial" w:cs="Arial" w:eastAsia="Arial" w:hAnsi="Arial"/>
          <w:sz w:val="14"/>
          <w:szCs w:val="14"/>
          <w:color w:val="0E1020"/>
        </w:rPr>
      </w:pPr>
    </w:p>
    <w:p>
      <w:pPr>
        <w:ind w:left="300" w:hanging="134"/>
        <w:spacing w:after="0"/>
        <w:tabs>
          <w:tab w:leader="none" w:pos="300" w:val="left"/>
        </w:tabs>
        <w:numPr>
          <w:ilvl w:val="0"/>
          <w:numId w:val="10"/>
        </w:numPr>
        <w:rPr>
          <w:rFonts w:ascii="Arial" w:cs="Arial" w:eastAsia="Arial" w:hAnsi="Arial"/>
          <w:sz w:val="14"/>
          <w:szCs w:val="14"/>
          <w:color w:val="0E1020"/>
        </w:rPr>
      </w:pPr>
      <w:r>
        <w:rPr>
          <w:rFonts w:ascii="Arial" w:cs="Arial" w:eastAsia="Arial" w:hAnsi="Arial"/>
          <w:sz w:val="14"/>
          <w:szCs w:val="14"/>
          <w:color w:val="0E1020"/>
        </w:rPr>
        <w:t>Nominating/Corporate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E1020"/>
        </w:rPr>
        <w:t>ANTHONY GONZALEZ</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 xml:space="preserve">Age: </w:t>
      </w:r>
      <w:r>
        <w:rPr>
          <w:rFonts w:ascii="Arial" w:cs="Arial" w:eastAsia="Arial" w:hAnsi="Arial"/>
          <w:sz w:val="18"/>
          <w:szCs w:val="18"/>
          <w:color w:val="0E1020"/>
        </w:rPr>
        <w:t>41 |</w:t>
      </w:r>
      <w:r>
        <w:rPr>
          <w:rFonts w:ascii="Arial" w:cs="Arial" w:eastAsia="Arial" w:hAnsi="Arial"/>
          <w:sz w:val="18"/>
          <w:szCs w:val="18"/>
          <w:b w:val="1"/>
          <w:bCs w:val="1"/>
          <w:color w:val="0E1020"/>
        </w:rPr>
        <w:t xml:space="preserve"> Director Since: </w:t>
      </w:r>
      <w:r>
        <w:rPr>
          <w:rFonts w:ascii="Arial" w:cs="Arial" w:eastAsia="Arial" w:hAnsi="Arial"/>
          <w:sz w:val="18"/>
          <w:szCs w:val="18"/>
          <w:color w:val="0E1020"/>
        </w:rPr>
        <w:t>2023</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004AAC"/>
        </w:rPr>
        <w:t>Career Highlights</w:t>
      </w:r>
    </w:p>
    <w:p>
      <w:pPr>
        <w:spacing w:after="0" w:line="124" w:lineRule="exact"/>
        <w:rPr>
          <w:sz w:val="20"/>
          <w:szCs w:val="20"/>
          <w:color w:val="auto"/>
        </w:rPr>
      </w:pPr>
    </w:p>
    <w:p>
      <w:pPr>
        <w:ind w:right="120"/>
        <w:spacing w:after="0" w:line="302" w:lineRule="auto"/>
        <w:rPr>
          <w:sz w:val="20"/>
          <w:szCs w:val="20"/>
          <w:color w:val="auto"/>
        </w:rPr>
      </w:pPr>
      <w:r>
        <w:rPr>
          <w:rFonts w:ascii="Arial" w:cs="Arial" w:eastAsia="Arial" w:hAnsi="Arial"/>
          <w:sz w:val="14"/>
          <w:szCs w:val="14"/>
          <w:color w:val="0E1020"/>
        </w:rPr>
        <w:t>Mr. Gonzalez has served as a member of our Board since January 5, 2023. He has served as co-Chief Executive Officer of Cobalt Service Partners since November 2023. He previously served as Executive in Residence for Alpine Investors, a private equity firm, from March 2023 until November 2023. Mr. Gonzalez is a former U.S. Congressman for Ohio's 16th Congressional District in the United States House of Representatives, where he served from 2019 until January 2023. Mr. Gonzalez served on the House Financial Services Committee and the Committee on Science, Space, and Technology. He also served on the House China Task Force and the Select Committee on the Climate Crisis. His legislative areas of focus included capital markets, financial technology, and climate change, while he also served as the Vice Ranking Member of the Diversity and Inclusion Subcommittee on Financial Services.</w:t>
      </w:r>
    </w:p>
    <w:p>
      <w:pPr>
        <w:spacing w:after="0" w:line="68" w:lineRule="exact"/>
        <w:rPr>
          <w:sz w:val="20"/>
          <w:szCs w:val="20"/>
          <w:color w:val="auto"/>
        </w:rPr>
      </w:pPr>
    </w:p>
    <w:p>
      <w:pPr>
        <w:ind w:right="100"/>
        <w:spacing w:after="0" w:line="305" w:lineRule="auto"/>
        <w:rPr>
          <w:sz w:val="20"/>
          <w:szCs w:val="20"/>
          <w:color w:val="auto"/>
        </w:rPr>
      </w:pPr>
      <w:r>
        <w:rPr>
          <w:rFonts w:ascii="Arial" w:cs="Arial" w:eastAsia="Arial" w:hAnsi="Arial"/>
          <w:sz w:val="14"/>
          <w:szCs w:val="14"/>
          <w:color w:val="0E1020"/>
        </w:rPr>
        <w:t>A graduate of The Ohio State University and Stanford University’s Graduate School of Business, Mr. Gonzalez played five seasons in the National Football League as a first-round draft pick of the Indianapolis Colts. After earning his MBA in 2014, he served in a business development role at Beneco, Inc. before joining InformedK12 (formerly Chalk Schools) in July 2015, where he served as Chief Operating Officer and led all commercial and business functions for the company until June 2017, helping to triple the size of the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AAC"/>
        </w:rPr>
        <w:t>Key Skills and Experience</w:t>
      </w:r>
    </w:p>
    <w:p>
      <w:pPr>
        <w:spacing w:after="0" w:line="124" w:lineRule="exact"/>
        <w:rPr>
          <w:sz w:val="20"/>
          <w:szCs w:val="20"/>
          <w:color w:val="auto"/>
        </w:rPr>
      </w:pPr>
    </w:p>
    <w:p>
      <w:pPr>
        <w:spacing w:after="0" w:line="313" w:lineRule="auto"/>
        <w:rPr>
          <w:sz w:val="20"/>
          <w:szCs w:val="20"/>
          <w:color w:val="auto"/>
        </w:rPr>
      </w:pPr>
      <w:r>
        <w:rPr>
          <w:rFonts w:ascii="Arial" w:cs="Arial" w:eastAsia="Arial" w:hAnsi="Arial"/>
          <w:sz w:val="14"/>
          <w:szCs w:val="14"/>
          <w:color w:val="0E1020"/>
        </w:rPr>
        <w:t>Mr. Gonzalez brings to the DXC Board of Directors broad leadership and management experience; direct government, regulatory, and public policy experience, including experience with environmental sustainability, corporate responsibility, and climate-related matters; capital markets expertise; technology and innovation perspective; operational leadership and financial expertise; and human capital management perspective.</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0E1020"/>
        </w:rPr>
        <w:t>*Expected to be effective immediately after the Annual Meeting until the 2027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2480"/>
        <w:spacing w:after="0"/>
        <w:tabs>
          <w:tab w:leader="none" w:pos="6420" w:val="left"/>
        </w:tabs>
        <w:rPr>
          <w:sz w:val="20"/>
          <w:szCs w:val="20"/>
          <w:color w:val="auto"/>
        </w:rPr>
      </w:pPr>
      <w:r>
        <w:rPr>
          <w:rFonts w:ascii="Arial" w:cs="Arial" w:eastAsia="Arial" w:hAnsi="Arial"/>
          <w:sz w:val="14"/>
          <w:szCs w:val="14"/>
          <w:color w:val="0E1020"/>
        </w:rPr>
        <w:t>10</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146050</wp:posOffset>
            </wp:positionV>
            <wp:extent cx="71589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2">
            <w:col w:w="2560" w:space="480"/>
            <w:col w:w="8160"/>
          </w:cols>
          <w:pgMar w:left="340" w:top="224" w:right="359" w:bottom="1440" w:gutter="0" w:footer="0" w:header="0"/>
        </w:sectPr>
      </w:pPr>
    </w:p>
    <w:bookmarkStart w:id="18" w:name="page19"/>
    <w:bookmarkEnd w:id="18"/>
    <w:p>
      <w:pPr>
        <w:spacing w:after="0"/>
        <w:tabs>
          <w:tab w:leader="none" w:pos="1050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0E1020"/>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388620</wp:posOffset>
            </wp:positionV>
            <wp:extent cx="1302385" cy="13023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02385" cy="1302385"/>
                    </a:xfrm>
                    <a:prstGeom prst="rect">
                      <a:avLst/>
                    </a:prstGeom>
                    <a:noFill/>
                  </pic:spPr>
                </pic:pic>
              </a:graphicData>
            </a:graphic>
          </wp:anchor>
        </w:drawing>
      </w:r>
    </w:p>
    <w:p>
      <w:pPr>
        <w:sectPr>
          <w:pgSz w:w="11900" w:h="16838" w:orient="portrait"/>
          <w:cols w:equalWidth="0" w:num="1">
            <w:col w:w="11200"/>
          </w:cols>
          <w:pgMar w:left="340" w:top="22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4AAC"/>
        </w:rPr>
        <w:t>DXC Committees:</w:t>
      </w:r>
    </w:p>
    <w:p>
      <w:pPr>
        <w:spacing w:after="0" w:line="111" w:lineRule="exact"/>
        <w:rPr>
          <w:sz w:val="20"/>
          <w:szCs w:val="20"/>
          <w:color w:val="auto"/>
        </w:rPr>
      </w:pPr>
    </w:p>
    <w:p>
      <w:pPr>
        <w:ind w:left="300" w:hanging="134"/>
        <w:spacing w:after="0"/>
        <w:tabs>
          <w:tab w:leader="none" w:pos="300" w:val="left"/>
        </w:tabs>
        <w:numPr>
          <w:ilvl w:val="0"/>
          <w:numId w:val="11"/>
        </w:numPr>
        <w:rPr>
          <w:rFonts w:ascii="Arial" w:cs="Arial" w:eastAsia="Arial" w:hAnsi="Arial"/>
          <w:sz w:val="14"/>
          <w:szCs w:val="14"/>
          <w:color w:val="0E1020"/>
        </w:rPr>
      </w:pPr>
      <w:r>
        <w:rPr>
          <w:rFonts w:ascii="Arial" w:cs="Arial" w:eastAsia="Arial" w:hAnsi="Arial"/>
          <w:sz w:val="14"/>
          <w:szCs w:val="14"/>
          <w:color w:val="0E1020"/>
        </w:rPr>
        <w:t>Audit</w:t>
      </w:r>
    </w:p>
    <w:p>
      <w:pPr>
        <w:spacing w:after="0" w:line="40" w:lineRule="exact"/>
        <w:rPr>
          <w:rFonts w:ascii="Arial" w:cs="Arial" w:eastAsia="Arial" w:hAnsi="Arial"/>
          <w:sz w:val="14"/>
          <w:szCs w:val="14"/>
          <w:color w:val="0E1020"/>
        </w:rPr>
      </w:pPr>
    </w:p>
    <w:p>
      <w:pPr>
        <w:ind w:left="300" w:hanging="134"/>
        <w:spacing w:after="0"/>
        <w:tabs>
          <w:tab w:leader="none" w:pos="300" w:val="left"/>
        </w:tabs>
        <w:numPr>
          <w:ilvl w:val="0"/>
          <w:numId w:val="11"/>
        </w:numPr>
        <w:rPr>
          <w:rFonts w:ascii="Arial" w:cs="Arial" w:eastAsia="Arial" w:hAnsi="Arial"/>
          <w:sz w:val="14"/>
          <w:szCs w:val="14"/>
          <w:color w:val="0E1020"/>
        </w:rPr>
      </w:pPr>
      <w:r>
        <w:rPr>
          <w:rFonts w:ascii="Arial" w:cs="Arial" w:eastAsia="Arial" w:hAnsi="Arial"/>
          <w:sz w:val="14"/>
          <w:szCs w:val="14"/>
          <w:color w:val="0E1020"/>
        </w:rPr>
        <w:t>Compensation</w:t>
      </w:r>
    </w:p>
    <w:p>
      <w:pPr>
        <w:spacing w:after="0" w:line="40" w:lineRule="exact"/>
        <w:rPr>
          <w:rFonts w:ascii="Arial" w:cs="Arial" w:eastAsia="Arial" w:hAnsi="Arial"/>
          <w:sz w:val="14"/>
          <w:szCs w:val="14"/>
          <w:color w:val="0E1020"/>
        </w:rPr>
      </w:pPr>
    </w:p>
    <w:p>
      <w:pPr>
        <w:ind w:left="300" w:hanging="134"/>
        <w:spacing w:after="0"/>
        <w:tabs>
          <w:tab w:leader="none" w:pos="300" w:val="left"/>
        </w:tabs>
        <w:numPr>
          <w:ilvl w:val="0"/>
          <w:numId w:val="11"/>
        </w:numPr>
        <w:rPr>
          <w:rFonts w:ascii="Arial" w:cs="Arial" w:eastAsia="Arial" w:hAnsi="Arial"/>
          <w:sz w:val="14"/>
          <w:szCs w:val="14"/>
          <w:color w:val="0E1020"/>
        </w:rPr>
      </w:pPr>
      <w:r>
        <w:rPr>
          <w:rFonts w:ascii="Arial" w:cs="Arial" w:eastAsia="Arial" w:hAnsi="Arial"/>
          <w:sz w:val="14"/>
          <w:szCs w:val="14"/>
          <w:color w:val="0E1020"/>
        </w:rPr>
        <w:t>Nominating/Corporate Governance</w:t>
      </w:r>
    </w:p>
    <w:p>
      <w:pPr>
        <w:spacing w:after="0" w:line="191" w:lineRule="exact"/>
        <w:rPr>
          <w:sz w:val="20"/>
          <w:szCs w:val="20"/>
          <w:color w:val="auto"/>
        </w:rPr>
      </w:pPr>
    </w:p>
    <w:p>
      <w:pPr>
        <w:ind w:left="160" w:right="820"/>
        <w:spacing w:after="0" w:line="325" w:lineRule="auto"/>
        <w:rPr>
          <w:sz w:val="20"/>
          <w:szCs w:val="20"/>
          <w:color w:val="auto"/>
        </w:rPr>
      </w:pPr>
      <w:r>
        <w:rPr>
          <w:rFonts w:ascii="Arial" w:cs="Arial" w:eastAsia="Arial" w:hAnsi="Arial"/>
          <w:sz w:val="17"/>
          <w:szCs w:val="17"/>
          <w:b w:val="1"/>
          <w:bCs w:val="1"/>
          <w:color w:val="004AAC"/>
        </w:rPr>
        <w:t>Other Public Company Boards:</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E1020"/>
        </w:rPr>
        <w:t>Current:</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4"/>
          <w:szCs w:val="14"/>
          <w:color w:val="0E1020"/>
        </w:rPr>
        <w:t>• Aegon Ltd. (Bermuda)</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E1020"/>
        </w:rPr>
        <w:t>Former (Past Five Years):</w:t>
      </w:r>
    </w:p>
    <w:p>
      <w:pPr>
        <w:spacing w:after="0" w:line="80" w:lineRule="exact"/>
        <w:rPr>
          <w:sz w:val="20"/>
          <w:szCs w:val="20"/>
          <w:color w:val="auto"/>
        </w:rPr>
      </w:pPr>
    </w:p>
    <w:p>
      <w:pPr>
        <w:ind w:left="300" w:hanging="134"/>
        <w:spacing w:after="0"/>
        <w:tabs>
          <w:tab w:leader="none" w:pos="300" w:val="left"/>
        </w:tabs>
        <w:numPr>
          <w:ilvl w:val="0"/>
          <w:numId w:val="12"/>
        </w:numPr>
        <w:rPr>
          <w:rFonts w:ascii="Arial" w:cs="Arial" w:eastAsia="Arial" w:hAnsi="Arial"/>
          <w:sz w:val="14"/>
          <w:szCs w:val="14"/>
          <w:color w:val="0E1020"/>
        </w:rPr>
      </w:pPr>
      <w:r>
        <w:rPr>
          <w:rFonts w:ascii="Arial" w:cs="Arial" w:eastAsia="Arial" w:hAnsi="Arial"/>
          <w:sz w:val="14"/>
          <w:szCs w:val="14"/>
          <w:color w:val="0E1020"/>
        </w:rPr>
        <w:t>Metlife, Inc.</w:t>
      </w:r>
    </w:p>
    <w:p>
      <w:pPr>
        <w:spacing w:after="0" w:line="40" w:lineRule="exact"/>
        <w:rPr>
          <w:rFonts w:ascii="Arial" w:cs="Arial" w:eastAsia="Arial" w:hAnsi="Arial"/>
          <w:sz w:val="14"/>
          <w:szCs w:val="14"/>
          <w:color w:val="0E1020"/>
        </w:rPr>
      </w:pPr>
    </w:p>
    <w:p>
      <w:pPr>
        <w:ind w:left="300" w:hanging="134"/>
        <w:spacing w:after="0"/>
        <w:tabs>
          <w:tab w:leader="none" w:pos="300" w:val="left"/>
        </w:tabs>
        <w:numPr>
          <w:ilvl w:val="0"/>
          <w:numId w:val="12"/>
        </w:numPr>
        <w:rPr>
          <w:rFonts w:ascii="Arial" w:cs="Arial" w:eastAsia="Arial" w:hAnsi="Arial"/>
          <w:sz w:val="14"/>
          <w:szCs w:val="14"/>
          <w:color w:val="0E1020"/>
        </w:rPr>
      </w:pPr>
      <w:r>
        <w:rPr>
          <w:rFonts w:ascii="Arial" w:cs="Arial" w:eastAsia="Arial" w:hAnsi="Arial"/>
          <w:sz w:val="14"/>
          <w:szCs w:val="14"/>
          <w:color w:val="0E1020"/>
        </w:rPr>
        <w:t>Ambac Financial Group, Inc</w:t>
      </w:r>
    </w:p>
    <w:p>
      <w:pPr>
        <w:spacing w:after="0" w:line="40" w:lineRule="exact"/>
        <w:rPr>
          <w:rFonts w:ascii="Arial" w:cs="Arial" w:eastAsia="Arial" w:hAnsi="Arial"/>
          <w:sz w:val="14"/>
          <w:szCs w:val="14"/>
          <w:color w:val="0E1020"/>
        </w:rPr>
      </w:pPr>
    </w:p>
    <w:p>
      <w:pPr>
        <w:ind w:left="300" w:hanging="134"/>
        <w:spacing w:after="0"/>
        <w:tabs>
          <w:tab w:leader="none" w:pos="300" w:val="left"/>
        </w:tabs>
        <w:numPr>
          <w:ilvl w:val="0"/>
          <w:numId w:val="12"/>
        </w:numPr>
        <w:rPr>
          <w:rFonts w:ascii="Arial" w:cs="Arial" w:eastAsia="Arial" w:hAnsi="Arial"/>
          <w:sz w:val="14"/>
          <w:szCs w:val="14"/>
          <w:color w:val="0E1020"/>
        </w:rPr>
      </w:pPr>
      <w:r>
        <w:rPr>
          <w:rFonts w:ascii="Arial" w:cs="Arial" w:eastAsia="Arial" w:hAnsi="Arial"/>
          <w:sz w:val="14"/>
          <w:szCs w:val="14"/>
          <w:color w:val="0E1020"/>
        </w:rPr>
        <w:t>PCCW Limited (Hong Kong)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E1020"/>
        </w:rPr>
        <w:t>DAVID L. HERZOG</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 xml:space="preserve">Age: </w:t>
      </w:r>
      <w:r>
        <w:rPr>
          <w:rFonts w:ascii="Arial" w:cs="Arial" w:eastAsia="Arial" w:hAnsi="Arial"/>
          <w:sz w:val="18"/>
          <w:szCs w:val="18"/>
          <w:color w:val="0E1020"/>
        </w:rPr>
        <w:t>66 |</w:t>
      </w:r>
      <w:r>
        <w:rPr>
          <w:rFonts w:ascii="Arial" w:cs="Arial" w:eastAsia="Arial" w:hAnsi="Arial"/>
          <w:sz w:val="18"/>
          <w:szCs w:val="18"/>
          <w:b w:val="1"/>
          <w:bCs w:val="1"/>
          <w:color w:val="0E1020"/>
        </w:rPr>
        <w:t xml:space="preserve"> Director Since: </w:t>
      </w:r>
      <w:r>
        <w:rPr>
          <w:rFonts w:ascii="Arial" w:cs="Arial" w:eastAsia="Arial" w:hAnsi="Arial"/>
          <w:sz w:val="18"/>
          <w:szCs w:val="18"/>
          <w:color w:val="0E1020"/>
        </w:rPr>
        <w:t>2017</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004AAC"/>
        </w:rPr>
        <w:t>Career Highlights</w:t>
      </w:r>
    </w:p>
    <w:p>
      <w:pPr>
        <w:spacing w:after="0" w:line="124" w:lineRule="exact"/>
        <w:rPr>
          <w:sz w:val="20"/>
          <w:szCs w:val="20"/>
          <w:color w:val="auto"/>
        </w:rPr>
      </w:pPr>
    </w:p>
    <w:p>
      <w:pPr>
        <w:ind w:right="80"/>
        <w:spacing w:after="0" w:line="302" w:lineRule="auto"/>
        <w:rPr>
          <w:sz w:val="20"/>
          <w:szCs w:val="20"/>
          <w:color w:val="auto"/>
        </w:rPr>
      </w:pPr>
      <w:r>
        <w:rPr>
          <w:rFonts w:ascii="Arial" w:cs="Arial" w:eastAsia="Arial" w:hAnsi="Arial"/>
          <w:sz w:val="14"/>
          <w:szCs w:val="14"/>
          <w:color w:val="0E1020"/>
        </w:rPr>
        <w:t>Mr. Herzog has served as a member of our Board since April 1, 2017, and as independent Chairman of the Board since December 19, 2023. Prior to this, he served as our Lead Independent Director from July 26, 2022. Mr. Herzog served in progressively senior roles at American International Group (AIG) from 2003 to 2016, culminating in his role as Chief Financial Officer and Executive Vice President from 2008 to 2016. Earlier AIG roles included Senior Vice President and Comptroller, Chief Financial Officer for worldwide life insurance operations, and Chief Financial Officer and Chief Operating Officer of American General Life following its acquisition by AIG. Previously, Mr. Herzog served in various executive positions at GenAmerica Corporation and Family Guardian Life, a Citicorp company, and at a large accounting firm that is now part of PricewaterhouseCoopers LLP. He holds the designations of Certified Public Accountant and Fellow, Life Management Institute.</w:t>
      </w:r>
    </w:p>
    <w:p>
      <w:pPr>
        <w:spacing w:after="0" w:line="68" w:lineRule="exact"/>
        <w:rPr>
          <w:sz w:val="20"/>
          <w:szCs w:val="20"/>
          <w:color w:val="auto"/>
        </w:rPr>
      </w:pPr>
    </w:p>
    <w:p>
      <w:pPr>
        <w:ind w:right="40"/>
        <w:spacing w:after="0" w:line="307" w:lineRule="auto"/>
        <w:rPr>
          <w:sz w:val="20"/>
          <w:szCs w:val="20"/>
          <w:color w:val="auto"/>
        </w:rPr>
      </w:pPr>
      <w:r>
        <w:rPr>
          <w:rFonts w:ascii="Arial" w:cs="Arial" w:eastAsia="Arial" w:hAnsi="Arial"/>
          <w:sz w:val="14"/>
          <w:szCs w:val="14"/>
          <w:color w:val="0E1020"/>
        </w:rPr>
        <w:t>Mr. Herzog has served on the board of directors of Aegon Ltd. (Aegon) since June 2025, and as Chairman of its board since November 2025. He previously served as a member of the board of directors of MetLife Inc. from October 2016 to May 2025 and chair of the Audit Committee from July 2017 to December 2024, Ambac Financial Group, Inc. from March 2016 to June 2023, and PCCW Limited (Hong Kong) from November 2017 to July 2022.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AAC"/>
        </w:rPr>
        <w:t>Key Skills and Experience</w:t>
      </w:r>
    </w:p>
    <w:p>
      <w:pPr>
        <w:spacing w:after="0" w:line="111" w:lineRule="exact"/>
        <w:rPr>
          <w:sz w:val="20"/>
          <w:szCs w:val="20"/>
          <w:color w:val="auto"/>
        </w:rPr>
      </w:pPr>
    </w:p>
    <w:p>
      <w:pPr>
        <w:ind w:right="20"/>
        <w:spacing w:after="0" w:line="308" w:lineRule="auto"/>
        <w:rPr>
          <w:sz w:val="20"/>
          <w:szCs w:val="20"/>
          <w:color w:val="auto"/>
        </w:rPr>
      </w:pPr>
      <w:r>
        <w:rPr>
          <w:rFonts w:ascii="Arial" w:cs="Arial" w:eastAsia="Arial" w:hAnsi="Arial"/>
          <w:sz w:val="14"/>
          <w:szCs w:val="14"/>
          <w:color w:val="0E1020"/>
        </w:rPr>
        <w:t>Mr. Herzog brings to the DXC Board of Directors extensive audit and financial expertise, including deep experience in financial reporting, internal controls, capital allocation, and complex financial transactions; broad capital markets and treasury experience from three decades of overseeing global financial operations; public company governance experience as Independent Chairman of the DXC Board and through board leadership and audit committee service across multiple international public companies; human capital management experience through compensation and nominating committee service; and industry experience in the financial services sector with relevance to DXC's insurance and financial services client base.</w:t>
      </w:r>
    </w:p>
    <w:p>
      <w:pPr>
        <w:spacing w:after="0" w:line="200" w:lineRule="exact"/>
        <w:rPr>
          <w:sz w:val="20"/>
          <w:szCs w:val="20"/>
          <w:color w:val="auto"/>
        </w:rPr>
      </w:pPr>
    </w:p>
    <w:p>
      <w:pPr>
        <w:sectPr>
          <w:pgSz w:w="11900" w:h="16838" w:orient="portrait"/>
          <w:cols w:equalWidth="0" w:num="2">
            <w:col w:w="2520" w:space="520"/>
            <w:col w:w="8160"/>
          </w:cols>
          <w:pgMar w:left="340" w:top="22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5500" w:val="left"/>
          <w:tab w:leader="none" w:pos="976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11</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146050</wp:posOffset>
            </wp:positionV>
            <wp:extent cx="71589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224" w:right="359" w:bottom="1440" w:gutter="0" w:footer="0" w:header="0"/>
          <w:type w:val="continuous"/>
        </w:sectPr>
      </w:pPr>
    </w:p>
    <w:bookmarkStart w:id="19" w:name="page20"/>
    <w:bookmarkEnd w:id="19"/>
    <w:p>
      <w:pPr>
        <w:spacing w:after="0"/>
        <w:tabs>
          <w:tab w:leader="none" w:pos="10080" w:val="left"/>
        </w:tabs>
        <w:rPr>
          <w:sz w:val="20"/>
          <w:szCs w:val="20"/>
          <w:color w:val="auto"/>
        </w:rPr>
      </w:pPr>
      <w:r>
        <w:rPr>
          <w:rFonts w:ascii="Arial" w:cs="Arial" w:eastAsia="Arial" w:hAnsi="Arial"/>
          <w:sz w:val="14"/>
          <w:szCs w:val="14"/>
          <w:color w:val="auto"/>
        </w:rPr>
        <w:t>Proposal 1</w:t>
      </w:r>
      <w:r>
        <w:rPr>
          <w:sz w:val="20"/>
          <w:szCs w:val="20"/>
          <w:color w:val="auto"/>
        </w:rPr>
        <w:tab/>
      </w:r>
      <w:r>
        <w:rPr>
          <w:rFonts w:ascii="Arial" w:cs="Arial" w:eastAsia="Arial" w:hAnsi="Arial"/>
          <w:sz w:val="13"/>
          <w:szCs w:val="13"/>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388620</wp:posOffset>
            </wp:positionV>
            <wp:extent cx="1302385" cy="13023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02385" cy="1302385"/>
                    </a:xfrm>
                    <a:prstGeom prst="rect">
                      <a:avLst/>
                    </a:prstGeom>
                    <a:noFill/>
                  </pic:spPr>
                </pic:pic>
              </a:graphicData>
            </a:graphic>
          </wp:anchor>
        </w:drawing>
      </w:r>
    </w:p>
    <w:p>
      <w:pPr>
        <w:sectPr>
          <w:pgSz w:w="11900" w:h="16838" w:orient="portrait"/>
          <w:cols w:equalWidth="0" w:num="1">
            <w:col w:w="11200"/>
          </w:cols>
          <w:pgMar w:left="340" w:top="22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4AAC"/>
        </w:rPr>
        <w:t>DXC Committees:</w:t>
      </w:r>
    </w:p>
    <w:p>
      <w:pPr>
        <w:spacing w:after="0" w:line="111" w:lineRule="exact"/>
        <w:rPr>
          <w:sz w:val="20"/>
          <w:szCs w:val="20"/>
          <w:color w:val="auto"/>
        </w:rPr>
      </w:pPr>
    </w:p>
    <w:p>
      <w:pPr>
        <w:ind w:left="300" w:hanging="134"/>
        <w:spacing w:after="0"/>
        <w:tabs>
          <w:tab w:leader="none" w:pos="300" w:val="left"/>
        </w:tabs>
        <w:numPr>
          <w:ilvl w:val="0"/>
          <w:numId w:val="13"/>
        </w:numPr>
        <w:rPr>
          <w:rFonts w:ascii="Arial" w:cs="Arial" w:eastAsia="Arial" w:hAnsi="Arial"/>
          <w:sz w:val="14"/>
          <w:szCs w:val="14"/>
          <w:color w:val="0E1020"/>
        </w:rPr>
      </w:pPr>
      <w:r>
        <w:rPr>
          <w:rFonts w:ascii="Arial" w:cs="Arial" w:eastAsia="Arial" w:hAnsi="Arial"/>
          <w:sz w:val="14"/>
          <w:szCs w:val="14"/>
          <w:color w:val="0E1020"/>
        </w:rPr>
        <w:t>Nominating/Corporate Governance</w:t>
      </w:r>
    </w:p>
    <w:p>
      <w:pPr>
        <w:spacing w:after="0" w:line="40" w:lineRule="exact"/>
        <w:rPr>
          <w:rFonts w:ascii="Arial" w:cs="Arial" w:eastAsia="Arial" w:hAnsi="Arial"/>
          <w:sz w:val="14"/>
          <w:szCs w:val="14"/>
          <w:color w:val="0E1020"/>
        </w:rPr>
      </w:pPr>
    </w:p>
    <w:p>
      <w:pPr>
        <w:ind w:left="300" w:hanging="134"/>
        <w:spacing w:after="0"/>
        <w:tabs>
          <w:tab w:leader="none" w:pos="300" w:val="left"/>
        </w:tabs>
        <w:numPr>
          <w:ilvl w:val="0"/>
          <w:numId w:val="13"/>
        </w:numPr>
        <w:rPr>
          <w:rFonts w:ascii="Arial" w:cs="Arial" w:eastAsia="Arial" w:hAnsi="Arial"/>
          <w:sz w:val="14"/>
          <w:szCs w:val="14"/>
          <w:color w:val="0E1020"/>
        </w:rPr>
      </w:pPr>
      <w:r>
        <w:rPr>
          <w:rFonts w:ascii="Arial" w:cs="Arial" w:eastAsia="Arial" w:hAnsi="Arial"/>
          <w:sz w:val="14"/>
          <w:szCs w:val="14"/>
          <w:color w:val="0E1020"/>
        </w:rPr>
        <w:t>Audit*</w:t>
      </w:r>
    </w:p>
    <w:p>
      <w:pPr>
        <w:spacing w:after="0" w:line="191" w:lineRule="exact"/>
        <w:rPr>
          <w:sz w:val="20"/>
          <w:szCs w:val="20"/>
          <w:color w:val="auto"/>
        </w:rPr>
      </w:pPr>
    </w:p>
    <w:p>
      <w:pPr>
        <w:ind w:left="160" w:right="900"/>
        <w:spacing w:after="0" w:line="325" w:lineRule="auto"/>
        <w:rPr>
          <w:sz w:val="20"/>
          <w:szCs w:val="20"/>
          <w:color w:val="auto"/>
        </w:rPr>
      </w:pPr>
      <w:r>
        <w:rPr>
          <w:rFonts w:ascii="Arial" w:cs="Arial" w:eastAsia="Arial" w:hAnsi="Arial"/>
          <w:sz w:val="17"/>
          <w:szCs w:val="17"/>
          <w:b w:val="1"/>
          <w:bCs w:val="1"/>
          <w:color w:val="004AAC"/>
        </w:rPr>
        <w:t>Other Public Company Boards:</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E1020"/>
        </w:rPr>
        <w:t>Former (Past Five Years):</w:t>
      </w:r>
    </w:p>
    <w:p>
      <w:pPr>
        <w:spacing w:after="0" w:line="80" w:lineRule="exact"/>
        <w:rPr>
          <w:sz w:val="20"/>
          <w:szCs w:val="20"/>
          <w:color w:val="auto"/>
        </w:rPr>
      </w:pPr>
    </w:p>
    <w:p>
      <w:pPr>
        <w:ind w:left="300" w:hanging="134"/>
        <w:spacing w:after="0"/>
        <w:tabs>
          <w:tab w:leader="none" w:pos="300" w:val="left"/>
        </w:tabs>
        <w:numPr>
          <w:ilvl w:val="0"/>
          <w:numId w:val="14"/>
        </w:numPr>
        <w:rPr>
          <w:rFonts w:ascii="Arial" w:cs="Arial" w:eastAsia="Arial" w:hAnsi="Arial"/>
          <w:sz w:val="14"/>
          <w:szCs w:val="14"/>
          <w:color w:val="0E1020"/>
        </w:rPr>
      </w:pPr>
      <w:r>
        <w:rPr>
          <w:rFonts w:ascii="Arial" w:cs="Arial" w:eastAsia="Arial" w:hAnsi="Arial"/>
          <w:sz w:val="14"/>
          <w:szCs w:val="14"/>
          <w:color w:val="0E1020"/>
        </w:rPr>
        <w:t>Ready Capital Corporation</w:t>
      </w:r>
    </w:p>
    <w:p>
      <w:pPr>
        <w:spacing w:after="0" w:line="40" w:lineRule="exact"/>
        <w:rPr>
          <w:rFonts w:ascii="Arial" w:cs="Arial" w:eastAsia="Arial" w:hAnsi="Arial"/>
          <w:sz w:val="14"/>
          <w:szCs w:val="14"/>
          <w:color w:val="0E1020"/>
        </w:rPr>
      </w:pPr>
    </w:p>
    <w:p>
      <w:pPr>
        <w:ind w:left="320" w:hanging="154"/>
        <w:spacing w:after="0" w:line="341" w:lineRule="auto"/>
        <w:tabs>
          <w:tab w:leader="none" w:pos="289" w:val="left"/>
        </w:tabs>
        <w:numPr>
          <w:ilvl w:val="0"/>
          <w:numId w:val="14"/>
        </w:numPr>
        <w:rPr>
          <w:rFonts w:ascii="Arial" w:cs="Arial" w:eastAsia="Arial" w:hAnsi="Arial"/>
          <w:sz w:val="14"/>
          <w:szCs w:val="14"/>
          <w:color w:val="0E1020"/>
        </w:rPr>
      </w:pPr>
      <w:r>
        <w:rPr>
          <w:rFonts w:ascii="Arial" w:cs="Arial" w:eastAsia="Arial" w:hAnsi="Arial"/>
          <w:sz w:val="14"/>
          <w:szCs w:val="14"/>
          <w:color w:val="0E1020"/>
        </w:rPr>
        <w:t>Broadmark Realty Capital Inc. (acquired by Ready Capital in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E1020"/>
        </w:rPr>
        <w:t>PINKIE D. MAYFIELD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 xml:space="preserve">Age: </w:t>
      </w:r>
      <w:r>
        <w:rPr>
          <w:rFonts w:ascii="Arial" w:cs="Arial" w:eastAsia="Arial" w:hAnsi="Arial"/>
          <w:sz w:val="18"/>
          <w:szCs w:val="18"/>
          <w:color w:val="0E1020"/>
        </w:rPr>
        <w:t>58 |</w:t>
      </w:r>
      <w:r>
        <w:rPr>
          <w:rFonts w:ascii="Arial" w:cs="Arial" w:eastAsia="Arial" w:hAnsi="Arial"/>
          <w:sz w:val="18"/>
          <w:szCs w:val="18"/>
          <w:b w:val="1"/>
          <w:bCs w:val="1"/>
          <w:color w:val="0E1020"/>
        </w:rPr>
        <w:t xml:space="preserve"> Director Since: </w:t>
      </w:r>
      <w:r>
        <w:rPr>
          <w:rFonts w:ascii="Arial" w:cs="Arial" w:eastAsia="Arial" w:hAnsi="Arial"/>
          <w:sz w:val="18"/>
          <w:szCs w:val="18"/>
          <w:color w:val="0E1020"/>
        </w:rPr>
        <w:t>2023</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004AAC"/>
        </w:rPr>
        <w:t>Career Highlights</w:t>
      </w:r>
    </w:p>
    <w:p>
      <w:pPr>
        <w:spacing w:after="0" w:line="124"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0E1020"/>
        </w:rPr>
        <w:t>Ms. Mayfield has served as a member of our Board since July 2023. She is the former Chief Communications Officer and Vice President of Corporate Affairs of Graham Holdings Company (formerly The Washington Post Company), a diversified conglomerate whose principal operations include educational services, television broadcasting, healthcare, manufacturing, and automotive dealerships. She served in that role from February 2015 until December 2024 and was responsible for corporate affairs, public relations, communications and strategic initiatives. She joined Graham Holdings in 1998, where she held several executive leadership positions. Prior to joining Graham Holdings, Ms. Mayfield was a Vice President and Trust Officer at NationsBank (now Bank of America) in the Investment Services Division. She serves as a director of Founders Bank, a Washington, D.C.-based community bank, where she has chaired the audit committee since joining the board in 2020. She previously served as a member of the board of directors of Ready Capital Corporation from June 2023 to July 2024. Ms. Mayfield also currently serves as the treasurer of the board of directors of the District of Columbia College Access Program.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004AAC"/>
        </w:rPr>
        <w:t>Key Skills and Experience</w:t>
      </w:r>
    </w:p>
    <w:p>
      <w:pPr>
        <w:spacing w:after="0" w:line="124" w:lineRule="exact"/>
        <w:rPr>
          <w:sz w:val="20"/>
          <w:szCs w:val="20"/>
          <w:color w:val="auto"/>
        </w:rPr>
      </w:pPr>
    </w:p>
    <w:p>
      <w:pPr>
        <w:ind w:right="80"/>
        <w:spacing w:after="0" w:line="305" w:lineRule="auto"/>
        <w:rPr>
          <w:sz w:val="20"/>
          <w:szCs w:val="20"/>
          <w:color w:val="auto"/>
        </w:rPr>
      </w:pPr>
      <w:r>
        <w:rPr>
          <w:rFonts w:ascii="Arial" w:cs="Arial" w:eastAsia="Arial" w:hAnsi="Arial"/>
          <w:sz w:val="14"/>
          <w:szCs w:val="14"/>
          <w:color w:val="0E1020"/>
        </w:rPr>
        <w:t>Ms. Mayfield is a seasoned finance and banking executive with experience in multiple sectors, including capital markets and treasury; senior leadership across corporate affairs, communications, and strategic initiatives; public company governance through board service at multiple public companies with oversight of compliance, executive compensation, and stakeholder engagement; environmental sustainability, corporate responsibility, and related regulatory and reporting frameworks; and human capital management through workforce development and board-level talent oversight.</w:t>
      </w:r>
    </w:p>
    <w:p>
      <w:pPr>
        <w:spacing w:after="0" w:line="237" w:lineRule="exact"/>
        <w:rPr>
          <w:sz w:val="20"/>
          <w:szCs w:val="20"/>
          <w:color w:val="auto"/>
        </w:rPr>
      </w:pPr>
    </w:p>
    <w:p>
      <w:pPr>
        <w:ind w:left="40"/>
        <w:spacing w:after="0"/>
        <w:rPr>
          <w:sz w:val="20"/>
          <w:szCs w:val="20"/>
          <w:color w:val="auto"/>
        </w:rPr>
      </w:pPr>
      <w:r>
        <w:rPr>
          <w:rFonts w:ascii="Arial" w:cs="Arial" w:eastAsia="Arial" w:hAnsi="Arial"/>
          <w:sz w:val="14"/>
          <w:szCs w:val="14"/>
          <w:color w:val="0E1020"/>
        </w:rPr>
        <w:t>*Expected to be effective immediately after the Annual Meeting until the 2027 annual meeting of stockholders</w:t>
      </w:r>
    </w:p>
    <w:p>
      <w:pPr>
        <w:spacing w:after="0" w:line="200" w:lineRule="exact"/>
        <w:rPr>
          <w:sz w:val="20"/>
          <w:szCs w:val="20"/>
          <w:color w:val="auto"/>
        </w:rPr>
      </w:pPr>
    </w:p>
    <w:p>
      <w:pPr>
        <w:sectPr>
          <w:pgSz w:w="11900" w:h="16838" w:orient="portrait"/>
          <w:cols w:equalWidth="0" w:num="2">
            <w:col w:w="2600" w:space="440"/>
            <w:col w:w="8160"/>
          </w:cols>
          <w:pgMar w:left="340" w:top="22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5500" w:val="left"/>
          <w:tab w:leader="none" w:pos="946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12</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146050</wp:posOffset>
            </wp:positionV>
            <wp:extent cx="71589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224" w:right="3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388620</wp:posOffset>
            </wp:positionV>
            <wp:extent cx="1302385" cy="13023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02385" cy="1302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4AAC"/>
        </w:rPr>
        <w:t>DXC Committees: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4"/>
          <w:szCs w:val="14"/>
          <w:color w:val="0E1020"/>
        </w:rPr>
        <w:t>•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0E1020"/>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E1020"/>
        </w:rPr>
        <w:t>DAWN ROGERS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 xml:space="preserve">Age: </w:t>
      </w:r>
      <w:r>
        <w:rPr>
          <w:rFonts w:ascii="Arial" w:cs="Arial" w:eastAsia="Arial" w:hAnsi="Arial"/>
          <w:sz w:val="18"/>
          <w:szCs w:val="18"/>
          <w:color w:val="0E1020"/>
        </w:rPr>
        <w:t>61 |</w:t>
      </w:r>
      <w:r>
        <w:rPr>
          <w:rFonts w:ascii="Arial" w:cs="Arial" w:eastAsia="Arial" w:hAnsi="Arial"/>
          <w:sz w:val="18"/>
          <w:szCs w:val="18"/>
          <w:b w:val="1"/>
          <w:bCs w:val="1"/>
          <w:color w:val="0E1020"/>
        </w:rPr>
        <w:t xml:space="preserve"> Director Since: </w:t>
      </w:r>
      <w:r>
        <w:rPr>
          <w:rFonts w:ascii="Arial" w:cs="Arial" w:eastAsia="Arial" w:hAnsi="Arial"/>
          <w:sz w:val="18"/>
          <w:szCs w:val="18"/>
          <w:color w:val="0E1020"/>
        </w:rPr>
        <w:t>2021</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004AAC"/>
        </w:rPr>
        <w:t>Career Highlights</w:t>
      </w:r>
    </w:p>
    <w:p>
      <w:pPr>
        <w:spacing w:after="0" w:line="124"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0E1020"/>
        </w:rPr>
        <w:t>Ms. Rogers has served as a member of our Board since March 4, 2021. She is a global human resources executive with more than 35 years of experience in companies large and small, with deep expertise in the United States, Europe and emerging markets. She has successfully led executive transitions, culture transformations, and large-scale M&amp;A and business change programs. She is currently Director of Human Capital at American Securities LLC, where she provides leadership and support to the firm's portfolio of companies in all areas of human capital management. Prior to joining American Securities, she was the Executive Vice President and Chief Human Resources Officer at Pfizer Inc. Ms. Rogers' career with Pfizer spanned more than 20 years across its global businesses, where she worked as a key member of the executive team supporting growth and innovation. Prior to Pfizer, she was Senior Director of Human Resources at Kos Pharmaceuticals, where she established the human resources function and built its commercial organization in preparation for its first product launch and IPO. Ms. Rogers also held human resources positions at Earth Tech and The Ares Serono Group/Serono Diagnostics.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004AAC"/>
        </w:rPr>
        <w:t>Key Skills and Experience</w:t>
      </w:r>
    </w:p>
    <w:p>
      <w:pPr>
        <w:spacing w:after="0" w:line="124" w:lineRule="exact"/>
        <w:rPr>
          <w:sz w:val="20"/>
          <w:szCs w:val="20"/>
          <w:color w:val="auto"/>
        </w:rPr>
      </w:pPr>
    </w:p>
    <w:p>
      <w:pPr>
        <w:ind w:right="160"/>
        <w:spacing w:after="0" w:line="307" w:lineRule="auto"/>
        <w:rPr>
          <w:sz w:val="20"/>
          <w:szCs w:val="20"/>
          <w:color w:val="auto"/>
        </w:rPr>
      </w:pPr>
      <w:r>
        <w:rPr>
          <w:rFonts w:ascii="Arial" w:cs="Arial" w:eastAsia="Arial" w:hAnsi="Arial"/>
          <w:sz w:val="14"/>
          <w:szCs w:val="14"/>
          <w:color w:val="0E1020"/>
        </w:rPr>
        <w:t>Ms. Rogers brings to the DXC Board of Directors deep human capital management expertise, including experience in talent strategy, succession planning, executive compensation, organizational culture, and workforce development in complex global environments; significant global and international experience; and public company governance experience through oversight of human capital management and executive compensation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2480"/>
        <w:spacing w:after="0"/>
        <w:tabs>
          <w:tab w:leader="none" w:pos="6720" w:val="left"/>
        </w:tabs>
        <w:rPr>
          <w:sz w:val="20"/>
          <w:szCs w:val="20"/>
          <w:color w:val="auto"/>
        </w:rPr>
      </w:pPr>
      <w:r>
        <w:rPr>
          <w:rFonts w:ascii="Arial" w:cs="Arial" w:eastAsia="Arial" w:hAnsi="Arial"/>
          <w:sz w:val="14"/>
          <w:szCs w:val="14"/>
          <w:color w:val="0E1020"/>
        </w:rPr>
        <w:t>13</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146050</wp:posOffset>
            </wp:positionV>
            <wp:extent cx="71589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2">
            <w:col w:w="2320" w:space="720"/>
            <w:col w:w="8160"/>
          </w:cols>
          <w:pgMar w:left="340" w:top="224" w:right="359" w:bottom="1440" w:gutter="0" w:footer="0" w:header="0"/>
        </w:sectPr>
      </w:pPr>
    </w:p>
    <w:bookmarkStart w:id="21" w:name="page22"/>
    <w:bookmarkEnd w:id="21"/>
    <w:p>
      <w:pPr>
        <w:spacing w:after="0"/>
        <w:tabs>
          <w:tab w:leader="none" w:pos="10080" w:val="left"/>
        </w:tabs>
        <w:rPr>
          <w:sz w:val="20"/>
          <w:szCs w:val="20"/>
          <w:color w:val="auto"/>
        </w:rPr>
      </w:pPr>
      <w:r>
        <w:rPr>
          <w:rFonts w:ascii="Arial" w:cs="Arial" w:eastAsia="Arial" w:hAnsi="Arial"/>
          <w:sz w:val="14"/>
          <w:szCs w:val="14"/>
          <w:color w:val="auto"/>
        </w:rPr>
        <w:t>Proposal 1</w:t>
      </w:r>
      <w:r>
        <w:rPr>
          <w:sz w:val="20"/>
          <w:szCs w:val="20"/>
          <w:color w:val="auto"/>
        </w:rPr>
        <w:tab/>
      </w:r>
      <w:r>
        <w:rPr>
          <w:rFonts w:ascii="Arial" w:cs="Arial" w:eastAsia="Arial" w:hAnsi="Arial"/>
          <w:sz w:val="13"/>
          <w:szCs w:val="13"/>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388620</wp:posOffset>
            </wp:positionV>
            <wp:extent cx="1302385" cy="13023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02385" cy="1302385"/>
                    </a:xfrm>
                    <a:prstGeom prst="rect">
                      <a:avLst/>
                    </a:prstGeom>
                    <a:noFill/>
                  </pic:spPr>
                </pic:pic>
              </a:graphicData>
            </a:graphic>
          </wp:anchor>
        </w:drawing>
      </w:r>
    </w:p>
    <w:p>
      <w:pPr>
        <w:sectPr>
          <w:pgSz w:w="11900" w:h="16838" w:orient="portrait"/>
          <w:cols w:equalWidth="0" w:num="1">
            <w:col w:w="11200"/>
          </w:cols>
          <w:pgMar w:left="340" w:top="22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4AAC"/>
        </w:rPr>
        <w:t>DXC Committees:</w:t>
      </w:r>
    </w:p>
    <w:p>
      <w:pPr>
        <w:spacing w:after="0" w:line="111" w:lineRule="exact"/>
        <w:rPr>
          <w:sz w:val="20"/>
          <w:szCs w:val="20"/>
          <w:color w:val="auto"/>
        </w:rPr>
      </w:pPr>
    </w:p>
    <w:p>
      <w:pPr>
        <w:ind w:left="300" w:hanging="134"/>
        <w:spacing w:after="0"/>
        <w:tabs>
          <w:tab w:leader="none" w:pos="300" w:val="left"/>
        </w:tabs>
        <w:numPr>
          <w:ilvl w:val="0"/>
          <w:numId w:val="15"/>
        </w:numPr>
        <w:rPr>
          <w:rFonts w:ascii="Arial" w:cs="Arial" w:eastAsia="Arial" w:hAnsi="Arial"/>
          <w:sz w:val="14"/>
          <w:szCs w:val="14"/>
          <w:color w:val="0E1020"/>
        </w:rPr>
      </w:pPr>
      <w:r>
        <w:rPr>
          <w:rFonts w:ascii="Arial" w:cs="Arial" w:eastAsia="Arial" w:hAnsi="Arial"/>
          <w:sz w:val="14"/>
          <w:szCs w:val="14"/>
          <w:color w:val="0E1020"/>
        </w:rPr>
        <w:t>Audit</w:t>
      </w:r>
    </w:p>
    <w:p>
      <w:pPr>
        <w:spacing w:after="0" w:line="40" w:lineRule="exact"/>
        <w:rPr>
          <w:rFonts w:ascii="Arial" w:cs="Arial" w:eastAsia="Arial" w:hAnsi="Arial"/>
          <w:sz w:val="14"/>
          <w:szCs w:val="14"/>
          <w:color w:val="0E1020"/>
        </w:rPr>
      </w:pPr>
    </w:p>
    <w:p>
      <w:pPr>
        <w:ind w:left="300" w:hanging="134"/>
        <w:spacing w:after="0"/>
        <w:tabs>
          <w:tab w:leader="none" w:pos="300" w:val="left"/>
        </w:tabs>
        <w:numPr>
          <w:ilvl w:val="0"/>
          <w:numId w:val="15"/>
        </w:numPr>
        <w:rPr>
          <w:rFonts w:ascii="Arial" w:cs="Arial" w:eastAsia="Arial" w:hAnsi="Arial"/>
          <w:sz w:val="14"/>
          <w:szCs w:val="14"/>
          <w:color w:val="0E1020"/>
        </w:rPr>
      </w:pPr>
      <w:r>
        <w:rPr>
          <w:rFonts w:ascii="Arial" w:cs="Arial" w:eastAsia="Arial" w:hAnsi="Arial"/>
          <w:sz w:val="14"/>
          <w:szCs w:val="14"/>
          <w:color w:val="0E1020"/>
        </w:rPr>
        <w:t>Compensation*</w:t>
      </w:r>
    </w:p>
    <w:p>
      <w:pPr>
        <w:spacing w:after="0" w:line="191" w:lineRule="exact"/>
        <w:rPr>
          <w:sz w:val="20"/>
          <w:szCs w:val="20"/>
          <w:color w:val="auto"/>
        </w:rPr>
      </w:pPr>
    </w:p>
    <w:p>
      <w:pPr>
        <w:ind w:left="160" w:right="860"/>
        <w:spacing w:after="0" w:line="325" w:lineRule="auto"/>
        <w:rPr>
          <w:sz w:val="20"/>
          <w:szCs w:val="20"/>
          <w:color w:val="auto"/>
        </w:rPr>
      </w:pPr>
      <w:r>
        <w:rPr>
          <w:rFonts w:ascii="Arial" w:cs="Arial" w:eastAsia="Arial" w:hAnsi="Arial"/>
          <w:sz w:val="17"/>
          <w:szCs w:val="17"/>
          <w:b w:val="1"/>
          <w:bCs w:val="1"/>
          <w:color w:val="004AAC"/>
        </w:rPr>
        <w:t>Other Public Company Boards:</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E1020"/>
        </w:rPr>
        <w:t>Current:</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4"/>
          <w:szCs w:val="14"/>
          <w:color w:val="0E1020"/>
        </w:rPr>
        <w:t>• Amer Sports, Inc. (Cayman Islands)</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E1020"/>
        </w:rPr>
        <w:t>Former (Past Five Years):</w:t>
      </w:r>
    </w:p>
    <w:p>
      <w:pPr>
        <w:spacing w:after="0" w:line="67" w:lineRule="exact"/>
        <w:rPr>
          <w:sz w:val="20"/>
          <w:szCs w:val="20"/>
          <w:color w:val="auto"/>
        </w:rPr>
      </w:pPr>
    </w:p>
    <w:p>
      <w:pPr>
        <w:ind w:left="300" w:hanging="134"/>
        <w:spacing w:after="0"/>
        <w:tabs>
          <w:tab w:leader="none" w:pos="300" w:val="left"/>
        </w:tabs>
        <w:numPr>
          <w:ilvl w:val="0"/>
          <w:numId w:val="16"/>
        </w:numPr>
        <w:rPr>
          <w:rFonts w:ascii="Arial" w:cs="Arial" w:eastAsia="Arial" w:hAnsi="Arial"/>
          <w:sz w:val="14"/>
          <w:szCs w:val="14"/>
          <w:color w:val="0E1020"/>
        </w:rPr>
      </w:pPr>
      <w:r>
        <w:rPr>
          <w:rFonts w:ascii="Arial" w:cs="Arial" w:eastAsia="Arial" w:hAnsi="Arial"/>
          <w:sz w:val="14"/>
          <w:szCs w:val="14"/>
          <w:color w:val="0E1020"/>
        </w:rPr>
        <w:t>Rite Aid Corp.</w:t>
      </w:r>
    </w:p>
    <w:p>
      <w:pPr>
        <w:spacing w:after="0" w:line="40" w:lineRule="exact"/>
        <w:rPr>
          <w:rFonts w:ascii="Arial" w:cs="Arial" w:eastAsia="Arial" w:hAnsi="Arial"/>
          <w:sz w:val="14"/>
          <w:szCs w:val="14"/>
          <w:color w:val="0E1020"/>
        </w:rPr>
      </w:pPr>
    </w:p>
    <w:p>
      <w:pPr>
        <w:ind w:left="300" w:hanging="134"/>
        <w:spacing w:after="0"/>
        <w:tabs>
          <w:tab w:leader="none" w:pos="300" w:val="left"/>
        </w:tabs>
        <w:numPr>
          <w:ilvl w:val="0"/>
          <w:numId w:val="16"/>
        </w:numPr>
        <w:rPr>
          <w:rFonts w:ascii="Arial" w:cs="Arial" w:eastAsia="Arial" w:hAnsi="Arial"/>
          <w:sz w:val="14"/>
          <w:szCs w:val="14"/>
          <w:color w:val="0E1020"/>
        </w:rPr>
      </w:pPr>
      <w:r>
        <w:rPr>
          <w:rFonts w:ascii="Arial" w:cs="Arial" w:eastAsia="Arial" w:hAnsi="Arial"/>
          <w:sz w:val="14"/>
          <w:szCs w:val="14"/>
          <w:color w:val="0E1020"/>
        </w:rPr>
        <w:t>Avaya Holdings</w:t>
      </w:r>
    </w:p>
    <w:p>
      <w:pPr>
        <w:spacing w:after="0" w:line="40" w:lineRule="exact"/>
        <w:rPr>
          <w:rFonts w:ascii="Arial" w:cs="Arial" w:eastAsia="Arial" w:hAnsi="Arial"/>
          <w:sz w:val="14"/>
          <w:szCs w:val="14"/>
          <w:color w:val="0E1020"/>
        </w:rPr>
      </w:pPr>
    </w:p>
    <w:p>
      <w:pPr>
        <w:ind w:left="300" w:hanging="134"/>
        <w:spacing w:after="0"/>
        <w:tabs>
          <w:tab w:leader="none" w:pos="300" w:val="left"/>
        </w:tabs>
        <w:numPr>
          <w:ilvl w:val="0"/>
          <w:numId w:val="16"/>
        </w:numPr>
        <w:rPr>
          <w:rFonts w:ascii="Arial" w:cs="Arial" w:eastAsia="Arial" w:hAnsi="Arial"/>
          <w:sz w:val="14"/>
          <w:szCs w:val="14"/>
          <w:color w:val="0E1020"/>
        </w:rPr>
      </w:pPr>
      <w:r>
        <w:rPr>
          <w:rFonts w:ascii="Arial" w:cs="Arial" w:eastAsia="Arial" w:hAnsi="Arial"/>
          <w:sz w:val="14"/>
          <w:szCs w:val="14"/>
          <w:color w:val="0E1020"/>
        </w:rPr>
        <w:t>GameStop Corp.</w:t>
      </w:r>
    </w:p>
    <w:p>
      <w:pPr>
        <w:spacing w:after="0" w:line="40" w:lineRule="exact"/>
        <w:rPr>
          <w:rFonts w:ascii="Arial" w:cs="Arial" w:eastAsia="Arial" w:hAnsi="Arial"/>
          <w:sz w:val="14"/>
          <w:szCs w:val="14"/>
          <w:color w:val="0E1020"/>
        </w:rPr>
      </w:pPr>
    </w:p>
    <w:p>
      <w:pPr>
        <w:ind w:left="300" w:hanging="134"/>
        <w:spacing w:after="0"/>
        <w:tabs>
          <w:tab w:leader="none" w:pos="300" w:val="left"/>
        </w:tabs>
        <w:numPr>
          <w:ilvl w:val="0"/>
          <w:numId w:val="16"/>
        </w:numPr>
        <w:rPr>
          <w:rFonts w:ascii="Arial" w:cs="Arial" w:eastAsia="Arial" w:hAnsi="Arial"/>
          <w:sz w:val="14"/>
          <w:szCs w:val="14"/>
          <w:color w:val="0E1020"/>
        </w:rPr>
      </w:pPr>
      <w:r>
        <w:rPr>
          <w:rFonts w:ascii="Arial" w:cs="Arial" w:eastAsia="Arial" w:hAnsi="Arial"/>
          <w:sz w:val="14"/>
          <w:szCs w:val="14"/>
          <w:color w:val="0E1020"/>
        </w:rPr>
        <w:t>Ascena Retail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E1020"/>
        </w:rPr>
        <w:t>CARRIE W. TEFFNER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 xml:space="preserve">Age: </w:t>
      </w:r>
      <w:r>
        <w:rPr>
          <w:rFonts w:ascii="Arial" w:cs="Arial" w:eastAsia="Arial" w:hAnsi="Arial"/>
          <w:sz w:val="18"/>
          <w:szCs w:val="18"/>
          <w:color w:val="0E1020"/>
        </w:rPr>
        <w:t>59 |</w:t>
      </w:r>
      <w:r>
        <w:rPr>
          <w:rFonts w:ascii="Arial" w:cs="Arial" w:eastAsia="Arial" w:hAnsi="Arial"/>
          <w:sz w:val="18"/>
          <w:szCs w:val="18"/>
          <w:b w:val="1"/>
          <w:bCs w:val="1"/>
          <w:color w:val="0E1020"/>
        </w:rPr>
        <w:t xml:space="preserve"> Director Since: </w:t>
      </w:r>
      <w:r>
        <w:rPr>
          <w:rFonts w:ascii="Arial" w:cs="Arial" w:eastAsia="Arial" w:hAnsi="Arial"/>
          <w:sz w:val="18"/>
          <w:szCs w:val="18"/>
          <w:color w:val="0E1020"/>
        </w:rPr>
        <w:t>2022</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004AAC"/>
        </w:rPr>
        <w:t>Career Highlights</w:t>
      </w:r>
    </w:p>
    <w:p>
      <w:pPr>
        <w:spacing w:after="0" w:line="124" w:lineRule="exact"/>
        <w:rPr>
          <w:sz w:val="20"/>
          <w:szCs w:val="20"/>
          <w:color w:val="auto"/>
        </w:rPr>
      </w:pPr>
    </w:p>
    <w:p>
      <w:pPr>
        <w:ind w:right="20"/>
        <w:spacing w:after="0" w:line="304" w:lineRule="auto"/>
        <w:rPr>
          <w:sz w:val="20"/>
          <w:szCs w:val="20"/>
          <w:color w:val="auto"/>
        </w:rPr>
      </w:pPr>
      <w:r>
        <w:rPr>
          <w:rFonts w:ascii="Arial" w:cs="Arial" w:eastAsia="Arial" w:hAnsi="Arial"/>
          <w:sz w:val="14"/>
          <w:szCs w:val="14"/>
          <w:color w:val="0E1020"/>
        </w:rPr>
        <w:t>Ms. Teffner has served as a member of our Board since April 20, 2022. She is a strategic, financial, and operational executive with over 30 years of experience helping consumer product and retail companies grow their businesses worldwide. She spent the first 21 years of her career with Sara Lee Corporation, a Fortune 100 company, where she held various domestic and international roles, including division and segment Chief Financial Officer roles and Corporate Treasurer. She then served as Chief Financial Officer of Timberland from September 2009 to September 2011, Weber Stephen Products from October 2011 to May 2013, and PetSmart, a Fortune 300 company, from June 2013 to June 2015. At Crocs, she served as EVP and Chief Financial Officer from December 2015 to August 2018 and EVP of Finance and Strategic Projects from August 2018 to April 2019.</w:t>
      </w:r>
    </w:p>
    <w:p>
      <w:pPr>
        <w:spacing w:after="0" w:line="262" w:lineRule="exact"/>
        <w:rPr>
          <w:sz w:val="20"/>
          <w:szCs w:val="20"/>
          <w:color w:val="auto"/>
        </w:rPr>
      </w:pPr>
    </w:p>
    <w:p>
      <w:pPr>
        <w:ind w:right="60"/>
        <w:spacing w:after="0" w:line="304" w:lineRule="auto"/>
        <w:rPr>
          <w:sz w:val="20"/>
          <w:szCs w:val="20"/>
          <w:color w:val="auto"/>
        </w:rPr>
      </w:pPr>
      <w:r>
        <w:rPr>
          <w:rFonts w:ascii="Arial" w:cs="Arial" w:eastAsia="Arial" w:hAnsi="Arial"/>
          <w:sz w:val="14"/>
          <w:szCs w:val="14"/>
          <w:color w:val="0E1020"/>
        </w:rPr>
        <w:t>Ms. Teffner has extensive public company board experience, having served as interim executive chair of Ascena Retail Group from May 2019 to March 2021, and as a director of GameStop from September 2018 to June 2021, Avaya Holdings from February 2023 to May 2023, and Rite Aid Corporation from October 2023 to September 2024. She has served on the board of Amer Sports, Inc. (Cayman Islands) since February 2024. Ms. Teffner also serves on the boards of multiple private companies, including International Data Group (IDG) since December 2021 and Reef Lifestyle since July 2024, and previously served on the board of BFA Industries from February 2021 to April 2026.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4AAC"/>
        </w:rPr>
        <w:t>Key Skills and Experience</w:t>
      </w:r>
    </w:p>
    <w:p>
      <w:pPr>
        <w:spacing w:after="0" w:line="124" w:lineRule="exact"/>
        <w:rPr>
          <w:sz w:val="20"/>
          <w:szCs w:val="20"/>
          <w:color w:val="auto"/>
        </w:rPr>
      </w:pPr>
    </w:p>
    <w:p>
      <w:pPr>
        <w:ind w:right="20"/>
        <w:spacing w:after="0" w:line="306" w:lineRule="auto"/>
        <w:rPr>
          <w:sz w:val="20"/>
          <w:szCs w:val="20"/>
          <w:color w:val="auto"/>
        </w:rPr>
      </w:pPr>
      <w:r>
        <w:rPr>
          <w:rFonts w:ascii="Arial" w:cs="Arial" w:eastAsia="Arial" w:hAnsi="Arial"/>
          <w:sz w:val="14"/>
          <w:szCs w:val="14"/>
          <w:color w:val="0E1020"/>
        </w:rPr>
        <w:t>Ms. Teffner brings to the DXC Board of Directors extensive audit and financial expertise from CFO and Corporate Treasurer roles across multiple public and private companies; direct cybersecurity experience, including policy development and risk oversight; technology and innovation experience through operational technology leadership and board service in the technology sector; capital markets and treasury experience, including debt and equity market transactions; global and international experience from domestic and overseas roles spanning over two decades; human capital management experience through leadership of large-scale transformation initiatives; industry experience in the technology and consumer sectors; and extensive experience with corporate and board governance, including audit committee leadership across multiple public companies.</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4"/>
          <w:szCs w:val="14"/>
          <w:color w:val="0E1020"/>
        </w:rPr>
        <w:t>*Expected to be effective immediately after the Annual Meeting until the 2027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2480"/>
        <w:spacing w:after="0"/>
        <w:tabs>
          <w:tab w:leader="none" w:pos="6420" w:val="left"/>
        </w:tabs>
        <w:rPr>
          <w:sz w:val="20"/>
          <w:szCs w:val="20"/>
          <w:color w:val="auto"/>
        </w:rPr>
      </w:pPr>
      <w:r>
        <w:rPr>
          <w:rFonts w:ascii="Arial" w:cs="Arial" w:eastAsia="Arial" w:hAnsi="Arial"/>
          <w:sz w:val="14"/>
          <w:szCs w:val="14"/>
          <w:color w:val="0E1020"/>
        </w:rPr>
        <w:t>14</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146050</wp:posOffset>
            </wp:positionV>
            <wp:extent cx="71589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2">
            <w:col w:w="2560" w:space="480"/>
            <w:col w:w="8160"/>
          </w:cols>
          <w:pgMar w:left="340" w:top="224" w:right="35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388620</wp:posOffset>
            </wp:positionV>
            <wp:extent cx="1302385" cy="13023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02385" cy="1302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4AAC"/>
        </w:rPr>
        <w:t>DXC Committees: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4"/>
          <w:szCs w:val="14"/>
          <w:color w:val="0E1020"/>
        </w:rPr>
        <w:t>• Compensation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0E1020"/>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E1020"/>
        </w:rPr>
        <w:t>AKIHIKO WASHINGTON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 xml:space="preserve">Age: </w:t>
      </w:r>
      <w:r>
        <w:rPr>
          <w:rFonts w:ascii="Arial" w:cs="Arial" w:eastAsia="Arial" w:hAnsi="Arial"/>
          <w:sz w:val="18"/>
          <w:szCs w:val="18"/>
          <w:color w:val="0E1020"/>
        </w:rPr>
        <w:t>67 |</w:t>
      </w:r>
      <w:r>
        <w:rPr>
          <w:rFonts w:ascii="Arial" w:cs="Arial" w:eastAsia="Arial" w:hAnsi="Arial"/>
          <w:sz w:val="18"/>
          <w:szCs w:val="18"/>
          <w:b w:val="1"/>
          <w:bCs w:val="1"/>
          <w:color w:val="0E1020"/>
        </w:rPr>
        <w:t xml:space="preserve"> Director Since: </w:t>
      </w:r>
      <w:r>
        <w:rPr>
          <w:rFonts w:ascii="Arial" w:cs="Arial" w:eastAsia="Arial" w:hAnsi="Arial"/>
          <w:sz w:val="18"/>
          <w:szCs w:val="18"/>
          <w:color w:val="0E1020"/>
        </w:rPr>
        <w:t>2021</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004AAC"/>
        </w:rPr>
        <w:t>Career Highlights</w:t>
      </w:r>
    </w:p>
    <w:p>
      <w:pPr>
        <w:spacing w:after="0" w:line="124" w:lineRule="exact"/>
        <w:rPr>
          <w:sz w:val="20"/>
          <w:szCs w:val="20"/>
          <w:color w:val="auto"/>
        </w:rPr>
      </w:pPr>
    </w:p>
    <w:p>
      <w:pPr>
        <w:ind w:right="60"/>
        <w:spacing w:after="0" w:line="303" w:lineRule="auto"/>
        <w:rPr>
          <w:sz w:val="20"/>
          <w:szCs w:val="20"/>
          <w:color w:val="auto"/>
        </w:rPr>
      </w:pPr>
      <w:r>
        <w:rPr>
          <w:rFonts w:ascii="Arial" w:cs="Arial" w:eastAsia="Arial" w:hAnsi="Arial"/>
          <w:sz w:val="14"/>
          <w:szCs w:val="14"/>
          <w:color w:val="0E1020"/>
        </w:rPr>
        <w:t>Mr. Washington has served as a member of our Board since March 4, 2021. He retired from Warner Bros. Entertainment, where he served as Executive Vice President of Worldwide Human Resources from 2009 until December 2020 and was responsible for all aspects of the company's global human resources function, including talent strategy, compensation, organizational development, and inclusion and belonging initiatives. He joined Warner Bros. in 2000 as Senior Vice President of Worldwide Human Resources. Mr. Washington is a proven leader in shaping cultures and human resources initiatives globally. His professional experience also includes serving as Vice President of Human Resources at Time Warner and at HBO, where he spent 15 years.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004AAC"/>
        </w:rPr>
        <w:t>Key Skills and Experience</w:t>
      </w:r>
    </w:p>
    <w:p>
      <w:pPr>
        <w:spacing w:after="0" w:line="124" w:lineRule="exact"/>
        <w:rPr>
          <w:sz w:val="20"/>
          <w:szCs w:val="20"/>
          <w:color w:val="auto"/>
        </w:rPr>
      </w:pPr>
    </w:p>
    <w:p>
      <w:pPr>
        <w:ind w:right="180"/>
        <w:spacing w:after="0" w:line="310" w:lineRule="auto"/>
        <w:rPr>
          <w:sz w:val="20"/>
          <w:szCs w:val="20"/>
          <w:color w:val="auto"/>
        </w:rPr>
      </w:pPr>
      <w:r>
        <w:rPr>
          <w:rFonts w:ascii="Arial" w:cs="Arial" w:eastAsia="Arial" w:hAnsi="Arial"/>
          <w:sz w:val="14"/>
          <w:szCs w:val="14"/>
          <w:color w:val="0E1020"/>
        </w:rPr>
        <w:t>Mr. Washington brings to the DXC Board of Directors deep human capital management expertise, including experience overseeing talent strategy, organizational culture, workforce development, and executive compensation; significant global and international experience; industry experience from work at the intersection of entertainment and technology sectors; leadership experience in driving organizational transformation and building competitive cultures; and public company governance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2480"/>
        <w:spacing w:after="0"/>
        <w:tabs>
          <w:tab w:leader="none" w:pos="6720" w:val="left"/>
        </w:tabs>
        <w:rPr>
          <w:sz w:val="20"/>
          <w:szCs w:val="20"/>
          <w:color w:val="auto"/>
        </w:rPr>
      </w:pPr>
      <w:r>
        <w:rPr>
          <w:rFonts w:ascii="Arial" w:cs="Arial" w:eastAsia="Arial" w:hAnsi="Arial"/>
          <w:sz w:val="14"/>
          <w:szCs w:val="14"/>
          <w:color w:val="0E1020"/>
        </w:rPr>
        <w:t>15</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146050</wp:posOffset>
            </wp:positionV>
            <wp:extent cx="71589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2">
            <w:col w:w="2320" w:space="720"/>
            <w:col w:w="8160"/>
          </w:cols>
          <w:pgMar w:left="340" w:top="224" w:right="359"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auto"/>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388620</wp:posOffset>
            </wp:positionV>
            <wp:extent cx="1302385" cy="13023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02385" cy="1302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004AAC"/>
        </w:rPr>
        <w:t>DXC Committees:</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14"/>
          <w:szCs w:val="14"/>
          <w:color w:val="0E1020"/>
        </w:rPr>
        <w:t>• Audit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E1020"/>
        </w:rPr>
        <w:t>ROBERT F. WOODS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 xml:space="preserve">Age: </w:t>
      </w:r>
      <w:r>
        <w:rPr>
          <w:rFonts w:ascii="Arial" w:cs="Arial" w:eastAsia="Arial" w:hAnsi="Arial"/>
          <w:sz w:val="18"/>
          <w:szCs w:val="18"/>
          <w:color w:val="0E1020"/>
        </w:rPr>
        <w:t>71 |</w:t>
      </w:r>
      <w:r>
        <w:rPr>
          <w:rFonts w:ascii="Arial" w:cs="Arial" w:eastAsia="Arial" w:hAnsi="Arial"/>
          <w:sz w:val="18"/>
          <w:szCs w:val="18"/>
          <w:b w:val="1"/>
          <w:bCs w:val="1"/>
          <w:color w:val="0E1020"/>
        </w:rPr>
        <w:t xml:space="preserve"> Director Since: </w:t>
      </w:r>
      <w:r>
        <w:rPr>
          <w:rFonts w:ascii="Arial" w:cs="Arial" w:eastAsia="Arial" w:hAnsi="Arial"/>
          <w:sz w:val="18"/>
          <w:szCs w:val="18"/>
          <w:color w:val="0E1020"/>
        </w:rPr>
        <w:t>2017</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004AAC"/>
        </w:rPr>
        <w:t>Career Highlights</w:t>
      </w:r>
    </w:p>
    <w:p>
      <w:pPr>
        <w:spacing w:after="0" w:line="124" w:lineRule="exact"/>
        <w:rPr>
          <w:sz w:val="20"/>
          <w:szCs w:val="20"/>
          <w:color w:val="auto"/>
        </w:rPr>
      </w:pPr>
    </w:p>
    <w:p>
      <w:pPr>
        <w:spacing w:after="0" w:line="303" w:lineRule="auto"/>
        <w:rPr>
          <w:sz w:val="20"/>
          <w:szCs w:val="20"/>
          <w:color w:val="auto"/>
        </w:rPr>
      </w:pPr>
      <w:r>
        <w:rPr>
          <w:rFonts w:ascii="Arial" w:cs="Arial" w:eastAsia="Arial" w:hAnsi="Arial"/>
          <w:sz w:val="14"/>
          <w:szCs w:val="14"/>
          <w:color w:val="0E1020"/>
        </w:rPr>
        <w:t>Mr. Woods has served as a member of our Board since April 1, 2017. He brings extensive public company CFO experience in the technology sector, having served as Senior Vice President of Finance and Chief Financial Officer of SunGard Data Systems, Inc. from 2010 to 2012 and as Senior Vice President and Chief Financial Officer of IKON Office Solutions, Inc., a document management systems and services public company, from 2004 to 2009. Earlier in his career, Mr. Woods served as Vice President and Controller of IBM Corporation from 2002 to 2004 and Vice President and Treasurer from 2000 to 2002. He served on the board of directors and the Audit Committee of Computer Sciences Corporation from 2015 to 2017. Mr. Woods also served as a director of Insight Enterprises, Inc., from 2009 to 2011 and as a member of its Audit and Compensation Committees.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004AAC"/>
        </w:rPr>
        <w:t>Key Skills and Experience</w:t>
      </w:r>
    </w:p>
    <w:p>
      <w:pPr>
        <w:spacing w:after="0" w:line="124" w:lineRule="exact"/>
        <w:rPr>
          <w:sz w:val="20"/>
          <w:szCs w:val="20"/>
          <w:color w:val="auto"/>
        </w:rPr>
      </w:pPr>
    </w:p>
    <w:p>
      <w:pPr>
        <w:ind w:right="80"/>
        <w:spacing w:after="0" w:line="308" w:lineRule="auto"/>
        <w:rPr>
          <w:sz w:val="20"/>
          <w:szCs w:val="20"/>
          <w:color w:val="auto"/>
        </w:rPr>
      </w:pPr>
      <w:r>
        <w:rPr>
          <w:rFonts w:ascii="Arial" w:cs="Arial" w:eastAsia="Arial" w:hAnsi="Arial"/>
          <w:sz w:val="14"/>
          <w:szCs w:val="14"/>
          <w:color w:val="0E1020"/>
        </w:rPr>
        <w:t>Mr. Woods brings to the DXC Board of Directors extensive audit and financial expertise as a former public company CFO who also served as Vice President and Controller and later as Vice President and Treasurer of a major global technology company; broad capital markets and treasury experience, including raising funds in debt and equity markets, managing liquidity, and overseeing rating agency and stockholder relationships; global and international finance experience spanning multiple multinational corporations; public company governance experience through long-tenured board service; and industry experience in the technology services sector.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2480"/>
        <w:spacing w:after="0"/>
        <w:tabs>
          <w:tab w:leader="none" w:pos="6420" w:val="left"/>
        </w:tabs>
        <w:rPr>
          <w:sz w:val="20"/>
          <w:szCs w:val="20"/>
          <w:color w:val="auto"/>
        </w:rPr>
      </w:pPr>
      <w:r>
        <w:rPr>
          <w:rFonts w:ascii="Arial" w:cs="Arial" w:eastAsia="Arial" w:hAnsi="Arial"/>
          <w:sz w:val="14"/>
          <w:szCs w:val="14"/>
          <w:color w:val="0E1020"/>
        </w:rPr>
        <w:t>16</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146050</wp:posOffset>
            </wp:positionV>
            <wp:extent cx="71589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2">
            <w:col w:w="2320" w:space="720"/>
            <w:col w:w="8160"/>
          </w:cols>
          <w:pgMar w:left="340" w:top="224" w:right="359" w:bottom="1440" w:gutter="0" w:footer="0" w:header="0"/>
        </w:sectPr>
      </w:pPr>
    </w:p>
    <w:bookmarkStart w:id="24" w:name="page25"/>
    <w:bookmarkEnd w:id="24"/>
    <w:p>
      <w:pPr>
        <w:ind w:left="2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6166485</wp:posOffset>
            </wp:positionH>
            <wp:positionV relativeFrom="page">
              <wp:posOffset>106045</wp:posOffset>
            </wp:positionV>
            <wp:extent cx="1166495" cy="3232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232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39"/>
          <w:szCs w:val="39"/>
          <w:b w:val="1"/>
          <w:bCs w:val="1"/>
          <w:color w:val="0E1020"/>
        </w:rPr>
        <w:t>PROPOSAL 2</w:t>
      </w:r>
    </w:p>
    <w:p>
      <w:pPr>
        <w:spacing w:after="0" w:line="132"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30"/>
          <w:szCs w:val="30"/>
          <w:color w:val="0E1020"/>
        </w:rPr>
        <w:t>RATIFICATION OF THE APPOINTMENT OF DELOITTE &amp; TOUCHE LLP AS OUR INDEPENDENT REGISTERED PUBLIC ACCOUNTING FIRM FOR THE FISCAL YEAR ENDING MARCH 31,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265430</wp:posOffset>
            </wp:positionV>
            <wp:extent cx="7133590" cy="6216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3590" cy="62166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b w:val="1"/>
          <w:bCs w:val="1"/>
          <w:color w:val="0E1020"/>
        </w:rPr>
        <w:t>BOARD RECOMMENDATION</w:t>
      </w:r>
    </w:p>
    <w:p>
      <w:pPr>
        <w:spacing w:after="0" w:line="42" w:lineRule="exact"/>
        <w:rPr>
          <w:sz w:val="20"/>
          <w:szCs w:val="20"/>
          <w:color w:val="auto"/>
        </w:rPr>
      </w:pPr>
    </w:p>
    <w:p>
      <w:pPr>
        <w:ind w:left="1460" w:right="600"/>
        <w:spacing w:after="0" w:line="272" w:lineRule="auto"/>
        <w:rPr>
          <w:sz w:val="20"/>
          <w:szCs w:val="20"/>
          <w:color w:val="auto"/>
        </w:rPr>
      </w:pPr>
      <w:r>
        <w:rPr>
          <w:rFonts w:ascii="Arial" w:cs="Arial" w:eastAsia="Arial" w:hAnsi="Arial"/>
          <w:sz w:val="14"/>
          <w:szCs w:val="14"/>
          <w:color w:val="0E1020"/>
        </w:rPr>
        <w:t xml:space="preserve">The Board of Directors recommends a vote </w:t>
      </w:r>
      <w:r>
        <w:rPr>
          <w:rFonts w:ascii="Arial" w:cs="Arial" w:eastAsia="Arial" w:hAnsi="Arial"/>
          <w:sz w:val="14"/>
          <w:szCs w:val="14"/>
          <w:b w:val="1"/>
          <w:bCs w:val="1"/>
          <w:color w:val="0E1020"/>
        </w:rPr>
        <w:t>FOR</w:t>
      </w:r>
      <w:r>
        <w:rPr>
          <w:rFonts w:ascii="Arial" w:cs="Arial" w:eastAsia="Arial" w:hAnsi="Arial"/>
          <w:sz w:val="14"/>
          <w:szCs w:val="14"/>
          <w:color w:val="0E1020"/>
        </w:rPr>
        <w:t xml:space="preserve"> the ratification of the appointment of Deloitte &amp; Touche LLP as our independent registered public accounting firm for the fiscal year ending March 31, 2027.</w:t>
      </w:r>
    </w:p>
    <w:p>
      <w:pPr>
        <w:spacing w:after="0" w:line="200" w:lineRule="exact"/>
        <w:rPr>
          <w:sz w:val="20"/>
          <w:szCs w:val="20"/>
          <w:color w:val="auto"/>
        </w:rPr>
      </w:pPr>
    </w:p>
    <w:p>
      <w:pPr>
        <w:spacing w:after="0" w:line="228"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0E1020"/>
        </w:rPr>
        <w:t>The Audit Committee has appointed Deloitte &amp; Touche LLP as DXC’s independent registered public accounting firm for the fiscal year ending March 31, 2027, and the Board asks stockholders to ratify that appointment. Although current law, rules, and regulations, as well as the charter of the Audit Committee, require the Audit Committee to engage, retain, and oversee DXC’s independent registered public accounting firm, the Board considers the appointment of the independent registered public accounting firm to be an important matter of stockholder concern and is submitting the appointment of Deloitte &amp; Touche LLP for ratification by stockholders as a matter of good corporate practice. The Board considers the appointment of Deloitte &amp; Touche LLP as DXC’s independent registered public accounting firm for the fiscal year ending March 31, 2027 to be in the best interests of DXC and its stockholders. A representative from Deloitte &amp; Touche LLP will attend the meeting and will have the opportunity to make a statement if they desire and respond to appropriate questions regarding the audit of DXC’s financial statements.</w:t>
      </w:r>
    </w:p>
    <w:p>
      <w:pPr>
        <w:spacing w:after="0" w:line="50" w:lineRule="exact"/>
        <w:rPr>
          <w:sz w:val="20"/>
          <w:szCs w:val="20"/>
          <w:color w:val="auto"/>
        </w:rPr>
      </w:pPr>
    </w:p>
    <w:p>
      <w:pPr>
        <w:ind w:right="580"/>
        <w:spacing w:after="0" w:line="335" w:lineRule="auto"/>
        <w:rPr>
          <w:sz w:val="20"/>
          <w:szCs w:val="20"/>
          <w:color w:val="auto"/>
        </w:rPr>
      </w:pPr>
      <w:r>
        <w:rPr>
          <w:rFonts w:ascii="Arial" w:cs="Arial" w:eastAsia="Arial" w:hAnsi="Arial"/>
          <w:sz w:val="16"/>
          <w:szCs w:val="16"/>
          <w:color w:val="0E1020"/>
        </w:rPr>
        <w:t>If stockholders do not ratify the appointment of Deloitte &amp; Touche LLP, the Audit Committee will consider whether it is appropriate to appoint a different independent registered public accounting firm.</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Vote Required</w:t>
      </w:r>
    </w:p>
    <w:p>
      <w:pPr>
        <w:spacing w:after="0" w:line="148" w:lineRule="exact"/>
        <w:rPr>
          <w:sz w:val="20"/>
          <w:szCs w:val="20"/>
          <w:color w:val="auto"/>
        </w:rPr>
      </w:pPr>
    </w:p>
    <w:p>
      <w:pPr>
        <w:ind w:right="180"/>
        <w:spacing w:after="0" w:line="316" w:lineRule="auto"/>
        <w:rPr>
          <w:sz w:val="20"/>
          <w:szCs w:val="20"/>
          <w:color w:val="auto"/>
        </w:rPr>
      </w:pPr>
      <w:r>
        <w:rPr>
          <w:rFonts w:ascii="Arial" w:cs="Arial" w:eastAsia="Arial" w:hAnsi="Arial"/>
          <w:sz w:val="16"/>
          <w:szCs w:val="16"/>
          <w:color w:val="0E1020"/>
        </w:rPr>
        <w:t>The affirmative vote of holders of a majority of the shares of common stock present in person (virtually) or represented by proxy and voting is required to approve the ratification of the appointment of Deloitte &amp; Touche LLP as DXC’s independent auditor for the current fiscal year. Abstentions will have no effect on the vote for this proposal. We do not expect any broker non-votes on this proposal since this is a routine matter.</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Fees</w:t>
      </w:r>
    </w:p>
    <w:p>
      <w:pPr>
        <w:spacing w:after="0" w:line="148"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0E1020"/>
        </w:rPr>
        <w:t>The following table summarizes the aggregate fees billed by DXC’s principal accounting firm, Deloitte &amp; Touche LLP, the member firm of Deloitte Touche Tohmatsu Limited, and their respective affiliates, which include Deloitte Tax LLP and Deloitte Consulting LLP, for services provided to DXC during fiscal years 2026 and 2025.</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80" w:type="dxa"/>
            <w:vAlign w:val="bottom"/>
            <w:shd w:val="clear" w:color="auto" w:fill="F6F3F0"/>
          </w:tcPr>
          <w:p>
            <w:pPr>
              <w:spacing w:after="0"/>
              <w:rPr>
                <w:sz w:val="21"/>
                <w:szCs w:val="21"/>
                <w:color w:val="auto"/>
              </w:rPr>
            </w:pPr>
          </w:p>
        </w:tc>
        <w:tc>
          <w:tcPr>
            <w:tcW w:w="216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Fiscal 2026</w:t>
            </w:r>
          </w:p>
        </w:tc>
        <w:tc>
          <w:tcPr>
            <w:tcW w:w="2300" w:type="dxa"/>
            <w:vAlign w:val="bottom"/>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Fiscal 2025</w:t>
            </w:r>
          </w:p>
        </w:tc>
      </w:tr>
      <w:tr>
        <w:trPr>
          <w:trHeight w:val="195"/>
        </w:trPr>
        <w:tc>
          <w:tcPr>
            <w:tcW w:w="6780" w:type="dxa"/>
            <w:vAlign w:val="bottom"/>
            <w:shd w:val="clear" w:color="auto" w:fill="F6F3F0"/>
          </w:tcPr>
          <w:p>
            <w:pPr>
              <w:ind w:left="100"/>
              <w:spacing w:after="0"/>
              <w:rPr>
                <w:sz w:val="20"/>
                <w:szCs w:val="20"/>
                <w:color w:val="auto"/>
              </w:rPr>
            </w:pPr>
            <w:r>
              <w:rPr>
                <w:rFonts w:ascii="Arial" w:cs="Arial" w:eastAsia="Arial" w:hAnsi="Arial"/>
                <w:sz w:val="14"/>
                <w:szCs w:val="14"/>
                <w:b w:val="1"/>
                <w:bCs w:val="1"/>
                <w:color w:val="0E1020"/>
              </w:rPr>
              <w:t>(in millions)</w:t>
            </w:r>
          </w:p>
        </w:tc>
        <w:tc>
          <w:tcPr>
            <w:tcW w:w="216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2300" w:type="dxa"/>
            <w:vAlign w:val="bottom"/>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w:t>
            </w:r>
          </w:p>
        </w:tc>
      </w:tr>
      <w:tr>
        <w:trPr>
          <w:trHeight w:val="69"/>
        </w:trPr>
        <w:tc>
          <w:tcPr>
            <w:tcW w:w="6780" w:type="dxa"/>
            <w:vAlign w:val="bottom"/>
            <w:tcBorders>
              <w:bottom w:val="single" w:sz="8" w:color="CFCFD2"/>
            </w:tcBorders>
            <w:shd w:val="clear" w:color="auto" w:fill="F6F3F0"/>
          </w:tcPr>
          <w:p>
            <w:pPr>
              <w:spacing w:after="0"/>
              <w:rPr>
                <w:sz w:val="5"/>
                <w:szCs w:val="5"/>
                <w:color w:val="auto"/>
              </w:rPr>
            </w:pPr>
          </w:p>
        </w:tc>
        <w:tc>
          <w:tcPr>
            <w:tcW w:w="2160" w:type="dxa"/>
            <w:vAlign w:val="bottom"/>
            <w:tcBorders>
              <w:bottom w:val="single" w:sz="8" w:color="CFCFD2"/>
            </w:tcBorders>
            <w:shd w:val="clear" w:color="auto" w:fill="F6F3F0"/>
          </w:tcPr>
          <w:p>
            <w:pPr>
              <w:spacing w:after="0"/>
              <w:rPr>
                <w:sz w:val="5"/>
                <w:szCs w:val="5"/>
                <w:color w:val="auto"/>
              </w:rPr>
            </w:pPr>
          </w:p>
        </w:tc>
        <w:tc>
          <w:tcPr>
            <w:tcW w:w="2300" w:type="dxa"/>
            <w:vAlign w:val="bottom"/>
            <w:tcBorders>
              <w:bottom w:val="single" w:sz="8" w:color="CFCFD2"/>
            </w:tcBorders>
            <w:shd w:val="clear" w:color="auto" w:fill="F6F3F0"/>
          </w:tcPr>
          <w:p>
            <w:pPr>
              <w:spacing w:after="0"/>
              <w:rPr>
                <w:sz w:val="5"/>
                <w:szCs w:val="5"/>
                <w:color w:val="auto"/>
              </w:rPr>
            </w:pPr>
          </w:p>
        </w:tc>
      </w:tr>
      <w:tr>
        <w:trPr>
          <w:trHeight w:val="221"/>
        </w:trPr>
        <w:tc>
          <w:tcPr>
            <w:tcW w:w="6780" w:type="dxa"/>
            <w:vAlign w:val="bottom"/>
            <w:tcBorders>
              <w:bottom w:val="single" w:sz="8" w:color="CFCFD2"/>
            </w:tcBorders>
          </w:tcPr>
          <w:p>
            <w:pPr>
              <w:ind w:left="100"/>
              <w:spacing w:after="0"/>
              <w:rPr>
                <w:sz w:val="20"/>
                <w:szCs w:val="20"/>
                <w:color w:val="auto"/>
              </w:rPr>
            </w:pPr>
            <w:r>
              <w:rPr>
                <w:rFonts w:ascii="Arial" w:cs="Arial" w:eastAsia="Arial" w:hAnsi="Arial"/>
                <w:sz w:val="14"/>
                <w:szCs w:val="14"/>
                <w:color w:val="0E1020"/>
              </w:rPr>
              <w:t>Audit Fees</w:t>
            </w:r>
            <w:r>
              <w:rPr>
                <w:rFonts w:ascii="Arial" w:cs="Arial" w:eastAsia="Arial" w:hAnsi="Arial"/>
                <w:sz w:val="18"/>
                <w:szCs w:val="18"/>
                <w:color w:val="0E1020"/>
                <w:vertAlign w:val="superscript"/>
              </w:rPr>
              <w:t>(1)</w:t>
            </w:r>
          </w:p>
        </w:tc>
        <w:tc>
          <w:tcPr>
            <w:tcW w:w="216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19.40</w:t>
            </w:r>
          </w:p>
        </w:tc>
        <w:tc>
          <w:tcPr>
            <w:tcW w:w="2300" w:type="dxa"/>
            <w:vAlign w:val="bottom"/>
            <w:tcBorders>
              <w:bottom w:val="single" w:sz="8" w:color="CFCFD2"/>
            </w:tcBorders>
          </w:tcPr>
          <w:p>
            <w:pPr>
              <w:jc w:val="right"/>
              <w:ind w:right="89"/>
              <w:spacing w:after="0"/>
              <w:rPr>
                <w:sz w:val="20"/>
                <w:szCs w:val="20"/>
                <w:color w:val="auto"/>
              </w:rPr>
            </w:pPr>
            <w:r>
              <w:rPr>
                <w:rFonts w:ascii="Arial" w:cs="Arial" w:eastAsia="Arial" w:hAnsi="Arial"/>
                <w:sz w:val="14"/>
                <w:szCs w:val="14"/>
                <w:color w:val="0E1020"/>
              </w:rPr>
              <w:t>19.10</w:t>
            </w:r>
          </w:p>
        </w:tc>
      </w:tr>
      <w:tr>
        <w:trPr>
          <w:trHeight w:val="221"/>
        </w:trPr>
        <w:tc>
          <w:tcPr>
            <w:tcW w:w="6780" w:type="dxa"/>
            <w:vAlign w:val="bottom"/>
            <w:tcBorders>
              <w:bottom w:val="single" w:sz="8" w:color="CFCFD2"/>
            </w:tcBorders>
          </w:tcPr>
          <w:p>
            <w:pPr>
              <w:ind w:left="100"/>
              <w:spacing w:after="0"/>
              <w:rPr>
                <w:sz w:val="20"/>
                <w:szCs w:val="20"/>
                <w:color w:val="auto"/>
              </w:rPr>
            </w:pPr>
            <w:r>
              <w:rPr>
                <w:rFonts w:ascii="Arial" w:cs="Arial" w:eastAsia="Arial" w:hAnsi="Arial"/>
                <w:sz w:val="14"/>
                <w:szCs w:val="14"/>
                <w:color w:val="0E1020"/>
              </w:rPr>
              <w:t>Audit-Related Fees</w:t>
            </w:r>
            <w:r>
              <w:rPr>
                <w:rFonts w:ascii="Arial" w:cs="Arial" w:eastAsia="Arial" w:hAnsi="Arial"/>
                <w:sz w:val="18"/>
                <w:szCs w:val="18"/>
                <w:color w:val="0E1020"/>
                <w:vertAlign w:val="superscript"/>
              </w:rPr>
              <w:t>(2)</w:t>
            </w:r>
          </w:p>
        </w:tc>
        <w:tc>
          <w:tcPr>
            <w:tcW w:w="216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9.50</w:t>
            </w:r>
          </w:p>
        </w:tc>
        <w:tc>
          <w:tcPr>
            <w:tcW w:w="2300" w:type="dxa"/>
            <w:vAlign w:val="bottom"/>
            <w:tcBorders>
              <w:bottom w:val="single" w:sz="8" w:color="CFCFD2"/>
            </w:tcBorders>
          </w:tcPr>
          <w:p>
            <w:pPr>
              <w:jc w:val="right"/>
              <w:ind w:right="89"/>
              <w:spacing w:after="0"/>
              <w:rPr>
                <w:sz w:val="20"/>
                <w:szCs w:val="20"/>
                <w:color w:val="auto"/>
              </w:rPr>
            </w:pPr>
            <w:r>
              <w:rPr>
                <w:rFonts w:ascii="Arial" w:cs="Arial" w:eastAsia="Arial" w:hAnsi="Arial"/>
                <w:sz w:val="14"/>
                <w:szCs w:val="14"/>
                <w:color w:val="0E1020"/>
              </w:rPr>
              <w:t>10.90</w:t>
            </w:r>
          </w:p>
        </w:tc>
      </w:tr>
      <w:tr>
        <w:trPr>
          <w:trHeight w:val="221"/>
        </w:trPr>
        <w:tc>
          <w:tcPr>
            <w:tcW w:w="6780" w:type="dxa"/>
            <w:vAlign w:val="bottom"/>
            <w:tcBorders>
              <w:bottom w:val="single" w:sz="8" w:color="CFCFD2"/>
            </w:tcBorders>
          </w:tcPr>
          <w:p>
            <w:pPr>
              <w:ind w:left="100"/>
              <w:spacing w:after="0"/>
              <w:rPr>
                <w:sz w:val="20"/>
                <w:szCs w:val="20"/>
                <w:color w:val="auto"/>
              </w:rPr>
            </w:pPr>
            <w:r>
              <w:rPr>
                <w:rFonts w:ascii="Arial" w:cs="Arial" w:eastAsia="Arial" w:hAnsi="Arial"/>
                <w:sz w:val="14"/>
                <w:szCs w:val="14"/>
                <w:color w:val="0E1020"/>
              </w:rPr>
              <w:t>Tax Fees</w:t>
            </w:r>
            <w:r>
              <w:rPr>
                <w:rFonts w:ascii="Arial" w:cs="Arial" w:eastAsia="Arial" w:hAnsi="Arial"/>
                <w:sz w:val="18"/>
                <w:szCs w:val="18"/>
                <w:color w:val="0E1020"/>
                <w:vertAlign w:val="superscript"/>
              </w:rPr>
              <w:t>(3)</w:t>
            </w:r>
          </w:p>
        </w:tc>
        <w:tc>
          <w:tcPr>
            <w:tcW w:w="216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1.20</w:t>
            </w:r>
          </w:p>
        </w:tc>
        <w:tc>
          <w:tcPr>
            <w:tcW w:w="2300" w:type="dxa"/>
            <w:vAlign w:val="bottom"/>
            <w:tcBorders>
              <w:bottom w:val="single" w:sz="8" w:color="CFCFD2"/>
            </w:tcBorders>
          </w:tcPr>
          <w:p>
            <w:pPr>
              <w:jc w:val="right"/>
              <w:ind w:right="89"/>
              <w:spacing w:after="0"/>
              <w:rPr>
                <w:sz w:val="20"/>
                <w:szCs w:val="20"/>
                <w:color w:val="auto"/>
              </w:rPr>
            </w:pPr>
            <w:r>
              <w:rPr>
                <w:rFonts w:ascii="Arial" w:cs="Arial" w:eastAsia="Arial" w:hAnsi="Arial"/>
                <w:sz w:val="14"/>
                <w:szCs w:val="14"/>
                <w:color w:val="0E1020"/>
              </w:rPr>
              <w:t>1.40</w:t>
            </w:r>
          </w:p>
        </w:tc>
      </w:tr>
      <w:tr>
        <w:trPr>
          <w:trHeight w:val="221"/>
        </w:trPr>
        <w:tc>
          <w:tcPr>
            <w:tcW w:w="6780" w:type="dxa"/>
            <w:vAlign w:val="bottom"/>
            <w:tcBorders>
              <w:bottom w:val="single" w:sz="8" w:color="CFCFD2"/>
            </w:tcBorders>
          </w:tcPr>
          <w:p>
            <w:pPr>
              <w:ind w:left="100"/>
              <w:spacing w:after="0"/>
              <w:rPr>
                <w:sz w:val="20"/>
                <w:szCs w:val="20"/>
                <w:color w:val="auto"/>
              </w:rPr>
            </w:pPr>
            <w:r>
              <w:rPr>
                <w:rFonts w:ascii="Arial" w:cs="Arial" w:eastAsia="Arial" w:hAnsi="Arial"/>
                <w:sz w:val="14"/>
                <w:szCs w:val="14"/>
                <w:color w:val="0E1020"/>
              </w:rPr>
              <w:t>All Other Fees</w:t>
            </w:r>
            <w:r>
              <w:rPr>
                <w:rFonts w:ascii="Arial" w:cs="Arial" w:eastAsia="Arial" w:hAnsi="Arial"/>
                <w:sz w:val="18"/>
                <w:szCs w:val="18"/>
                <w:color w:val="0E1020"/>
                <w:vertAlign w:val="superscript"/>
              </w:rPr>
              <w:t>(4)</w:t>
            </w:r>
          </w:p>
        </w:tc>
        <w:tc>
          <w:tcPr>
            <w:tcW w:w="216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0.10</w:t>
            </w:r>
          </w:p>
        </w:tc>
        <w:tc>
          <w:tcPr>
            <w:tcW w:w="2300" w:type="dxa"/>
            <w:vAlign w:val="bottom"/>
            <w:tcBorders>
              <w:bottom w:val="single" w:sz="8" w:color="CFCFD2"/>
            </w:tcBorders>
          </w:tcPr>
          <w:p>
            <w:pPr>
              <w:jc w:val="right"/>
              <w:ind w:right="89"/>
              <w:spacing w:after="0"/>
              <w:rPr>
                <w:sz w:val="20"/>
                <w:szCs w:val="20"/>
                <w:color w:val="auto"/>
              </w:rPr>
            </w:pPr>
            <w:r>
              <w:rPr>
                <w:rFonts w:ascii="Arial" w:cs="Arial" w:eastAsia="Arial" w:hAnsi="Arial"/>
                <w:sz w:val="14"/>
                <w:szCs w:val="14"/>
                <w:color w:val="0E1020"/>
              </w:rPr>
              <w:t>0.10</w:t>
            </w:r>
          </w:p>
        </w:tc>
      </w:tr>
      <w:tr>
        <w:trPr>
          <w:trHeight w:val="228"/>
        </w:trPr>
        <w:tc>
          <w:tcPr>
            <w:tcW w:w="6780" w:type="dxa"/>
            <w:vAlign w:val="bottom"/>
            <w:tcBorders>
              <w:bottom w:val="single" w:sz="8" w:color="F6F3F0"/>
            </w:tcBorders>
            <w:shd w:val="clear" w:color="auto" w:fill="F6F3F0"/>
          </w:tcPr>
          <w:p>
            <w:pPr>
              <w:ind w:left="100"/>
              <w:spacing w:after="0"/>
              <w:rPr>
                <w:sz w:val="20"/>
                <w:szCs w:val="20"/>
                <w:color w:val="auto"/>
              </w:rPr>
            </w:pPr>
            <w:r>
              <w:rPr>
                <w:rFonts w:ascii="Arial" w:cs="Arial" w:eastAsia="Arial" w:hAnsi="Arial"/>
                <w:sz w:val="14"/>
                <w:szCs w:val="14"/>
                <w:b w:val="1"/>
                <w:bCs w:val="1"/>
                <w:color w:val="0E1020"/>
              </w:rPr>
              <w:t>Total Fees</w:t>
            </w:r>
          </w:p>
        </w:tc>
        <w:tc>
          <w:tcPr>
            <w:tcW w:w="216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4"/>
                <w:szCs w:val="14"/>
                <w:b w:val="1"/>
                <w:bCs w:val="1"/>
                <w:color w:val="0E1020"/>
              </w:rPr>
              <w:t>30.20</w:t>
            </w:r>
          </w:p>
        </w:tc>
        <w:tc>
          <w:tcPr>
            <w:tcW w:w="2300" w:type="dxa"/>
            <w:vAlign w:val="bottom"/>
            <w:tcBorders>
              <w:bottom w:val="single" w:sz="8" w:color="F6F3F0"/>
            </w:tcBorders>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31.50</w:t>
            </w:r>
          </w:p>
        </w:tc>
      </w:tr>
      <w:tr>
        <w:trPr>
          <w:trHeight w:val="20"/>
        </w:trPr>
        <w:tc>
          <w:tcPr>
            <w:tcW w:w="6780" w:type="dxa"/>
            <w:vAlign w:val="bottom"/>
            <w:shd w:val="clear" w:color="auto" w:fill="CFCFD2"/>
          </w:tcPr>
          <w:p>
            <w:pPr>
              <w:spacing w:after="0" w:line="20" w:lineRule="exact"/>
              <w:rPr>
                <w:sz w:val="1"/>
                <w:szCs w:val="1"/>
                <w:color w:val="auto"/>
              </w:rPr>
            </w:pPr>
          </w:p>
        </w:tc>
        <w:tc>
          <w:tcPr>
            <w:tcW w:w="2160" w:type="dxa"/>
            <w:vAlign w:val="bottom"/>
            <w:shd w:val="clear" w:color="auto" w:fill="CFCFD2"/>
          </w:tcPr>
          <w:p>
            <w:pPr>
              <w:spacing w:after="0" w:line="20" w:lineRule="exact"/>
              <w:rPr>
                <w:sz w:val="1"/>
                <w:szCs w:val="1"/>
                <w:color w:val="auto"/>
              </w:rPr>
            </w:pPr>
          </w:p>
        </w:tc>
        <w:tc>
          <w:tcPr>
            <w:tcW w:w="2300" w:type="dxa"/>
            <w:vAlign w:val="bottom"/>
            <w:shd w:val="clear" w:color="auto" w:fill="CFCFD2"/>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17</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25" w:name="page26"/>
    <w:bookmarkEnd w:id="25"/>
    <w:p>
      <w:pPr>
        <w:ind w:left="20"/>
        <w:spacing w:after="0"/>
        <w:tabs>
          <w:tab w:leader="none" w:pos="10100" w:val="left"/>
        </w:tabs>
        <w:rPr>
          <w:sz w:val="20"/>
          <w:szCs w:val="20"/>
          <w:color w:val="auto"/>
        </w:rPr>
      </w:pPr>
      <w:r>
        <w:rPr>
          <w:rFonts w:ascii="Arial" w:cs="Arial" w:eastAsia="Arial" w:hAnsi="Arial"/>
          <w:sz w:val="14"/>
          <w:szCs w:val="14"/>
          <w:color w:val="auto"/>
        </w:rPr>
        <w:t>Proposal 2</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80" w:right="80" w:hanging="312"/>
        <w:spacing w:after="0" w:line="279" w:lineRule="auto"/>
        <w:tabs>
          <w:tab w:leader="none" w:pos="480" w:val="left"/>
        </w:tabs>
        <w:numPr>
          <w:ilvl w:val="0"/>
          <w:numId w:val="17"/>
        </w:numPr>
        <w:rPr>
          <w:rFonts w:ascii="Arial" w:cs="Arial" w:eastAsia="Arial" w:hAnsi="Arial"/>
          <w:sz w:val="14"/>
          <w:szCs w:val="14"/>
          <w:color w:val="0E1020"/>
        </w:rPr>
      </w:pPr>
      <w:r>
        <w:rPr>
          <w:rFonts w:ascii="Arial" w:cs="Arial" w:eastAsia="Arial" w:hAnsi="Arial"/>
          <w:sz w:val="14"/>
          <w:szCs w:val="14"/>
          <w:color w:val="0E1020"/>
        </w:rPr>
        <w:t>Includes fees associated with the audit of our consolidated annual financial statements, review of our consolidated interim financial statements, and the audit of our internal control over financial reporting. This would also include services that an independent auditor would customarily provide in connection with subsidiary audits, non-US statutory requirements, regulatory filings, and similar engagements for the fiscal year.</w:t>
      </w:r>
    </w:p>
    <w:p>
      <w:pPr>
        <w:spacing w:after="0" w:line="1" w:lineRule="exact"/>
        <w:rPr>
          <w:rFonts w:ascii="Arial" w:cs="Arial" w:eastAsia="Arial" w:hAnsi="Arial"/>
          <w:sz w:val="14"/>
          <w:szCs w:val="14"/>
          <w:color w:val="0E1020"/>
        </w:rPr>
      </w:pPr>
    </w:p>
    <w:p>
      <w:pPr>
        <w:ind w:left="480" w:right="280" w:hanging="312"/>
        <w:spacing w:after="0" w:line="299" w:lineRule="auto"/>
        <w:tabs>
          <w:tab w:leader="none" w:pos="453" w:val="left"/>
        </w:tabs>
        <w:numPr>
          <w:ilvl w:val="0"/>
          <w:numId w:val="17"/>
        </w:numPr>
        <w:rPr>
          <w:rFonts w:ascii="Arial" w:cs="Arial" w:eastAsia="Arial" w:hAnsi="Arial"/>
          <w:sz w:val="14"/>
          <w:szCs w:val="14"/>
          <w:color w:val="0E1020"/>
        </w:rPr>
      </w:pPr>
      <w:r>
        <w:rPr>
          <w:rFonts w:ascii="Arial" w:cs="Arial" w:eastAsia="Arial" w:hAnsi="Arial"/>
          <w:sz w:val="14"/>
          <w:szCs w:val="14"/>
          <w:color w:val="0E1020"/>
        </w:rPr>
        <w:t>Consists primarily of fees for third-party assurance audits and readiness assessments for new third-party assurance reports for outsourced services, employee benefit plan audits, and carve-out audits and accounting consultations related to historical transactions.</w:t>
      </w:r>
    </w:p>
    <w:p>
      <w:pPr>
        <w:spacing w:after="0" w:line="1" w:lineRule="exact"/>
        <w:rPr>
          <w:rFonts w:ascii="Arial" w:cs="Arial" w:eastAsia="Arial" w:hAnsi="Arial"/>
          <w:sz w:val="14"/>
          <w:szCs w:val="14"/>
          <w:color w:val="0E1020"/>
        </w:rPr>
      </w:pPr>
    </w:p>
    <w:p>
      <w:pPr>
        <w:ind w:left="460" w:hanging="292"/>
        <w:spacing w:after="0"/>
        <w:tabs>
          <w:tab w:leader="none" w:pos="460" w:val="left"/>
        </w:tabs>
        <w:numPr>
          <w:ilvl w:val="0"/>
          <w:numId w:val="17"/>
        </w:numPr>
        <w:rPr>
          <w:rFonts w:ascii="Arial" w:cs="Arial" w:eastAsia="Arial" w:hAnsi="Arial"/>
          <w:sz w:val="14"/>
          <w:szCs w:val="14"/>
          <w:color w:val="0E1020"/>
        </w:rPr>
      </w:pPr>
      <w:r>
        <w:rPr>
          <w:rFonts w:ascii="Arial" w:cs="Arial" w:eastAsia="Arial" w:hAnsi="Arial"/>
          <w:sz w:val="14"/>
          <w:szCs w:val="14"/>
          <w:color w:val="0E1020"/>
        </w:rPr>
        <w:t>Consists of fees for tax compliance, tax planning, and tax advice related to transactions.</w:t>
      </w:r>
    </w:p>
    <w:p>
      <w:pPr>
        <w:spacing w:after="0" w:line="66" w:lineRule="exact"/>
        <w:rPr>
          <w:rFonts w:ascii="Arial" w:cs="Arial" w:eastAsia="Arial" w:hAnsi="Arial"/>
          <w:sz w:val="14"/>
          <w:szCs w:val="14"/>
          <w:color w:val="0E1020"/>
        </w:rPr>
      </w:pPr>
    </w:p>
    <w:p>
      <w:pPr>
        <w:ind w:left="460" w:hanging="292"/>
        <w:spacing w:after="0"/>
        <w:tabs>
          <w:tab w:leader="none" w:pos="460" w:val="left"/>
        </w:tabs>
        <w:numPr>
          <w:ilvl w:val="0"/>
          <w:numId w:val="17"/>
        </w:numPr>
        <w:rPr>
          <w:rFonts w:ascii="Arial" w:cs="Arial" w:eastAsia="Arial" w:hAnsi="Arial"/>
          <w:sz w:val="14"/>
          <w:szCs w:val="14"/>
          <w:color w:val="0E1020"/>
        </w:rPr>
      </w:pPr>
      <w:r>
        <w:rPr>
          <w:rFonts w:ascii="Arial" w:cs="Arial" w:eastAsia="Arial" w:hAnsi="Arial"/>
          <w:sz w:val="14"/>
          <w:szCs w:val="14"/>
          <w:color w:val="0E1020"/>
        </w:rPr>
        <w:t>Consists primarily of fees for access to technical accounting guidance and other permissible advisory services.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0E1020"/>
        </w:rPr>
        <w:t>All fees described above were pre-approved by the Audit Committee in accordance with the pre-approval policy set forth below.</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Pre-Approval Policy</w:t>
      </w:r>
    </w:p>
    <w:p>
      <w:pPr>
        <w:spacing w:after="0" w:line="148"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0E1020"/>
        </w:rPr>
        <w:t>Pursuant to its charter, and in accordance with Section 10A of the Securities Exchange Act of 1934, as amended (the Exchange Act), the Audit Committee pre-approves all audit, audit-related, tax and other services to be provided by the independent auditor. The Audit Committee may delegate to one or more members of the Audit Committee the authority to pre-approve services to be provided by the independent auditor. Such pre-approval decisions of any Audit Committee member to whom such authority is delegated must be presented to the full Audit Committee at its next scheduled meeting.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18</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26" w:name="page27"/>
    <w:bookmarkEnd w:id="26"/>
    <w:p>
      <w:pPr>
        <w:ind w:left="2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6166485</wp:posOffset>
            </wp:positionH>
            <wp:positionV relativeFrom="page">
              <wp:posOffset>106045</wp:posOffset>
            </wp:positionV>
            <wp:extent cx="1166495" cy="3232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232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39"/>
          <w:szCs w:val="39"/>
          <w:b w:val="1"/>
          <w:bCs w:val="1"/>
          <w:color w:val="0E1020"/>
        </w:rPr>
        <w:t>PROPOSAL 3</w:t>
      </w:r>
    </w:p>
    <w:p>
      <w:pPr>
        <w:spacing w:after="0" w:line="132" w:lineRule="exact"/>
        <w:rPr>
          <w:sz w:val="20"/>
          <w:szCs w:val="20"/>
          <w:color w:val="auto"/>
        </w:rPr>
      </w:pPr>
    </w:p>
    <w:p>
      <w:pPr>
        <w:ind w:right="1040"/>
        <w:spacing w:after="0" w:line="287" w:lineRule="auto"/>
        <w:rPr>
          <w:sz w:val="20"/>
          <w:szCs w:val="20"/>
          <w:color w:val="auto"/>
        </w:rPr>
      </w:pPr>
      <w:r>
        <w:rPr>
          <w:rFonts w:ascii="Times New Roman" w:cs="Times New Roman" w:eastAsia="Times New Roman" w:hAnsi="Times New Roman"/>
          <w:sz w:val="30"/>
          <w:szCs w:val="30"/>
          <w:color w:val="0E1020"/>
        </w:rPr>
        <w:t>NON-BINDING ADVISORY VOTE TO APPROVE OUR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248285</wp:posOffset>
            </wp:positionV>
            <wp:extent cx="7133590" cy="5873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3590" cy="58737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b w:val="1"/>
          <w:bCs w:val="1"/>
          <w:color w:val="0E1020"/>
        </w:rPr>
        <w:t>BOARD RECOMMENDATION</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4"/>
          <w:szCs w:val="14"/>
          <w:color w:val="0E1020"/>
        </w:rPr>
        <w:t xml:space="preserve">The Board of Directors recommends a vote </w:t>
      </w:r>
      <w:r>
        <w:rPr>
          <w:rFonts w:ascii="Arial" w:cs="Arial" w:eastAsia="Arial" w:hAnsi="Arial"/>
          <w:sz w:val="14"/>
          <w:szCs w:val="14"/>
          <w:b w:val="1"/>
          <w:bCs w:val="1"/>
          <w:color w:val="0E1020"/>
        </w:rPr>
        <w:t>FOR</w:t>
      </w:r>
      <w:r>
        <w:rPr>
          <w:rFonts w:ascii="Arial" w:cs="Arial" w:eastAsia="Arial" w:hAnsi="Arial"/>
          <w:sz w:val="14"/>
          <w:szCs w:val="14"/>
          <w:color w:val="0E1020"/>
        </w:rPr>
        <w:t xml:space="preserve"> the advisory resolution to approve our named executive officer compensation.</w:t>
      </w:r>
    </w:p>
    <w:p>
      <w:pPr>
        <w:spacing w:after="0" w:line="200" w:lineRule="exact"/>
        <w:rPr>
          <w:sz w:val="20"/>
          <w:szCs w:val="20"/>
          <w:color w:val="auto"/>
        </w:rPr>
      </w:pPr>
    </w:p>
    <w:p>
      <w:pPr>
        <w:spacing w:after="0" w:line="331"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color w:val="0E1020"/>
        </w:rPr>
        <w:t>In accordance with Section 14(a) of the Exchange Act, we are providing our stockholders the opportunity to approve, on a non-binding, advisory basis, the compensation of our named executive officers as disclosed in this Proxy Statement. We encourage our stockholders to read the CD&amp;A, the 2026 Summary Compensation Table, and the related compensation tables and narrative appearing elsewhere in this Proxy Statement. Together, these sections provide detailed information on compensation policies, practices, and amounts paid to our named executive officers in fiscal year 2026.</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0E1020"/>
        </w:rPr>
        <w:t>We are therefore asking our stockholders to approve the following advisory resolution at the 2026 Annual Meeting of Stockholders:</w:t>
      </w:r>
    </w:p>
    <w:p>
      <w:pPr>
        <w:spacing w:after="0" w:line="124" w:lineRule="exact"/>
        <w:rPr>
          <w:sz w:val="20"/>
          <w:szCs w:val="20"/>
          <w:color w:val="auto"/>
        </w:rPr>
      </w:pPr>
    </w:p>
    <w:p>
      <w:pPr>
        <w:jc w:val="both"/>
        <w:ind w:left="660" w:right="60"/>
        <w:spacing w:after="0" w:line="316" w:lineRule="auto"/>
        <w:rPr>
          <w:sz w:val="20"/>
          <w:szCs w:val="20"/>
          <w:color w:val="auto"/>
        </w:rPr>
      </w:pPr>
      <w:r>
        <w:rPr>
          <w:rFonts w:ascii="Arial" w:cs="Arial" w:eastAsia="Arial" w:hAnsi="Arial"/>
          <w:sz w:val="16"/>
          <w:szCs w:val="16"/>
          <w:color w:val="0E1020"/>
        </w:rPr>
        <w:t>RESOLVED, that the stockholders of DXC Technology Company approve, on an advisory basis, the compensation of the named executive officers, as disclosed in the DXC Technology Company 2026 definitive Proxy Statement pursuant to Item 402 of Regulation S-K, including the Compensation Discussion and Analysis, compensation tables and the accompanying footnotes and narratives.</w:t>
      </w:r>
    </w:p>
    <w:p>
      <w:pPr>
        <w:spacing w:after="0" w:line="51" w:lineRule="exact"/>
        <w:rPr>
          <w:sz w:val="20"/>
          <w:szCs w:val="20"/>
          <w:color w:val="auto"/>
        </w:rPr>
      </w:pPr>
    </w:p>
    <w:p>
      <w:pPr>
        <w:spacing w:after="0" w:line="301" w:lineRule="auto"/>
        <w:rPr>
          <w:sz w:val="20"/>
          <w:szCs w:val="20"/>
          <w:color w:val="auto"/>
        </w:rPr>
      </w:pPr>
      <w:r>
        <w:rPr>
          <w:rFonts w:ascii="Arial" w:cs="Arial" w:eastAsia="Arial" w:hAnsi="Arial"/>
          <w:sz w:val="16"/>
          <w:szCs w:val="16"/>
          <w:color w:val="0E1020"/>
        </w:rPr>
        <w:t>The vote on the compensation of our named executive officers as disclosed in this Proxy Statement is advisory, and therefore not binding on DXC, the Compensation Committee or our Board. Our Board and our Compensation Committee value the opinions of our stockholders. To the extent there is any significant vote against the named executive officer compensation as disclosed in this Proxy Statement, we will consider our stockholders’ concerns and the Compensation Committee will evaluate whether any actions are necessary to address those concerns. We have determined that our stockholders should cast an advisory vote to approve the compensation of our named executive officers on an annual basis. Unless this determination changes, the next advisory vote to approve the compensation of our named executive officers will be at the 2027 Annual Meeting of Stockholders.</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Vote Required</w:t>
      </w:r>
    </w:p>
    <w:p>
      <w:pPr>
        <w:spacing w:after="0" w:line="148" w:lineRule="exact"/>
        <w:rPr>
          <w:sz w:val="20"/>
          <w:szCs w:val="20"/>
          <w:color w:val="auto"/>
        </w:rPr>
      </w:pPr>
    </w:p>
    <w:p>
      <w:pPr>
        <w:ind w:right="380"/>
        <w:spacing w:after="0" w:line="304" w:lineRule="auto"/>
        <w:rPr>
          <w:sz w:val="20"/>
          <w:szCs w:val="20"/>
          <w:color w:val="auto"/>
        </w:rPr>
      </w:pPr>
      <w:r>
        <w:rPr>
          <w:rFonts w:ascii="Arial" w:cs="Arial" w:eastAsia="Arial" w:hAnsi="Arial"/>
          <w:sz w:val="16"/>
          <w:szCs w:val="16"/>
          <w:color w:val="0E1020"/>
        </w:rPr>
        <w:t>The affirmative vote of holders of a majority of the shares of common stock present in person (virtually) or represented by proxy and voting is required to approve, on an advisory basis, the compensation of the named executive officers, as disclosed in this Proxy Statement pursuant to the compensation disclosure rules of the SEC, including the Compensation Discussion and Analysis, compensation tables and the accompanying footnotes and narratives. Abstentions and broker non-votes, if any, will have no effect on the vote for this proposal.</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19</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27" w:name="page28"/>
    <w:bookmarkEnd w:id="27"/>
    <w:p>
      <w:pPr>
        <w:ind w:left="10120"/>
        <w:spacing w:after="0"/>
        <w:rPr>
          <w:sz w:val="20"/>
          <w:szCs w:val="20"/>
          <w:color w:val="auto"/>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page">
              <wp:posOffset>216535</wp:posOffset>
            </wp:positionH>
            <wp:positionV relativeFrom="page">
              <wp:posOffset>106045</wp:posOffset>
            </wp:positionV>
            <wp:extent cx="1166495" cy="3232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232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39"/>
          <w:szCs w:val="39"/>
          <w:b w:val="1"/>
          <w:bCs w:val="1"/>
          <w:color w:val="0E1020"/>
        </w:rPr>
        <w:t>PROPOSAL 4</w:t>
      </w:r>
    </w:p>
    <w:p>
      <w:pPr>
        <w:spacing w:after="0" w:line="132"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30"/>
          <w:szCs w:val="30"/>
          <w:color w:val="0E1020"/>
        </w:rPr>
        <w:t>APPROVAL OF TERM EXTENSION AND AN INCREASE IN THE NUMBER OF SHARES AVAILABLE UNDER AMENDED AND RESTATED DXC TECHNOLOGY COMPANY 2017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265430</wp:posOffset>
            </wp:positionV>
            <wp:extent cx="7133590" cy="6216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3590" cy="62166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b w:val="1"/>
          <w:bCs w:val="1"/>
          <w:color w:val="0E1020"/>
        </w:rPr>
        <w:t>BOARD RECOMMENDATION</w:t>
      </w:r>
    </w:p>
    <w:p>
      <w:pPr>
        <w:spacing w:after="0" w:line="42" w:lineRule="exact"/>
        <w:rPr>
          <w:sz w:val="20"/>
          <w:szCs w:val="20"/>
          <w:color w:val="auto"/>
        </w:rPr>
      </w:pPr>
    </w:p>
    <w:p>
      <w:pPr>
        <w:ind w:left="1460" w:right="600"/>
        <w:spacing w:after="0" w:line="272" w:lineRule="auto"/>
        <w:rPr>
          <w:sz w:val="20"/>
          <w:szCs w:val="20"/>
          <w:color w:val="auto"/>
        </w:rPr>
      </w:pPr>
      <w:r>
        <w:rPr>
          <w:rFonts w:ascii="Arial" w:cs="Arial" w:eastAsia="Arial" w:hAnsi="Arial"/>
          <w:sz w:val="14"/>
          <w:szCs w:val="14"/>
          <w:color w:val="0E1020"/>
        </w:rPr>
        <w:t xml:space="preserve">The Board of Directors recommends a vote </w:t>
      </w:r>
      <w:r>
        <w:rPr>
          <w:rFonts w:ascii="Arial" w:cs="Arial" w:eastAsia="Arial" w:hAnsi="Arial"/>
          <w:sz w:val="14"/>
          <w:szCs w:val="14"/>
          <w:b w:val="1"/>
          <w:bCs w:val="1"/>
          <w:color w:val="0E1020"/>
        </w:rPr>
        <w:t>FOR</w:t>
      </w:r>
      <w:r>
        <w:rPr>
          <w:rFonts w:ascii="Arial" w:cs="Arial" w:eastAsia="Arial" w:hAnsi="Arial"/>
          <w:sz w:val="14"/>
          <w:szCs w:val="14"/>
          <w:color w:val="0E1020"/>
        </w:rPr>
        <w:t xml:space="preserve"> the approval of the term extension and the increase in the number of shares available under the Amended and Restated DXC Technology Company 2017 Omnibus Incentive Plan.</w:t>
      </w:r>
    </w:p>
    <w:p>
      <w:pPr>
        <w:spacing w:after="0" w:line="200" w:lineRule="exact"/>
        <w:rPr>
          <w:sz w:val="20"/>
          <w:szCs w:val="20"/>
          <w:color w:val="auto"/>
        </w:rPr>
      </w:pPr>
    </w:p>
    <w:p>
      <w:pPr>
        <w:spacing w:after="0" w:line="228"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color w:val="0E1020"/>
        </w:rPr>
        <w:t>The Board is requesting that stockholders vote in favor of amending the Amended and Restated DXC Technology Company 2017 Omnibus Incentive Plan (the “2017 OIP”) to add 20 million shares to the share reserve and extend the term of the plan. If this Proposal is approved, the term of the 2017 OIP will extend to March 30, 2037; if not approved, the share reserve under the 2017 OIP will not be increased and the 2017 OIP will terminate on March 30, 2027, prior to the start of DXC’s fiscal 2028.</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0E1020"/>
        </w:rPr>
        <w:t>The resolution adopting the amendments to the 2017 OIP described in this Proposal is attached as Appendix B to this Proxy Statement.</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Key Changes to the 2017 OIP</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E1020"/>
        </w:rPr>
        <w:t>We are requesting that stockholders approve the amended and restated 2017 OIP, which includes approval of the following:</w:t>
      </w:r>
    </w:p>
    <w:p>
      <w:pPr>
        <w:spacing w:after="0" w:line="151" w:lineRule="exact"/>
        <w:rPr>
          <w:sz w:val="20"/>
          <w:szCs w:val="20"/>
          <w:color w:val="auto"/>
        </w:rPr>
      </w:pPr>
    </w:p>
    <w:p>
      <w:pPr>
        <w:ind w:left="300" w:hanging="293"/>
        <w:spacing w:after="0"/>
        <w:tabs>
          <w:tab w:leader="none" w:pos="300" w:val="left"/>
        </w:tabs>
        <w:numPr>
          <w:ilvl w:val="0"/>
          <w:numId w:val="18"/>
        </w:numPr>
        <w:rPr>
          <w:rFonts w:ascii="Arial" w:cs="Arial" w:eastAsia="Arial" w:hAnsi="Arial"/>
          <w:sz w:val="16"/>
          <w:szCs w:val="16"/>
          <w:b w:val="1"/>
          <w:bCs w:val="1"/>
          <w:color w:val="0E1020"/>
        </w:rPr>
      </w:pPr>
      <w:r>
        <w:rPr>
          <w:rFonts w:ascii="Arial" w:cs="Arial" w:eastAsia="Arial" w:hAnsi="Arial"/>
          <w:sz w:val="16"/>
          <w:szCs w:val="16"/>
          <w:b w:val="1"/>
          <w:bCs w:val="1"/>
          <w:color w:val="0E1020"/>
        </w:rPr>
        <w:t xml:space="preserve">Addition of 20 million shares. </w:t>
      </w:r>
      <w:r>
        <w:rPr>
          <w:rFonts w:ascii="Arial" w:cs="Arial" w:eastAsia="Arial" w:hAnsi="Arial"/>
          <w:sz w:val="16"/>
          <w:szCs w:val="16"/>
          <w:color w:val="0E1020"/>
        </w:rPr>
        <w:t>The Board requests the addition of 20 million shares of our common stock to the 2017 OIP. These 20 million shares</w:t>
      </w:r>
    </w:p>
    <w:p>
      <w:pPr>
        <w:spacing w:after="0" w:line="57" w:lineRule="exact"/>
        <w:rPr>
          <w:rFonts w:ascii="Arial" w:cs="Arial" w:eastAsia="Arial" w:hAnsi="Arial"/>
          <w:sz w:val="16"/>
          <w:szCs w:val="16"/>
          <w:b w:val="1"/>
          <w:bCs w:val="1"/>
          <w:color w:val="0E1020"/>
        </w:rPr>
      </w:pPr>
    </w:p>
    <w:p>
      <w:pPr>
        <w:ind w:left="320"/>
        <w:spacing w:after="0" w:line="297" w:lineRule="auto"/>
        <w:rPr>
          <w:rFonts w:ascii="Arial" w:cs="Arial" w:eastAsia="Arial" w:hAnsi="Arial"/>
          <w:sz w:val="16"/>
          <w:szCs w:val="16"/>
          <w:b w:val="1"/>
          <w:bCs w:val="1"/>
          <w:color w:val="0E1020"/>
        </w:rPr>
      </w:pPr>
      <w:r>
        <w:rPr>
          <w:rFonts w:ascii="Arial" w:cs="Arial" w:eastAsia="Arial" w:hAnsi="Arial"/>
          <w:sz w:val="16"/>
          <w:szCs w:val="16"/>
          <w:color w:val="0E1020"/>
        </w:rPr>
        <w:t>represent approximately 12.1% of our outstanding shares of common stock as of March 31, 2026 (165,485,711 shares). We carefully manage share usage under our equity plans—over the last three fiscal years, our total annual gross burn rate under both the 2017 OIP and the Amended and Restated 2017 Non-Employee Director Incentive Plan (the “2017 DIP”) has averaged 4.3%. We last sought stockholder approval to increase the OIP share reserve in 2020, and we executed our plan to only return to stockholders for approval of another increase once our plan was due for expiration, as the 2020 share reserve increase is expected to provide sufficient shares to last until the current expiration date of the plan on March 30, 2027. If approved, we expect this additional share request would allow us to maintain our regular equity compensation program without interruption through DXC’s fiscal 2030.</w:t>
      </w:r>
    </w:p>
    <w:p>
      <w:pPr>
        <w:spacing w:after="0" w:line="68" w:lineRule="exact"/>
        <w:rPr>
          <w:rFonts w:ascii="Arial" w:cs="Arial" w:eastAsia="Arial" w:hAnsi="Arial"/>
          <w:sz w:val="16"/>
          <w:szCs w:val="16"/>
          <w:b w:val="1"/>
          <w:bCs w:val="1"/>
          <w:color w:val="0E1020"/>
        </w:rPr>
      </w:pPr>
    </w:p>
    <w:p>
      <w:pPr>
        <w:ind w:left="320" w:right="160" w:hanging="313"/>
        <w:spacing w:after="0" w:line="304" w:lineRule="auto"/>
        <w:tabs>
          <w:tab w:leader="none" w:pos="296" w:val="left"/>
        </w:tabs>
        <w:numPr>
          <w:ilvl w:val="0"/>
          <w:numId w:val="18"/>
        </w:numPr>
        <w:rPr>
          <w:rFonts w:ascii="Arial" w:cs="Arial" w:eastAsia="Arial" w:hAnsi="Arial"/>
          <w:sz w:val="16"/>
          <w:szCs w:val="16"/>
          <w:b w:val="1"/>
          <w:bCs w:val="1"/>
          <w:color w:val="0E1020"/>
        </w:rPr>
      </w:pPr>
      <w:r>
        <w:rPr>
          <w:rFonts w:ascii="Arial" w:cs="Arial" w:eastAsia="Arial" w:hAnsi="Arial"/>
          <w:sz w:val="16"/>
          <w:szCs w:val="16"/>
          <w:b w:val="1"/>
          <w:bCs w:val="1"/>
          <w:color w:val="0E1020"/>
        </w:rPr>
        <w:t xml:space="preserve">Extension of the expiration date of the 2017 OIP to March 30, 2037. </w:t>
      </w:r>
      <w:r>
        <w:rPr>
          <w:rFonts w:ascii="Arial" w:cs="Arial" w:eastAsia="Arial" w:hAnsi="Arial"/>
          <w:sz w:val="16"/>
          <w:szCs w:val="16"/>
          <w:color w:val="0E1020"/>
        </w:rPr>
        <w:t>The 2017 OIP is currently scheduled to expire on March 30, 2027, and we are</w:t>
      </w:r>
      <w:r>
        <w:rPr>
          <w:rFonts w:ascii="Arial" w:cs="Arial" w:eastAsia="Arial" w:hAnsi="Arial"/>
          <w:sz w:val="16"/>
          <w:szCs w:val="16"/>
          <w:b w:val="1"/>
          <w:bCs w:val="1"/>
          <w:color w:val="0E1020"/>
        </w:rPr>
        <w:t xml:space="preserve"> </w:t>
      </w:r>
      <w:r>
        <w:rPr>
          <w:rFonts w:ascii="Arial" w:cs="Arial" w:eastAsia="Arial" w:hAnsi="Arial"/>
          <w:sz w:val="16"/>
          <w:szCs w:val="16"/>
          <w:color w:val="0E1020"/>
        </w:rPr>
        <w:t>requesting an extension of the expiration of the plan to March 30, 2037. We are requesting an additional ten-year extension as this is consistent with standard market and peer practice, and provides stability to help ensure the Board, the Compensation Committee, and Management efficiently execute our long-term incentive plan goals.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20</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28" w:name="page29"/>
    <w:bookmarkEnd w:id="28"/>
    <w:p>
      <w:pPr>
        <w:ind w:left="20"/>
        <w:spacing w:after="0"/>
        <w:tabs>
          <w:tab w:leader="none" w:pos="1052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0E1020"/>
        </w:rPr>
        <w:t>Proposal 4</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Key Factors &amp; Reasons to Vote for the Proposal</w:t>
      </w:r>
    </w:p>
    <w:p>
      <w:pPr>
        <w:spacing w:after="0" w:line="148" w:lineRule="exact"/>
        <w:rPr>
          <w:sz w:val="20"/>
          <w:szCs w:val="20"/>
          <w:color w:val="auto"/>
        </w:rPr>
      </w:pPr>
    </w:p>
    <w:p>
      <w:pPr>
        <w:ind w:left="320" w:right="20" w:hanging="313"/>
        <w:spacing w:after="0" w:line="335" w:lineRule="auto"/>
        <w:tabs>
          <w:tab w:leader="none" w:pos="282" w:val="left"/>
        </w:tabs>
        <w:numPr>
          <w:ilvl w:val="0"/>
          <w:numId w:val="19"/>
        </w:numPr>
        <w:rPr>
          <w:rFonts w:ascii="Arial" w:cs="Arial" w:eastAsia="Arial" w:hAnsi="Arial"/>
          <w:sz w:val="16"/>
          <w:szCs w:val="16"/>
          <w:color w:val="0E1020"/>
        </w:rPr>
      </w:pPr>
      <w:r>
        <w:rPr>
          <w:rFonts w:ascii="Arial" w:cs="Arial" w:eastAsia="Arial" w:hAnsi="Arial"/>
          <w:sz w:val="16"/>
          <w:szCs w:val="16"/>
          <w:b w:val="1"/>
          <w:bCs w:val="1"/>
          <w:color w:val="0E1020"/>
        </w:rPr>
        <w:t>Long-term equity is a key component of our compensation programs</w:t>
      </w:r>
      <w:r>
        <w:rPr>
          <w:rFonts w:ascii="Arial" w:cs="Arial" w:eastAsia="Arial" w:hAnsi="Arial"/>
          <w:sz w:val="16"/>
          <w:szCs w:val="16"/>
          <w:color w:val="0E1020"/>
        </w:rPr>
        <w:t>. The Board strongly believes that long-term equity compensation is essential to</w:t>
      </w:r>
      <w:r>
        <w:rPr>
          <w:rFonts w:ascii="Arial" w:cs="Arial" w:eastAsia="Arial" w:hAnsi="Arial"/>
          <w:sz w:val="16"/>
          <w:szCs w:val="16"/>
          <w:b w:val="1"/>
          <w:bCs w:val="1"/>
          <w:color w:val="0E1020"/>
        </w:rPr>
        <w:t xml:space="preserve"> </w:t>
      </w:r>
      <w:r>
        <w:rPr>
          <w:rFonts w:ascii="Arial" w:cs="Arial" w:eastAsia="Arial" w:hAnsi="Arial"/>
          <w:sz w:val="16"/>
          <w:szCs w:val="16"/>
          <w:color w:val="0E1020"/>
        </w:rPr>
        <w:t>attract, motivate, and retain talent.</w:t>
      </w:r>
    </w:p>
    <w:p>
      <w:pPr>
        <w:spacing w:after="0" w:line="35" w:lineRule="exact"/>
        <w:rPr>
          <w:rFonts w:ascii="Arial" w:cs="Arial" w:eastAsia="Arial" w:hAnsi="Arial"/>
          <w:sz w:val="16"/>
          <w:szCs w:val="16"/>
          <w:color w:val="0E1020"/>
        </w:rPr>
      </w:pPr>
    </w:p>
    <w:p>
      <w:pPr>
        <w:ind w:left="320" w:right="280" w:hanging="313"/>
        <w:spacing w:after="0" w:line="307" w:lineRule="auto"/>
        <w:tabs>
          <w:tab w:leader="none" w:pos="282" w:val="left"/>
        </w:tabs>
        <w:numPr>
          <w:ilvl w:val="0"/>
          <w:numId w:val="19"/>
        </w:numPr>
        <w:rPr>
          <w:rFonts w:ascii="Arial" w:cs="Arial" w:eastAsia="Arial" w:hAnsi="Arial"/>
          <w:sz w:val="16"/>
          <w:szCs w:val="16"/>
          <w:color w:val="0E1020"/>
        </w:rPr>
      </w:pPr>
      <w:r>
        <w:rPr>
          <w:rFonts w:ascii="Arial" w:cs="Arial" w:eastAsia="Arial" w:hAnsi="Arial"/>
          <w:sz w:val="16"/>
          <w:szCs w:val="16"/>
          <w:b w:val="1"/>
          <w:bCs w:val="1"/>
          <w:color w:val="0E1020"/>
        </w:rPr>
        <w:t>Equity awards granted under the 2017 OIP align participant and stockholder interests</w:t>
      </w:r>
      <w:r>
        <w:rPr>
          <w:rFonts w:ascii="Arial" w:cs="Arial" w:eastAsia="Arial" w:hAnsi="Arial"/>
          <w:sz w:val="16"/>
          <w:szCs w:val="16"/>
          <w:color w:val="0E1020"/>
        </w:rPr>
        <w:t>. Equity awards, whose value depends on our stock</w:t>
      </w:r>
      <w:r>
        <w:rPr>
          <w:rFonts w:ascii="Arial" w:cs="Arial" w:eastAsia="Arial" w:hAnsi="Arial"/>
          <w:sz w:val="16"/>
          <w:szCs w:val="16"/>
          <w:b w:val="1"/>
          <w:bCs w:val="1"/>
          <w:color w:val="0E1020"/>
        </w:rPr>
        <w:t xml:space="preserve"> </w:t>
      </w:r>
      <w:r>
        <w:rPr>
          <w:rFonts w:ascii="Arial" w:cs="Arial" w:eastAsia="Arial" w:hAnsi="Arial"/>
          <w:sz w:val="16"/>
          <w:szCs w:val="16"/>
          <w:color w:val="0E1020"/>
        </w:rPr>
        <w:t>performance and which require continued service over time before any value can be realized, link participant compensation to company performance, maintain a culture based on employee stock ownership, and retain talented employees in a highly competitive labor market.</w:t>
      </w:r>
    </w:p>
    <w:p>
      <w:pPr>
        <w:spacing w:after="0" w:line="58" w:lineRule="exact"/>
        <w:rPr>
          <w:rFonts w:ascii="Arial" w:cs="Arial" w:eastAsia="Arial" w:hAnsi="Arial"/>
          <w:sz w:val="16"/>
          <w:szCs w:val="16"/>
          <w:color w:val="0E1020"/>
        </w:rPr>
      </w:pPr>
    </w:p>
    <w:p>
      <w:pPr>
        <w:ind w:left="320" w:right="20" w:hanging="313"/>
        <w:spacing w:after="0" w:line="318" w:lineRule="auto"/>
        <w:tabs>
          <w:tab w:leader="none" w:pos="282" w:val="left"/>
        </w:tabs>
        <w:numPr>
          <w:ilvl w:val="0"/>
          <w:numId w:val="19"/>
        </w:numPr>
        <w:rPr>
          <w:rFonts w:ascii="Arial" w:cs="Arial" w:eastAsia="Arial" w:hAnsi="Arial"/>
          <w:sz w:val="16"/>
          <w:szCs w:val="16"/>
          <w:color w:val="0E1020"/>
        </w:rPr>
      </w:pPr>
      <w:r>
        <w:rPr>
          <w:rFonts w:ascii="Arial" w:cs="Arial" w:eastAsia="Arial" w:hAnsi="Arial"/>
          <w:sz w:val="16"/>
          <w:szCs w:val="16"/>
          <w:b w:val="1"/>
          <w:bCs w:val="1"/>
          <w:color w:val="0E1020"/>
        </w:rPr>
        <w:t xml:space="preserve">We manage our equity compensation program thoughtfully. </w:t>
      </w:r>
      <w:r>
        <w:rPr>
          <w:rFonts w:ascii="Arial" w:cs="Arial" w:eastAsia="Arial" w:hAnsi="Arial"/>
          <w:sz w:val="16"/>
          <w:szCs w:val="16"/>
          <w:color w:val="0E1020"/>
        </w:rPr>
        <w:t>The 2017 OIP and our equity compensation programs reflect good corporate governance</w:t>
      </w:r>
      <w:r>
        <w:rPr>
          <w:rFonts w:ascii="Arial" w:cs="Arial" w:eastAsia="Arial" w:hAnsi="Arial"/>
          <w:sz w:val="16"/>
          <w:szCs w:val="16"/>
          <w:b w:val="1"/>
          <w:bCs w:val="1"/>
          <w:color w:val="0E1020"/>
        </w:rPr>
        <w:t xml:space="preserve"> </w:t>
      </w:r>
      <w:r>
        <w:rPr>
          <w:rFonts w:ascii="Arial" w:cs="Arial" w:eastAsia="Arial" w:hAnsi="Arial"/>
          <w:sz w:val="16"/>
          <w:szCs w:val="16"/>
          <w:color w:val="0E1020"/>
        </w:rPr>
        <w:t>practices, as described below further.</w:t>
      </w:r>
    </w:p>
    <w:p>
      <w:pPr>
        <w:spacing w:after="0" w:line="48" w:lineRule="exact"/>
        <w:rPr>
          <w:rFonts w:ascii="Arial" w:cs="Arial" w:eastAsia="Arial" w:hAnsi="Arial"/>
          <w:sz w:val="16"/>
          <w:szCs w:val="16"/>
          <w:color w:val="0E1020"/>
        </w:rPr>
      </w:pPr>
    </w:p>
    <w:p>
      <w:pPr>
        <w:ind w:left="320" w:right="720" w:hanging="313"/>
        <w:spacing w:after="0" w:line="335" w:lineRule="auto"/>
        <w:tabs>
          <w:tab w:leader="none" w:pos="282" w:val="left"/>
        </w:tabs>
        <w:numPr>
          <w:ilvl w:val="0"/>
          <w:numId w:val="19"/>
        </w:numPr>
        <w:rPr>
          <w:rFonts w:ascii="Arial" w:cs="Arial" w:eastAsia="Arial" w:hAnsi="Arial"/>
          <w:sz w:val="16"/>
          <w:szCs w:val="16"/>
          <w:color w:val="0E1020"/>
        </w:rPr>
      </w:pPr>
      <w:r>
        <w:rPr>
          <w:rFonts w:ascii="Arial" w:cs="Arial" w:eastAsia="Arial" w:hAnsi="Arial"/>
          <w:sz w:val="16"/>
          <w:szCs w:val="16"/>
          <w:b w:val="1"/>
          <w:bCs w:val="1"/>
          <w:color w:val="0E1020"/>
        </w:rPr>
        <w:t>The 2017 OIP is the sole active plan for granting equity awards to our employees</w:t>
      </w:r>
      <w:r>
        <w:rPr>
          <w:rFonts w:ascii="Arial" w:cs="Arial" w:eastAsia="Arial" w:hAnsi="Arial"/>
          <w:sz w:val="16"/>
          <w:szCs w:val="16"/>
          <w:color w:val="0E1020"/>
        </w:rPr>
        <w:t>. Increase of the 2017 OIP share reserve is necessary for</w:t>
      </w:r>
      <w:r>
        <w:rPr>
          <w:rFonts w:ascii="Arial" w:cs="Arial" w:eastAsia="Arial" w:hAnsi="Arial"/>
          <w:sz w:val="16"/>
          <w:szCs w:val="16"/>
          <w:b w:val="1"/>
          <w:bCs w:val="1"/>
          <w:color w:val="0E1020"/>
        </w:rPr>
        <w:t xml:space="preserve"> </w:t>
      </w:r>
      <w:r>
        <w:rPr>
          <w:rFonts w:ascii="Arial" w:cs="Arial" w:eastAsia="Arial" w:hAnsi="Arial"/>
          <w:sz w:val="16"/>
          <w:szCs w:val="16"/>
          <w:color w:val="0E1020"/>
        </w:rPr>
        <w:t>appropriate implementation of planned compensation actions in our next annual cycle in 2027.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Historic Use of Equity and Outstanding Awards</w:t>
      </w:r>
    </w:p>
    <w:p>
      <w:pPr>
        <w:spacing w:after="0" w:line="133" w:lineRule="exact"/>
        <w:rPr>
          <w:sz w:val="20"/>
          <w:szCs w:val="20"/>
          <w:color w:val="auto"/>
        </w:rPr>
      </w:pPr>
    </w:p>
    <w:p>
      <w:pPr>
        <w:ind w:right="260"/>
        <w:spacing w:after="0" w:line="316" w:lineRule="auto"/>
        <w:rPr>
          <w:sz w:val="20"/>
          <w:szCs w:val="20"/>
          <w:color w:val="auto"/>
        </w:rPr>
      </w:pPr>
      <w:r>
        <w:rPr>
          <w:rFonts w:ascii="Arial" w:cs="Arial" w:eastAsia="Arial" w:hAnsi="Arial"/>
          <w:sz w:val="16"/>
          <w:szCs w:val="16"/>
          <w:color w:val="0E1020"/>
        </w:rPr>
        <w:t>If approved by our stockholders, the dilution represented by the shares available under the 2017 OIP and the 2017 DIP, including the proposed increase to the shares available for issuance under both plans and the target shares attributable to currently outstanding awards under both plans, would be 29.7%, based on our outstanding shares as of March 31, 2026. Our historic average burn rate under both plans combined for the past three years has been 4.3%.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Promotion of Good Governance Practices in the 2017 OIP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0E1020"/>
        </w:rPr>
        <w:t>The 2017 OIP includes a number of responsible corporate governance provisions which will not be impacted by the changes proposed in this Proposal Four.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0E1020"/>
        </w:rPr>
        <w:t>These include, but are not limited to,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shd w:val="clear" w:color="auto" w:fill="F6F3F0"/>
          </w:tcPr>
          <w:p>
            <w:pPr>
              <w:ind w:left="100"/>
              <w:spacing w:after="0"/>
              <w:rPr>
                <w:sz w:val="20"/>
                <w:szCs w:val="20"/>
                <w:color w:val="auto"/>
              </w:rPr>
            </w:pPr>
            <w:r>
              <w:rPr>
                <w:rFonts w:ascii="Arial" w:cs="Arial" w:eastAsia="Arial" w:hAnsi="Arial"/>
                <w:sz w:val="13"/>
                <w:szCs w:val="13"/>
                <w:b w:val="1"/>
                <w:bCs w:val="1"/>
                <w:color w:val="0E1020"/>
              </w:rPr>
              <w:t>Feature/Practice</w:t>
            </w:r>
          </w:p>
        </w:tc>
        <w:tc>
          <w:tcPr>
            <w:tcW w:w="8520" w:type="dxa"/>
            <w:vAlign w:val="bottom"/>
            <w:shd w:val="clear" w:color="auto" w:fill="F6F3F0"/>
          </w:tcPr>
          <w:p>
            <w:pPr>
              <w:ind w:left="20"/>
              <w:spacing w:after="0"/>
              <w:rPr>
                <w:sz w:val="20"/>
                <w:szCs w:val="20"/>
                <w:color w:val="auto"/>
              </w:rPr>
            </w:pPr>
            <w:r>
              <w:rPr>
                <w:rFonts w:ascii="Arial" w:cs="Arial" w:eastAsia="Arial" w:hAnsi="Arial"/>
                <w:sz w:val="13"/>
                <w:szCs w:val="13"/>
                <w:b w:val="1"/>
                <w:bCs w:val="1"/>
                <w:color w:val="0E1020"/>
              </w:rPr>
              <w:t>Description</w:t>
            </w:r>
          </w:p>
        </w:tc>
        <w:tc>
          <w:tcPr>
            <w:tcW w:w="0" w:type="dxa"/>
            <w:vAlign w:val="bottom"/>
          </w:tcPr>
          <w:p>
            <w:pPr>
              <w:spacing w:after="0"/>
              <w:rPr>
                <w:sz w:val="1"/>
                <w:szCs w:val="1"/>
                <w:color w:val="auto"/>
              </w:rPr>
            </w:pPr>
          </w:p>
        </w:tc>
      </w:tr>
      <w:tr>
        <w:trPr>
          <w:trHeight w:val="75"/>
        </w:trPr>
        <w:tc>
          <w:tcPr>
            <w:tcW w:w="2720" w:type="dxa"/>
            <w:vAlign w:val="bottom"/>
            <w:tcBorders>
              <w:bottom w:val="single" w:sz="8" w:color="CFCFD2"/>
            </w:tcBorders>
            <w:shd w:val="clear" w:color="auto" w:fill="F6F3F0"/>
          </w:tcPr>
          <w:p>
            <w:pPr>
              <w:spacing w:after="0"/>
              <w:rPr>
                <w:sz w:val="6"/>
                <w:szCs w:val="6"/>
                <w:color w:val="auto"/>
              </w:rPr>
            </w:pPr>
          </w:p>
        </w:tc>
        <w:tc>
          <w:tcPr>
            <w:tcW w:w="8520" w:type="dxa"/>
            <w:vAlign w:val="bottom"/>
            <w:tcBorders>
              <w:bottom w:val="single" w:sz="8" w:color="CFCFD2"/>
            </w:tcBorders>
            <w:shd w:val="clear" w:color="auto" w:fill="F6F3F0"/>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20" w:type="dxa"/>
            <w:vAlign w:val="bottom"/>
            <w:vMerge w:val="restart"/>
          </w:tcPr>
          <w:p>
            <w:pPr>
              <w:ind w:left="100"/>
              <w:spacing w:after="0"/>
              <w:rPr>
                <w:sz w:val="20"/>
                <w:szCs w:val="20"/>
                <w:color w:val="auto"/>
              </w:rPr>
            </w:pPr>
            <w:r>
              <w:rPr>
                <w:rFonts w:ascii="Arial" w:cs="Arial" w:eastAsia="Arial" w:hAnsi="Arial"/>
                <w:sz w:val="13"/>
                <w:szCs w:val="13"/>
                <w:b w:val="1"/>
                <w:bCs w:val="1"/>
                <w:color w:val="0E1020"/>
              </w:rPr>
              <w:t>No Liberal Share Recycling</w:t>
            </w:r>
          </w:p>
        </w:tc>
        <w:tc>
          <w:tcPr>
            <w:tcW w:w="8520" w:type="dxa"/>
            <w:vAlign w:val="bottom"/>
          </w:tcPr>
          <w:p>
            <w:pPr>
              <w:ind w:left="20"/>
              <w:spacing w:after="0"/>
              <w:rPr>
                <w:sz w:val="20"/>
                <w:szCs w:val="20"/>
                <w:color w:val="auto"/>
              </w:rPr>
            </w:pPr>
            <w:r>
              <w:rPr>
                <w:rFonts w:ascii="Arial" w:cs="Arial" w:eastAsia="Arial" w:hAnsi="Arial"/>
                <w:sz w:val="13"/>
                <w:szCs w:val="13"/>
                <w:color w:val="0E1020"/>
                <w:w w:val="98"/>
              </w:rPr>
              <w:t>Shares tendered or withheld in satisfaction of withholding obligations of the Company or any of our affiliates resulting from the exercise of an option or</w:t>
            </w:r>
          </w:p>
        </w:tc>
        <w:tc>
          <w:tcPr>
            <w:tcW w:w="0" w:type="dxa"/>
            <w:vAlign w:val="bottom"/>
          </w:tcPr>
          <w:p>
            <w:pPr>
              <w:spacing w:after="0"/>
              <w:rPr>
                <w:sz w:val="1"/>
                <w:szCs w:val="1"/>
                <w:color w:val="auto"/>
              </w:rPr>
            </w:pPr>
          </w:p>
        </w:tc>
      </w:tr>
      <w:tr>
        <w:trPr>
          <w:trHeight w:val="77"/>
        </w:trPr>
        <w:tc>
          <w:tcPr>
            <w:tcW w:w="2720" w:type="dxa"/>
            <w:vAlign w:val="bottom"/>
            <w:vMerge w:val="continue"/>
          </w:tcPr>
          <w:p>
            <w:pPr>
              <w:spacing w:after="0"/>
              <w:rPr>
                <w:sz w:val="6"/>
                <w:szCs w:val="6"/>
                <w:color w:val="auto"/>
              </w:rPr>
            </w:pPr>
          </w:p>
        </w:tc>
        <w:tc>
          <w:tcPr>
            <w:tcW w:w="8520" w:type="dxa"/>
            <w:vAlign w:val="bottom"/>
            <w:vMerge w:val="restart"/>
          </w:tcPr>
          <w:p>
            <w:pPr>
              <w:ind w:left="20"/>
              <w:spacing w:after="0"/>
              <w:rPr>
                <w:sz w:val="20"/>
                <w:szCs w:val="20"/>
                <w:color w:val="auto"/>
              </w:rPr>
            </w:pPr>
            <w:r>
              <w:rPr>
                <w:rFonts w:ascii="Arial" w:cs="Arial" w:eastAsia="Arial" w:hAnsi="Arial"/>
                <w:sz w:val="13"/>
                <w:szCs w:val="13"/>
                <w:color w:val="0E1020"/>
              </w:rPr>
              <w:t>vesting of an equity award will not be available again under the 2017 OIP</w:t>
            </w:r>
          </w:p>
        </w:tc>
        <w:tc>
          <w:tcPr>
            <w:tcW w:w="0" w:type="dxa"/>
            <w:vAlign w:val="bottom"/>
          </w:tcPr>
          <w:p>
            <w:pPr>
              <w:spacing w:after="0"/>
              <w:rPr>
                <w:sz w:val="1"/>
                <w:szCs w:val="1"/>
                <w:color w:val="auto"/>
              </w:rPr>
            </w:pPr>
          </w:p>
        </w:tc>
      </w:tr>
      <w:tr>
        <w:trPr>
          <w:trHeight w:val="95"/>
        </w:trPr>
        <w:tc>
          <w:tcPr>
            <w:tcW w:w="2720" w:type="dxa"/>
            <w:vAlign w:val="bottom"/>
            <w:tcBorders>
              <w:bottom w:val="single" w:sz="8" w:color="CFCFD2"/>
            </w:tcBorders>
          </w:tcPr>
          <w:p>
            <w:pPr>
              <w:spacing w:after="0"/>
              <w:rPr>
                <w:sz w:val="8"/>
                <w:szCs w:val="8"/>
                <w:color w:val="auto"/>
              </w:rPr>
            </w:pPr>
          </w:p>
        </w:tc>
        <w:tc>
          <w:tcPr>
            <w:tcW w:w="8520" w:type="dxa"/>
            <w:vAlign w:val="bottom"/>
            <w:tcBorders>
              <w:bottom w:val="single" w:sz="8" w:color="CFCFD2"/>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720" w:type="dxa"/>
            <w:vAlign w:val="bottom"/>
            <w:vMerge w:val="restart"/>
          </w:tcPr>
          <w:p>
            <w:pPr>
              <w:ind w:left="100"/>
              <w:spacing w:after="0"/>
              <w:rPr>
                <w:sz w:val="20"/>
                <w:szCs w:val="20"/>
                <w:color w:val="auto"/>
              </w:rPr>
            </w:pPr>
            <w:r>
              <w:rPr>
                <w:rFonts w:ascii="Arial" w:cs="Arial" w:eastAsia="Arial" w:hAnsi="Arial"/>
                <w:sz w:val="13"/>
                <w:szCs w:val="13"/>
                <w:b w:val="1"/>
                <w:bCs w:val="1"/>
                <w:color w:val="0E1020"/>
              </w:rPr>
              <w:t>No Evergreen Provision</w:t>
            </w:r>
          </w:p>
        </w:tc>
        <w:tc>
          <w:tcPr>
            <w:tcW w:w="8520" w:type="dxa"/>
            <w:vAlign w:val="bottom"/>
          </w:tcPr>
          <w:p>
            <w:pPr>
              <w:ind w:left="20"/>
              <w:spacing w:after="0"/>
              <w:rPr>
                <w:sz w:val="20"/>
                <w:szCs w:val="20"/>
                <w:color w:val="auto"/>
              </w:rPr>
            </w:pPr>
            <w:r>
              <w:rPr>
                <w:rFonts w:ascii="Arial" w:cs="Arial" w:eastAsia="Arial" w:hAnsi="Arial"/>
                <w:sz w:val="13"/>
                <w:szCs w:val="13"/>
                <w:color w:val="0E1020"/>
              </w:rPr>
              <w:t>The 2017 OIP does not include an “evergreen” feature pursuant to which the reserve of shares authorized for issuance would be automatically</w:t>
            </w:r>
          </w:p>
        </w:tc>
        <w:tc>
          <w:tcPr>
            <w:tcW w:w="0" w:type="dxa"/>
            <w:vAlign w:val="bottom"/>
          </w:tcPr>
          <w:p>
            <w:pPr>
              <w:spacing w:after="0"/>
              <w:rPr>
                <w:sz w:val="1"/>
                <w:szCs w:val="1"/>
                <w:color w:val="auto"/>
              </w:rPr>
            </w:pPr>
          </w:p>
        </w:tc>
      </w:tr>
      <w:tr>
        <w:trPr>
          <w:trHeight w:val="77"/>
        </w:trPr>
        <w:tc>
          <w:tcPr>
            <w:tcW w:w="2720" w:type="dxa"/>
            <w:vAlign w:val="bottom"/>
            <w:vMerge w:val="continue"/>
          </w:tcPr>
          <w:p>
            <w:pPr>
              <w:spacing w:after="0"/>
              <w:rPr>
                <w:sz w:val="6"/>
                <w:szCs w:val="6"/>
                <w:color w:val="auto"/>
              </w:rPr>
            </w:pPr>
          </w:p>
        </w:tc>
        <w:tc>
          <w:tcPr>
            <w:tcW w:w="8520" w:type="dxa"/>
            <w:vAlign w:val="bottom"/>
            <w:vMerge w:val="restart"/>
          </w:tcPr>
          <w:p>
            <w:pPr>
              <w:ind w:left="20"/>
              <w:spacing w:after="0"/>
              <w:rPr>
                <w:sz w:val="20"/>
                <w:szCs w:val="20"/>
                <w:color w:val="auto"/>
              </w:rPr>
            </w:pPr>
            <w:r>
              <w:rPr>
                <w:rFonts w:ascii="Arial" w:cs="Arial" w:eastAsia="Arial" w:hAnsi="Arial"/>
                <w:sz w:val="13"/>
                <w:szCs w:val="13"/>
                <w:color w:val="0E1020"/>
              </w:rPr>
              <w:t>replenished periodically.</w:t>
            </w:r>
          </w:p>
        </w:tc>
        <w:tc>
          <w:tcPr>
            <w:tcW w:w="0" w:type="dxa"/>
            <w:vAlign w:val="bottom"/>
          </w:tcPr>
          <w:p>
            <w:pPr>
              <w:spacing w:after="0"/>
              <w:rPr>
                <w:sz w:val="1"/>
                <w:szCs w:val="1"/>
                <w:color w:val="auto"/>
              </w:rPr>
            </w:pPr>
          </w:p>
        </w:tc>
      </w:tr>
      <w:tr>
        <w:trPr>
          <w:trHeight w:val="95"/>
        </w:trPr>
        <w:tc>
          <w:tcPr>
            <w:tcW w:w="2720" w:type="dxa"/>
            <w:vAlign w:val="bottom"/>
            <w:tcBorders>
              <w:bottom w:val="single" w:sz="8" w:color="CFCFD2"/>
            </w:tcBorders>
          </w:tcPr>
          <w:p>
            <w:pPr>
              <w:spacing w:after="0"/>
              <w:rPr>
                <w:sz w:val="8"/>
                <w:szCs w:val="8"/>
                <w:color w:val="auto"/>
              </w:rPr>
            </w:pPr>
          </w:p>
        </w:tc>
        <w:tc>
          <w:tcPr>
            <w:tcW w:w="8520" w:type="dxa"/>
            <w:vAlign w:val="bottom"/>
            <w:tcBorders>
              <w:bottom w:val="single" w:sz="8" w:color="CFCFD2"/>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720" w:type="dxa"/>
            <w:vAlign w:val="bottom"/>
          </w:tcPr>
          <w:p>
            <w:pPr>
              <w:ind w:left="100"/>
              <w:spacing w:after="0"/>
              <w:rPr>
                <w:sz w:val="20"/>
                <w:szCs w:val="20"/>
                <w:color w:val="auto"/>
              </w:rPr>
            </w:pPr>
            <w:r>
              <w:rPr>
                <w:rFonts w:ascii="Arial" w:cs="Arial" w:eastAsia="Arial" w:hAnsi="Arial"/>
                <w:sz w:val="13"/>
                <w:szCs w:val="13"/>
                <w:b w:val="1"/>
                <w:bCs w:val="1"/>
                <w:color w:val="0E1020"/>
              </w:rPr>
              <w:t>Executive Pay Aligned to Company</w:t>
            </w:r>
          </w:p>
        </w:tc>
        <w:tc>
          <w:tcPr>
            <w:tcW w:w="8520" w:type="dxa"/>
            <w:vAlign w:val="bottom"/>
            <w:vMerge w:val="restart"/>
          </w:tcPr>
          <w:p>
            <w:pPr>
              <w:ind w:left="20"/>
              <w:spacing w:after="0"/>
              <w:rPr>
                <w:sz w:val="20"/>
                <w:szCs w:val="20"/>
                <w:color w:val="auto"/>
              </w:rPr>
            </w:pPr>
            <w:r>
              <w:rPr>
                <w:rFonts w:ascii="Arial" w:cs="Arial" w:eastAsia="Arial" w:hAnsi="Arial"/>
                <w:sz w:val="13"/>
                <w:szCs w:val="13"/>
                <w:color w:val="0E1020"/>
              </w:rPr>
              <w:t>A portion of each executive’s stock compensation is ‘‘at risk’’, with payout dependent on achievement of certain performance metrics.</w:t>
            </w:r>
          </w:p>
        </w:tc>
        <w:tc>
          <w:tcPr>
            <w:tcW w:w="0" w:type="dxa"/>
            <w:vAlign w:val="bottom"/>
          </w:tcPr>
          <w:p>
            <w:pPr>
              <w:spacing w:after="0"/>
              <w:rPr>
                <w:sz w:val="1"/>
                <w:szCs w:val="1"/>
                <w:color w:val="auto"/>
              </w:rPr>
            </w:pPr>
          </w:p>
        </w:tc>
      </w:tr>
      <w:tr>
        <w:trPr>
          <w:trHeight w:val="71"/>
        </w:trPr>
        <w:tc>
          <w:tcPr>
            <w:tcW w:w="2720" w:type="dxa"/>
            <w:vAlign w:val="bottom"/>
            <w:vMerge w:val="restart"/>
          </w:tcPr>
          <w:p>
            <w:pPr>
              <w:ind w:left="100"/>
              <w:spacing w:after="0"/>
              <w:rPr>
                <w:sz w:val="20"/>
                <w:szCs w:val="20"/>
                <w:color w:val="auto"/>
              </w:rPr>
            </w:pPr>
            <w:r>
              <w:rPr>
                <w:rFonts w:ascii="Arial" w:cs="Arial" w:eastAsia="Arial" w:hAnsi="Arial"/>
                <w:sz w:val="13"/>
                <w:szCs w:val="13"/>
                <w:b w:val="1"/>
                <w:bCs w:val="1"/>
                <w:color w:val="0E1020"/>
              </w:rPr>
              <w:t>Performance</w:t>
            </w:r>
          </w:p>
        </w:tc>
        <w:tc>
          <w:tcPr>
            <w:tcW w:w="8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720" w:type="dxa"/>
            <w:vAlign w:val="bottom"/>
            <w:tcBorders>
              <w:bottom w:val="single" w:sz="8" w:color="CFCFD2"/>
            </w:tcBorders>
            <w:vMerge w:val="continue"/>
          </w:tcPr>
          <w:p>
            <w:pPr>
              <w:spacing w:after="0"/>
              <w:rPr>
                <w:sz w:val="9"/>
                <w:szCs w:val="9"/>
                <w:color w:val="auto"/>
              </w:rPr>
            </w:pPr>
          </w:p>
        </w:tc>
        <w:tc>
          <w:tcPr>
            <w:tcW w:w="8520" w:type="dxa"/>
            <w:vAlign w:val="bottom"/>
            <w:tcBorders>
              <w:bottom w:val="single" w:sz="8" w:color="CFCFD2"/>
            </w:tcBorders>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720" w:type="dxa"/>
            <w:vAlign w:val="bottom"/>
          </w:tcPr>
          <w:p>
            <w:pPr>
              <w:spacing w:after="0"/>
              <w:rPr>
                <w:sz w:val="14"/>
                <w:szCs w:val="14"/>
                <w:color w:val="auto"/>
              </w:rPr>
            </w:pPr>
          </w:p>
        </w:tc>
        <w:tc>
          <w:tcPr>
            <w:tcW w:w="8520" w:type="dxa"/>
            <w:vAlign w:val="bottom"/>
          </w:tcPr>
          <w:p>
            <w:pPr>
              <w:ind w:left="20"/>
              <w:spacing w:after="0"/>
              <w:rPr>
                <w:sz w:val="20"/>
                <w:szCs w:val="20"/>
                <w:color w:val="auto"/>
              </w:rPr>
            </w:pPr>
            <w:r>
              <w:rPr>
                <w:rFonts w:ascii="Arial" w:cs="Arial" w:eastAsia="Arial" w:hAnsi="Arial"/>
                <w:sz w:val="13"/>
                <w:szCs w:val="13"/>
                <w:color w:val="0E1020"/>
                <w:w w:val="96"/>
              </w:rPr>
              <w:t>DXC’s amended and restated Compensation Recovery Policy applies to erroneously-awarded incentive compensation (including equity awards) received</w:t>
            </w:r>
          </w:p>
        </w:tc>
        <w:tc>
          <w:tcPr>
            <w:tcW w:w="0" w:type="dxa"/>
            <w:vAlign w:val="bottom"/>
          </w:tcPr>
          <w:p>
            <w:pPr>
              <w:spacing w:after="0"/>
              <w:rPr>
                <w:sz w:val="1"/>
                <w:szCs w:val="1"/>
                <w:color w:val="auto"/>
              </w:rPr>
            </w:pPr>
          </w:p>
        </w:tc>
      </w:tr>
      <w:tr>
        <w:trPr>
          <w:trHeight w:val="147"/>
        </w:trPr>
        <w:tc>
          <w:tcPr>
            <w:tcW w:w="2720" w:type="dxa"/>
            <w:vAlign w:val="bottom"/>
          </w:tcPr>
          <w:p>
            <w:pPr>
              <w:spacing w:after="0"/>
              <w:rPr>
                <w:sz w:val="12"/>
                <w:szCs w:val="12"/>
                <w:color w:val="auto"/>
              </w:rPr>
            </w:pPr>
          </w:p>
        </w:tc>
        <w:tc>
          <w:tcPr>
            <w:tcW w:w="8520" w:type="dxa"/>
            <w:vAlign w:val="bottom"/>
          </w:tcPr>
          <w:p>
            <w:pPr>
              <w:ind w:left="20"/>
              <w:spacing w:after="0" w:line="148" w:lineRule="exact"/>
              <w:rPr>
                <w:sz w:val="20"/>
                <w:szCs w:val="20"/>
                <w:color w:val="auto"/>
              </w:rPr>
            </w:pPr>
            <w:r>
              <w:rPr>
                <w:rFonts w:ascii="Arial" w:cs="Arial" w:eastAsia="Arial" w:hAnsi="Arial"/>
                <w:sz w:val="13"/>
                <w:szCs w:val="13"/>
                <w:color w:val="0E1020"/>
                <w:w w:val="97"/>
              </w:rPr>
              <w:t>by current and former executive officers on or after October 2, 2023 in the event that we are required to prepare an accounting restatement that corrects</w:t>
            </w:r>
          </w:p>
        </w:tc>
        <w:tc>
          <w:tcPr>
            <w:tcW w:w="0" w:type="dxa"/>
            <w:vAlign w:val="bottom"/>
          </w:tcPr>
          <w:p>
            <w:pPr>
              <w:spacing w:after="0"/>
              <w:rPr>
                <w:sz w:val="1"/>
                <w:szCs w:val="1"/>
                <w:color w:val="auto"/>
              </w:rPr>
            </w:pPr>
          </w:p>
        </w:tc>
      </w:tr>
      <w:tr>
        <w:trPr>
          <w:trHeight w:val="147"/>
        </w:trPr>
        <w:tc>
          <w:tcPr>
            <w:tcW w:w="2720" w:type="dxa"/>
            <w:vAlign w:val="bottom"/>
            <w:vMerge w:val="restart"/>
          </w:tcPr>
          <w:p>
            <w:pPr>
              <w:ind w:left="100"/>
              <w:spacing w:after="0"/>
              <w:rPr>
                <w:sz w:val="20"/>
                <w:szCs w:val="20"/>
                <w:color w:val="auto"/>
              </w:rPr>
            </w:pPr>
            <w:r>
              <w:rPr>
                <w:rFonts w:ascii="Arial" w:cs="Arial" w:eastAsia="Arial" w:hAnsi="Arial"/>
                <w:sz w:val="13"/>
                <w:szCs w:val="13"/>
                <w:b w:val="1"/>
                <w:bCs w:val="1"/>
                <w:color w:val="0E1020"/>
              </w:rPr>
              <w:t>Clawback</w:t>
            </w:r>
          </w:p>
        </w:tc>
        <w:tc>
          <w:tcPr>
            <w:tcW w:w="8520" w:type="dxa"/>
            <w:vAlign w:val="bottom"/>
          </w:tcPr>
          <w:p>
            <w:pPr>
              <w:ind w:left="20"/>
              <w:spacing w:after="0" w:line="148" w:lineRule="exact"/>
              <w:rPr>
                <w:sz w:val="20"/>
                <w:szCs w:val="20"/>
                <w:color w:val="auto"/>
              </w:rPr>
            </w:pPr>
            <w:r>
              <w:rPr>
                <w:rFonts w:ascii="Arial" w:cs="Arial" w:eastAsia="Arial" w:hAnsi="Arial"/>
                <w:sz w:val="13"/>
                <w:szCs w:val="13"/>
                <w:color w:val="0E1020"/>
                <w:w w:val="97"/>
              </w:rPr>
              <w:t>an error in previously issued financial statements due to material noncompliance with any financial reporting requirement under the securities laws. Any</w:t>
            </w:r>
          </w:p>
        </w:tc>
        <w:tc>
          <w:tcPr>
            <w:tcW w:w="0" w:type="dxa"/>
            <w:vAlign w:val="bottom"/>
          </w:tcPr>
          <w:p>
            <w:pPr>
              <w:spacing w:after="0"/>
              <w:rPr>
                <w:sz w:val="1"/>
                <w:szCs w:val="1"/>
                <w:color w:val="auto"/>
              </w:rPr>
            </w:pPr>
          </w:p>
        </w:tc>
      </w:tr>
      <w:tr>
        <w:trPr>
          <w:trHeight w:val="147"/>
        </w:trPr>
        <w:tc>
          <w:tcPr>
            <w:tcW w:w="2720" w:type="dxa"/>
            <w:vAlign w:val="bottom"/>
            <w:vMerge w:val="continue"/>
          </w:tcPr>
          <w:p>
            <w:pPr>
              <w:spacing w:after="0"/>
              <w:rPr>
                <w:sz w:val="12"/>
                <w:szCs w:val="12"/>
                <w:color w:val="auto"/>
              </w:rPr>
            </w:pPr>
          </w:p>
        </w:tc>
        <w:tc>
          <w:tcPr>
            <w:tcW w:w="8520" w:type="dxa"/>
            <w:vAlign w:val="bottom"/>
          </w:tcPr>
          <w:p>
            <w:pPr>
              <w:ind w:left="20"/>
              <w:spacing w:after="0" w:line="148" w:lineRule="exact"/>
              <w:rPr>
                <w:sz w:val="20"/>
                <w:szCs w:val="20"/>
                <w:color w:val="auto"/>
              </w:rPr>
            </w:pPr>
            <w:r>
              <w:rPr>
                <w:rFonts w:ascii="Arial" w:cs="Arial" w:eastAsia="Arial" w:hAnsi="Arial"/>
                <w:sz w:val="13"/>
                <w:szCs w:val="13"/>
                <w:color w:val="0E1020"/>
                <w:w w:val="98"/>
              </w:rPr>
              <w:t>incentive-based compensation received prior to October 2, 2023, would remain subject to our prior clawback policy which allows us to recover cash or</w:t>
            </w:r>
          </w:p>
        </w:tc>
        <w:tc>
          <w:tcPr>
            <w:tcW w:w="0" w:type="dxa"/>
            <w:vAlign w:val="bottom"/>
          </w:tcPr>
          <w:p>
            <w:pPr>
              <w:spacing w:after="0"/>
              <w:rPr>
                <w:sz w:val="1"/>
                <w:szCs w:val="1"/>
                <w:color w:val="auto"/>
              </w:rPr>
            </w:pPr>
          </w:p>
        </w:tc>
      </w:tr>
      <w:tr>
        <w:trPr>
          <w:trHeight w:val="147"/>
        </w:trPr>
        <w:tc>
          <w:tcPr>
            <w:tcW w:w="2720" w:type="dxa"/>
            <w:vAlign w:val="bottom"/>
          </w:tcPr>
          <w:p>
            <w:pPr>
              <w:spacing w:after="0"/>
              <w:rPr>
                <w:sz w:val="12"/>
                <w:szCs w:val="12"/>
                <w:color w:val="auto"/>
              </w:rPr>
            </w:pPr>
          </w:p>
        </w:tc>
        <w:tc>
          <w:tcPr>
            <w:tcW w:w="8520" w:type="dxa"/>
            <w:vAlign w:val="bottom"/>
          </w:tcPr>
          <w:p>
            <w:pPr>
              <w:ind w:left="20"/>
              <w:spacing w:after="0" w:line="148" w:lineRule="exact"/>
              <w:rPr>
                <w:sz w:val="20"/>
                <w:szCs w:val="20"/>
                <w:color w:val="auto"/>
              </w:rPr>
            </w:pPr>
            <w:r>
              <w:rPr>
                <w:rFonts w:ascii="Arial" w:cs="Arial" w:eastAsia="Arial" w:hAnsi="Arial"/>
                <w:sz w:val="13"/>
                <w:szCs w:val="13"/>
                <w:color w:val="0E1020"/>
                <w:w w:val="97"/>
              </w:rPr>
              <w:t>equity performance-based compensation from participants whose fraud or intentional illegal conduct materially contributed to a financial restatement. In</w:t>
            </w:r>
          </w:p>
        </w:tc>
        <w:tc>
          <w:tcPr>
            <w:tcW w:w="0" w:type="dxa"/>
            <w:vAlign w:val="bottom"/>
          </w:tcPr>
          <w:p>
            <w:pPr>
              <w:spacing w:after="0"/>
              <w:rPr>
                <w:sz w:val="1"/>
                <w:szCs w:val="1"/>
                <w:color w:val="auto"/>
              </w:rPr>
            </w:pPr>
          </w:p>
        </w:tc>
      </w:tr>
      <w:tr>
        <w:trPr>
          <w:trHeight w:val="161"/>
        </w:trPr>
        <w:tc>
          <w:tcPr>
            <w:tcW w:w="2720" w:type="dxa"/>
            <w:vAlign w:val="bottom"/>
          </w:tcPr>
          <w:p>
            <w:pPr>
              <w:spacing w:after="0"/>
              <w:rPr>
                <w:sz w:val="13"/>
                <w:szCs w:val="13"/>
                <w:color w:val="auto"/>
              </w:rPr>
            </w:pPr>
          </w:p>
        </w:tc>
        <w:tc>
          <w:tcPr>
            <w:tcW w:w="8520" w:type="dxa"/>
            <w:vAlign w:val="bottom"/>
          </w:tcPr>
          <w:p>
            <w:pPr>
              <w:ind w:left="20"/>
              <w:spacing w:after="0"/>
              <w:rPr>
                <w:sz w:val="20"/>
                <w:szCs w:val="20"/>
                <w:color w:val="auto"/>
              </w:rPr>
            </w:pPr>
            <w:r>
              <w:rPr>
                <w:rFonts w:ascii="Arial" w:cs="Arial" w:eastAsia="Arial" w:hAnsi="Arial"/>
                <w:sz w:val="13"/>
                <w:szCs w:val="13"/>
                <w:color w:val="0E1020"/>
                <w:w w:val="98"/>
              </w:rPr>
              <w:t>addition, under our equity grant agreements, employees may be required to forfeit awards or gains if the recipient breaches the non-competition, non-</w:t>
            </w:r>
          </w:p>
        </w:tc>
        <w:tc>
          <w:tcPr>
            <w:tcW w:w="0" w:type="dxa"/>
            <w:vAlign w:val="bottom"/>
          </w:tcPr>
          <w:p>
            <w:pPr>
              <w:spacing w:after="0"/>
              <w:rPr>
                <w:sz w:val="1"/>
                <w:szCs w:val="1"/>
                <w:color w:val="auto"/>
              </w:rPr>
            </w:pPr>
          </w:p>
        </w:tc>
      </w:tr>
      <w:tr>
        <w:trPr>
          <w:trHeight w:val="172"/>
        </w:trPr>
        <w:tc>
          <w:tcPr>
            <w:tcW w:w="2720" w:type="dxa"/>
            <w:vAlign w:val="bottom"/>
            <w:tcBorders>
              <w:bottom w:val="single" w:sz="8" w:color="CFCFD2"/>
            </w:tcBorders>
          </w:tcPr>
          <w:p>
            <w:pPr>
              <w:spacing w:after="0"/>
              <w:rPr>
                <w:sz w:val="14"/>
                <w:szCs w:val="14"/>
                <w:color w:val="auto"/>
              </w:rPr>
            </w:pPr>
          </w:p>
        </w:tc>
        <w:tc>
          <w:tcPr>
            <w:tcW w:w="8520" w:type="dxa"/>
            <w:vAlign w:val="bottom"/>
            <w:tcBorders>
              <w:bottom w:val="single" w:sz="8" w:color="CFCFD2"/>
            </w:tcBorders>
          </w:tcPr>
          <w:p>
            <w:pPr>
              <w:ind w:left="20"/>
              <w:spacing w:after="0"/>
              <w:rPr>
                <w:sz w:val="20"/>
                <w:szCs w:val="20"/>
                <w:color w:val="auto"/>
              </w:rPr>
            </w:pPr>
            <w:r>
              <w:rPr>
                <w:rFonts w:ascii="Arial" w:cs="Arial" w:eastAsia="Arial" w:hAnsi="Arial"/>
                <w:sz w:val="13"/>
                <w:szCs w:val="13"/>
                <w:color w:val="0E1020"/>
              </w:rPr>
              <w:t>solicitation of employees, or non-disclosure provisions of such agreements.</w:t>
            </w:r>
          </w:p>
        </w:tc>
        <w:tc>
          <w:tcPr>
            <w:tcW w:w="0" w:type="dxa"/>
            <w:vAlign w:val="bottom"/>
          </w:tcPr>
          <w:p>
            <w:pPr>
              <w:spacing w:after="0"/>
              <w:rPr>
                <w:sz w:val="1"/>
                <w:szCs w:val="1"/>
                <w:color w:val="auto"/>
              </w:rPr>
            </w:pPr>
          </w:p>
        </w:tc>
      </w:tr>
      <w:tr>
        <w:trPr>
          <w:trHeight w:val="180"/>
        </w:trPr>
        <w:tc>
          <w:tcPr>
            <w:tcW w:w="2720" w:type="dxa"/>
            <w:vAlign w:val="bottom"/>
          </w:tcPr>
          <w:p>
            <w:pPr>
              <w:ind w:left="100"/>
              <w:spacing w:after="0"/>
              <w:rPr>
                <w:sz w:val="20"/>
                <w:szCs w:val="20"/>
                <w:color w:val="auto"/>
              </w:rPr>
            </w:pPr>
            <w:r>
              <w:rPr>
                <w:rFonts w:ascii="Arial" w:cs="Arial" w:eastAsia="Arial" w:hAnsi="Arial"/>
                <w:sz w:val="13"/>
                <w:szCs w:val="13"/>
                <w:b w:val="1"/>
                <w:bCs w:val="1"/>
                <w:color w:val="0E1020"/>
              </w:rPr>
              <w:t>No Gross-Ups</w:t>
            </w:r>
          </w:p>
        </w:tc>
        <w:tc>
          <w:tcPr>
            <w:tcW w:w="8520" w:type="dxa"/>
            <w:vAlign w:val="bottom"/>
          </w:tcPr>
          <w:p>
            <w:pPr>
              <w:ind w:left="20"/>
              <w:spacing w:after="0"/>
              <w:rPr>
                <w:sz w:val="20"/>
                <w:szCs w:val="20"/>
                <w:color w:val="auto"/>
              </w:rPr>
            </w:pPr>
            <w:r>
              <w:rPr>
                <w:rFonts w:ascii="Arial" w:cs="Arial" w:eastAsia="Arial" w:hAnsi="Arial"/>
                <w:sz w:val="13"/>
                <w:szCs w:val="13"/>
                <w:color w:val="0E1020"/>
              </w:rPr>
              <w:t>The 2017 OIP does not provide for any tax gross-ups.</w:t>
            </w:r>
          </w:p>
        </w:tc>
        <w:tc>
          <w:tcPr>
            <w:tcW w:w="0" w:type="dxa"/>
            <w:vAlign w:val="bottom"/>
          </w:tcPr>
          <w:p>
            <w:pPr>
              <w:spacing w:after="0"/>
              <w:rPr>
                <w:sz w:val="1"/>
                <w:szCs w:val="1"/>
                <w:color w:val="auto"/>
              </w:rPr>
            </w:pPr>
          </w:p>
        </w:tc>
      </w:tr>
      <w:tr>
        <w:trPr>
          <w:trHeight w:val="21"/>
        </w:trPr>
        <w:tc>
          <w:tcPr>
            <w:tcW w:w="2720" w:type="dxa"/>
            <w:vAlign w:val="bottom"/>
            <w:tcBorders>
              <w:bottom w:val="single" w:sz="8" w:color="CFCFD2"/>
            </w:tcBorders>
          </w:tcPr>
          <w:p>
            <w:pPr>
              <w:spacing w:after="0" w:line="20" w:lineRule="exact"/>
              <w:rPr>
                <w:sz w:val="1"/>
                <w:szCs w:val="1"/>
                <w:color w:val="auto"/>
              </w:rPr>
            </w:pPr>
          </w:p>
        </w:tc>
        <w:tc>
          <w:tcPr>
            <w:tcW w:w="8520" w:type="dxa"/>
            <w:vAlign w:val="bottom"/>
            <w:tcBorders>
              <w:bottom w:val="single" w:sz="8" w:color="CFCF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720" w:type="dxa"/>
            <w:vAlign w:val="bottom"/>
            <w:vMerge w:val="restart"/>
          </w:tcPr>
          <w:p>
            <w:pPr>
              <w:ind w:left="100"/>
              <w:spacing w:after="0"/>
              <w:rPr>
                <w:sz w:val="20"/>
                <w:szCs w:val="20"/>
                <w:color w:val="auto"/>
              </w:rPr>
            </w:pPr>
            <w:r>
              <w:rPr>
                <w:rFonts w:ascii="Arial" w:cs="Arial" w:eastAsia="Arial" w:hAnsi="Arial"/>
                <w:sz w:val="13"/>
                <w:szCs w:val="13"/>
                <w:b w:val="1"/>
                <w:bCs w:val="1"/>
                <w:color w:val="0E1020"/>
              </w:rPr>
              <w:t>No Repricings without Stockholder</w:t>
            </w:r>
          </w:p>
        </w:tc>
        <w:tc>
          <w:tcPr>
            <w:tcW w:w="8520" w:type="dxa"/>
            <w:vAlign w:val="bottom"/>
          </w:tcPr>
          <w:p>
            <w:pPr>
              <w:ind w:left="20"/>
              <w:spacing w:after="0"/>
              <w:rPr>
                <w:sz w:val="20"/>
                <w:szCs w:val="20"/>
                <w:color w:val="auto"/>
              </w:rPr>
            </w:pPr>
            <w:r>
              <w:rPr>
                <w:rFonts w:ascii="Arial" w:cs="Arial" w:eastAsia="Arial" w:hAnsi="Arial"/>
                <w:sz w:val="13"/>
                <w:szCs w:val="13"/>
                <w:color w:val="0E1020"/>
                <w:w w:val="96"/>
              </w:rPr>
              <w:t>Other than in connection with certain corporate events where a reduction in exercise price is necessary for equitable treatment of award holders (such as</w:t>
            </w:r>
          </w:p>
        </w:tc>
        <w:tc>
          <w:tcPr>
            <w:tcW w:w="0" w:type="dxa"/>
            <w:vAlign w:val="bottom"/>
          </w:tcPr>
          <w:p>
            <w:pPr>
              <w:spacing w:after="0"/>
              <w:rPr>
                <w:sz w:val="1"/>
                <w:szCs w:val="1"/>
                <w:color w:val="auto"/>
              </w:rPr>
            </w:pPr>
          </w:p>
        </w:tc>
      </w:tr>
      <w:tr>
        <w:trPr>
          <w:trHeight w:val="80"/>
        </w:trPr>
        <w:tc>
          <w:tcPr>
            <w:tcW w:w="2720" w:type="dxa"/>
            <w:vAlign w:val="bottom"/>
            <w:vMerge w:val="continue"/>
          </w:tcPr>
          <w:p>
            <w:pPr>
              <w:spacing w:after="0"/>
              <w:rPr>
                <w:sz w:val="6"/>
                <w:szCs w:val="6"/>
                <w:color w:val="auto"/>
              </w:rPr>
            </w:pPr>
          </w:p>
        </w:tc>
        <w:tc>
          <w:tcPr>
            <w:tcW w:w="8520" w:type="dxa"/>
            <w:vAlign w:val="bottom"/>
            <w:vMerge w:val="restart"/>
          </w:tcPr>
          <w:p>
            <w:pPr>
              <w:ind w:left="20"/>
              <w:spacing w:after="0" w:line="148" w:lineRule="exact"/>
              <w:rPr>
                <w:sz w:val="20"/>
                <w:szCs w:val="20"/>
                <w:color w:val="auto"/>
              </w:rPr>
            </w:pPr>
            <w:r>
              <w:rPr>
                <w:rFonts w:ascii="Arial" w:cs="Arial" w:eastAsia="Arial" w:hAnsi="Arial"/>
                <w:sz w:val="13"/>
                <w:szCs w:val="13"/>
                <w:color w:val="0E1020"/>
              </w:rPr>
              <w:t>a share split), we may not, without stockholder approval, reduce the exercise price of a stock option or stock appreciation right or exchange a stock</w:t>
            </w:r>
          </w:p>
        </w:tc>
        <w:tc>
          <w:tcPr>
            <w:tcW w:w="0" w:type="dxa"/>
            <w:vAlign w:val="bottom"/>
          </w:tcPr>
          <w:p>
            <w:pPr>
              <w:spacing w:after="0"/>
              <w:rPr>
                <w:sz w:val="1"/>
                <w:szCs w:val="1"/>
                <w:color w:val="auto"/>
              </w:rPr>
            </w:pPr>
          </w:p>
        </w:tc>
      </w:tr>
      <w:tr>
        <w:trPr>
          <w:trHeight w:val="67"/>
        </w:trPr>
        <w:tc>
          <w:tcPr>
            <w:tcW w:w="2720" w:type="dxa"/>
            <w:vAlign w:val="bottom"/>
            <w:vMerge w:val="restart"/>
          </w:tcPr>
          <w:p>
            <w:pPr>
              <w:ind w:left="100"/>
              <w:spacing w:after="0"/>
              <w:rPr>
                <w:sz w:val="20"/>
                <w:szCs w:val="20"/>
                <w:color w:val="auto"/>
              </w:rPr>
            </w:pPr>
            <w:r>
              <w:rPr>
                <w:rFonts w:ascii="Arial" w:cs="Arial" w:eastAsia="Arial" w:hAnsi="Arial"/>
                <w:sz w:val="13"/>
                <w:szCs w:val="13"/>
                <w:b w:val="1"/>
                <w:bCs w:val="1"/>
                <w:color w:val="0E1020"/>
              </w:rPr>
              <w:t>Approval</w:t>
            </w:r>
          </w:p>
        </w:tc>
        <w:tc>
          <w:tcPr>
            <w:tcW w:w="8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720" w:type="dxa"/>
            <w:vAlign w:val="bottom"/>
            <w:vMerge w:val="continue"/>
          </w:tcPr>
          <w:p>
            <w:pPr>
              <w:spacing w:after="0"/>
              <w:rPr>
                <w:sz w:val="9"/>
                <w:szCs w:val="9"/>
                <w:color w:val="auto"/>
              </w:rPr>
            </w:pPr>
          </w:p>
        </w:tc>
        <w:tc>
          <w:tcPr>
            <w:tcW w:w="8520" w:type="dxa"/>
            <w:vAlign w:val="bottom"/>
            <w:vMerge w:val="restart"/>
          </w:tcPr>
          <w:p>
            <w:pPr>
              <w:ind w:left="20"/>
              <w:spacing w:after="0"/>
              <w:rPr>
                <w:sz w:val="20"/>
                <w:szCs w:val="20"/>
                <w:color w:val="auto"/>
              </w:rPr>
            </w:pPr>
            <w:r>
              <w:rPr>
                <w:rFonts w:ascii="Arial" w:cs="Arial" w:eastAsia="Arial" w:hAnsi="Arial"/>
                <w:sz w:val="13"/>
                <w:szCs w:val="13"/>
                <w:color w:val="0E1020"/>
              </w:rPr>
              <w:t>option or stock appreciation right for a new award with a lower (or no) purchase price for cash.</w:t>
            </w:r>
          </w:p>
        </w:tc>
        <w:tc>
          <w:tcPr>
            <w:tcW w:w="0" w:type="dxa"/>
            <w:vAlign w:val="bottom"/>
          </w:tcPr>
          <w:p>
            <w:pPr>
              <w:spacing w:after="0"/>
              <w:rPr>
                <w:sz w:val="1"/>
                <w:szCs w:val="1"/>
                <w:color w:val="auto"/>
              </w:rPr>
            </w:pPr>
          </w:p>
        </w:tc>
      </w:tr>
      <w:tr>
        <w:trPr>
          <w:trHeight w:val="61"/>
        </w:trPr>
        <w:tc>
          <w:tcPr>
            <w:tcW w:w="2720" w:type="dxa"/>
            <w:vAlign w:val="bottom"/>
          </w:tcPr>
          <w:p>
            <w:pPr>
              <w:spacing w:after="0"/>
              <w:rPr>
                <w:sz w:val="5"/>
                <w:szCs w:val="5"/>
                <w:color w:val="auto"/>
              </w:rPr>
            </w:pPr>
          </w:p>
        </w:tc>
        <w:tc>
          <w:tcPr>
            <w:tcW w:w="8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720" w:type="dxa"/>
            <w:vAlign w:val="bottom"/>
            <w:tcBorders>
              <w:bottom w:val="single" w:sz="8" w:color="CFCFD2"/>
            </w:tcBorders>
          </w:tcPr>
          <w:p>
            <w:pPr>
              <w:spacing w:after="0"/>
              <w:rPr>
                <w:sz w:val="2"/>
                <w:szCs w:val="2"/>
                <w:color w:val="auto"/>
              </w:rPr>
            </w:pPr>
          </w:p>
        </w:tc>
        <w:tc>
          <w:tcPr>
            <w:tcW w:w="852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720" w:type="dxa"/>
            <w:vAlign w:val="bottom"/>
            <w:vMerge w:val="restart"/>
          </w:tcPr>
          <w:p>
            <w:pPr>
              <w:ind w:left="100"/>
              <w:spacing w:after="0"/>
              <w:rPr>
                <w:sz w:val="20"/>
                <w:szCs w:val="20"/>
                <w:color w:val="auto"/>
              </w:rPr>
            </w:pPr>
            <w:r>
              <w:rPr>
                <w:rFonts w:ascii="Arial" w:cs="Arial" w:eastAsia="Arial" w:hAnsi="Arial"/>
                <w:sz w:val="13"/>
                <w:szCs w:val="13"/>
                <w:b w:val="1"/>
                <w:bCs w:val="1"/>
                <w:color w:val="0E1020"/>
              </w:rPr>
              <w:t>Individual Limits on Awards</w:t>
            </w:r>
          </w:p>
        </w:tc>
        <w:tc>
          <w:tcPr>
            <w:tcW w:w="8520" w:type="dxa"/>
            <w:vAlign w:val="bottom"/>
          </w:tcPr>
          <w:p>
            <w:pPr>
              <w:ind w:left="20"/>
              <w:spacing w:after="0"/>
              <w:rPr>
                <w:sz w:val="20"/>
                <w:szCs w:val="20"/>
                <w:color w:val="auto"/>
              </w:rPr>
            </w:pPr>
            <w:r>
              <w:rPr>
                <w:rFonts w:ascii="Arial" w:cs="Arial" w:eastAsia="Arial" w:hAnsi="Arial"/>
                <w:sz w:val="13"/>
                <w:szCs w:val="13"/>
                <w:color w:val="0E1020"/>
              </w:rPr>
              <w:t>The 2017 OIP limits the number of shares underlying awards that may be granted to a participant in a calendar year. There are further limits on the</w:t>
            </w:r>
          </w:p>
        </w:tc>
        <w:tc>
          <w:tcPr>
            <w:tcW w:w="0" w:type="dxa"/>
            <w:vAlign w:val="bottom"/>
          </w:tcPr>
          <w:p>
            <w:pPr>
              <w:spacing w:after="0"/>
              <w:rPr>
                <w:sz w:val="1"/>
                <w:szCs w:val="1"/>
                <w:color w:val="auto"/>
              </w:rPr>
            </w:pPr>
          </w:p>
        </w:tc>
      </w:tr>
      <w:tr>
        <w:trPr>
          <w:trHeight w:val="77"/>
        </w:trPr>
        <w:tc>
          <w:tcPr>
            <w:tcW w:w="2720" w:type="dxa"/>
            <w:vAlign w:val="bottom"/>
            <w:vMerge w:val="continue"/>
          </w:tcPr>
          <w:p>
            <w:pPr>
              <w:spacing w:after="0"/>
              <w:rPr>
                <w:sz w:val="6"/>
                <w:szCs w:val="6"/>
                <w:color w:val="auto"/>
              </w:rPr>
            </w:pPr>
          </w:p>
        </w:tc>
        <w:tc>
          <w:tcPr>
            <w:tcW w:w="8520" w:type="dxa"/>
            <w:vAlign w:val="bottom"/>
            <w:vMerge w:val="restart"/>
          </w:tcPr>
          <w:p>
            <w:pPr>
              <w:ind w:left="20"/>
              <w:spacing w:after="0"/>
              <w:rPr>
                <w:sz w:val="20"/>
                <w:szCs w:val="20"/>
                <w:color w:val="auto"/>
              </w:rPr>
            </w:pPr>
            <w:r>
              <w:rPr>
                <w:rFonts w:ascii="Arial" w:cs="Arial" w:eastAsia="Arial" w:hAnsi="Arial"/>
                <w:sz w:val="13"/>
                <w:szCs w:val="13"/>
                <w:color w:val="0E1020"/>
              </w:rPr>
              <w:t>number that may be granted to a non-employee director under the 2017 DIP.</w:t>
            </w:r>
          </w:p>
        </w:tc>
        <w:tc>
          <w:tcPr>
            <w:tcW w:w="0" w:type="dxa"/>
            <w:vAlign w:val="bottom"/>
          </w:tcPr>
          <w:p>
            <w:pPr>
              <w:spacing w:after="0"/>
              <w:rPr>
                <w:sz w:val="1"/>
                <w:szCs w:val="1"/>
                <w:color w:val="auto"/>
              </w:rPr>
            </w:pPr>
          </w:p>
        </w:tc>
      </w:tr>
      <w:tr>
        <w:trPr>
          <w:trHeight w:val="95"/>
        </w:trPr>
        <w:tc>
          <w:tcPr>
            <w:tcW w:w="2720" w:type="dxa"/>
            <w:vAlign w:val="bottom"/>
            <w:tcBorders>
              <w:bottom w:val="single" w:sz="8" w:color="CFCFD2"/>
            </w:tcBorders>
          </w:tcPr>
          <w:p>
            <w:pPr>
              <w:spacing w:after="0"/>
              <w:rPr>
                <w:sz w:val="8"/>
                <w:szCs w:val="8"/>
                <w:color w:val="auto"/>
              </w:rPr>
            </w:pPr>
          </w:p>
        </w:tc>
        <w:tc>
          <w:tcPr>
            <w:tcW w:w="8520" w:type="dxa"/>
            <w:vAlign w:val="bottom"/>
            <w:tcBorders>
              <w:bottom w:val="single" w:sz="8" w:color="CFCFD2"/>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720" w:type="dxa"/>
            <w:vAlign w:val="bottom"/>
            <w:vMerge w:val="restart"/>
          </w:tcPr>
          <w:p>
            <w:pPr>
              <w:ind w:left="100"/>
              <w:spacing w:after="0"/>
              <w:rPr>
                <w:sz w:val="20"/>
                <w:szCs w:val="20"/>
                <w:color w:val="auto"/>
              </w:rPr>
            </w:pPr>
            <w:r>
              <w:rPr>
                <w:rFonts w:ascii="Arial" w:cs="Arial" w:eastAsia="Arial" w:hAnsi="Arial"/>
                <w:sz w:val="13"/>
                <w:szCs w:val="13"/>
                <w:b w:val="1"/>
                <w:bCs w:val="1"/>
                <w:color w:val="0E1020"/>
              </w:rPr>
              <w:t>Independent Administration</w:t>
            </w:r>
          </w:p>
        </w:tc>
        <w:tc>
          <w:tcPr>
            <w:tcW w:w="8520" w:type="dxa"/>
            <w:vAlign w:val="bottom"/>
          </w:tcPr>
          <w:p>
            <w:pPr>
              <w:ind w:left="20"/>
              <w:spacing w:after="0"/>
              <w:rPr>
                <w:sz w:val="20"/>
                <w:szCs w:val="20"/>
                <w:color w:val="auto"/>
              </w:rPr>
            </w:pPr>
            <w:r>
              <w:rPr>
                <w:rFonts w:ascii="Arial" w:cs="Arial" w:eastAsia="Arial" w:hAnsi="Arial"/>
                <w:sz w:val="13"/>
                <w:szCs w:val="13"/>
                <w:color w:val="0E1020"/>
                <w:w w:val="99"/>
              </w:rPr>
              <w:t>The 2017 OIP is administered by the Compensation Committee, which is composed entirely of “independent directors” within the meaning of NYSE’s</w:t>
            </w:r>
          </w:p>
        </w:tc>
        <w:tc>
          <w:tcPr>
            <w:tcW w:w="0" w:type="dxa"/>
            <w:vAlign w:val="bottom"/>
          </w:tcPr>
          <w:p>
            <w:pPr>
              <w:spacing w:after="0"/>
              <w:rPr>
                <w:sz w:val="1"/>
                <w:szCs w:val="1"/>
                <w:color w:val="auto"/>
              </w:rPr>
            </w:pPr>
          </w:p>
        </w:tc>
      </w:tr>
      <w:tr>
        <w:trPr>
          <w:trHeight w:val="77"/>
        </w:trPr>
        <w:tc>
          <w:tcPr>
            <w:tcW w:w="2720" w:type="dxa"/>
            <w:vAlign w:val="bottom"/>
            <w:vMerge w:val="continue"/>
          </w:tcPr>
          <w:p>
            <w:pPr>
              <w:spacing w:after="0"/>
              <w:rPr>
                <w:sz w:val="6"/>
                <w:szCs w:val="6"/>
                <w:color w:val="auto"/>
              </w:rPr>
            </w:pPr>
          </w:p>
        </w:tc>
        <w:tc>
          <w:tcPr>
            <w:tcW w:w="8520" w:type="dxa"/>
            <w:vAlign w:val="bottom"/>
            <w:vMerge w:val="restart"/>
          </w:tcPr>
          <w:p>
            <w:pPr>
              <w:ind w:left="20"/>
              <w:spacing w:after="0"/>
              <w:rPr>
                <w:sz w:val="20"/>
                <w:szCs w:val="20"/>
                <w:color w:val="auto"/>
              </w:rPr>
            </w:pPr>
            <w:r>
              <w:rPr>
                <w:rFonts w:ascii="Arial" w:cs="Arial" w:eastAsia="Arial" w:hAnsi="Arial"/>
                <w:sz w:val="13"/>
                <w:szCs w:val="13"/>
                <w:color w:val="0E1020"/>
              </w:rPr>
              <w:t>independence requirements and “non-employee directors” as defined in Rule 16b-3 under the Exchange Act.</w:t>
            </w:r>
          </w:p>
        </w:tc>
        <w:tc>
          <w:tcPr>
            <w:tcW w:w="0" w:type="dxa"/>
            <w:vAlign w:val="bottom"/>
          </w:tcPr>
          <w:p>
            <w:pPr>
              <w:spacing w:after="0"/>
              <w:rPr>
                <w:sz w:val="1"/>
                <w:szCs w:val="1"/>
                <w:color w:val="auto"/>
              </w:rPr>
            </w:pPr>
          </w:p>
        </w:tc>
      </w:tr>
      <w:tr>
        <w:trPr>
          <w:trHeight w:val="95"/>
        </w:trPr>
        <w:tc>
          <w:tcPr>
            <w:tcW w:w="2720" w:type="dxa"/>
            <w:vAlign w:val="bottom"/>
            <w:tcBorders>
              <w:bottom w:val="single" w:sz="8" w:color="CFCFD2"/>
            </w:tcBorders>
          </w:tcPr>
          <w:p>
            <w:pPr>
              <w:spacing w:after="0"/>
              <w:rPr>
                <w:sz w:val="8"/>
                <w:szCs w:val="8"/>
                <w:color w:val="auto"/>
              </w:rPr>
            </w:pPr>
          </w:p>
        </w:tc>
        <w:tc>
          <w:tcPr>
            <w:tcW w:w="8520" w:type="dxa"/>
            <w:vAlign w:val="bottom"/>
            <w:tcBorders>
              <w:bottom w:val="single" w:sz="8" w:color="CFCFD2"/>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21</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29" w:name="page30"/>
    <w:bookmarkEnd w:id="29"/>
    <w:p>
      <w:pPr>
        <w:ind w:left="20"/>
        <w:spacing w:after="0"/>
        <w:tabs>
          <w:tab w:leader="none" w:pos="10100" w:val="left"/>
        </w:tabs>
        <w:rPr>
          <w:sz w:val="20"/>
          <w:szCs w:val="20"/>
          <w:color w:val="auto"/>
        </w:rPr>
      </w:pPr>
      <w:r>
        <w:rPr>
          <w:rFonts w:ascii="Arial" w:cs="Arial" w:eastAsia="Arial" w:hAnsi="Arial"/>
          <w:sz w:val="14"/>
          <w:szCs w:val="14"/>
          <w:color w:val="auto"/>
        </w:rPr>
        <w:t>Proposal 4</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color w:val="0E1020"/>
        </w:rPr>
        <w:t>Share Reservation</w:t>
      </w:r>
    </w:p>
    <w:p>
      <w:pPr>
        <w:spacing w:after="0" w:line="124" w:lineRule="exact"/>
        <w:rPr>
          <w:sz w:val="20"/>
          <w:szCs w:val="20"/>
          <w:color w:val="auto"/>
        </w:rPr>
      </w:pPr>
    </w:p>
    <w:p>
      <w:pPr>
        <w:jc w:val="both"/>
        <w:ind w:right="160"/>
        <w:spacing w:after="0" w:line="316" w:lineRule="auto"/>
        <w:rPr>
          <w:sz w:val="20"/>
          <w:szCs w:val="20"/>
          <w:color w:val="auto"/>
        </w:rPr>
      </w:pPr>
      <w:r>
        <w:rPr>
          <w:rFonts w:ascii="Arial" w:cs="Arial" w:eastAsia="Arial" w:hAnsi="Arial"/>
          <w:sz w:val="16"/>
          <w:szCs w:val="16"/>
          <w:color w:val="0E1020"/>
        </w:rPr>
        <w:t>The following table summarizes the number of shares subject to outstanding awards and that would be authorized for issuance as of March 31, 2026 under our equity plans, if this Proposal is approved. In addition to the 2017 OIP, there are outstanding awards under the 2017 DIP. As of March 31, 2026, the 2017 OIP and the 2017 DIP are DXC’s only active equity plans.</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Share Reservation Under Our Equity Plans (2017 OIP &amp; 2017 DIP)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9540" w:type="dxa"/>
            <w:vAlign w:val="bottom"/>
            <w:shd w:val="clear" w:color="auto" w:fill="F6F3F0"/>
          </w:tcPr>
          <w:p>
            <w:pPr>
              <w:ind w:left="100"/>
              <w:spacing w:after="0"/>
              <w:rPr>
                <w:sz w:val="20"/>
                <w:szCs w:val="20"/>
                <w:color w:val="auto"/>
              </w:rPr>
            </w:pPr>
            <w:r>
              <w:rPr>
                <w:rFonts w:ascii="Arial" w:cs="Arial" w:eastAsia="Arial" w:hAnsi="Arial"/>
                <w:sz w:val="14"/>
                <w:szCs w:val="14"/>
                <w:b w:val="1"/>
                <w:bCs w:val="1"/>
                <w:color w:val="0E1020"/>
              </w:rPr>
              <w:t>Share Detail</w:t>
            </w:r>
          </w:p>
        </w:tc>
        <w:tc>
          <w:tcPr>
            <w:tcW w:w="1700" w:type="dxa"/>
            <w:vAlign w:val="bottom"/>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Millions</w:t>
            </w:r>
          </w:p>
        </w:tc>
      </w:tr>
      <w:tr>
        <w:trPr>
          <w:trHeight w:val="69"/>
        </w:trPr>
        <w:tc>
          <w:tcPr>
            <w:tcW w:w="9540" w:type="dxa"/>
            <w:vAlign w:val="bottom"/>
            <w:tcBorders>
              <w:bottom w:val="single" w:sz="8" w:color="CFCFD2"/>
            </w:tcBorders>
            <w:shd w:val="clear" w:color="auto" w:fill="F6F3F0"/>
          </w:tcPr>
          <w:p>
            <w:pPr>
              <w:spacing w:after="0"/>
              <w:rPr>
                <w:sz w:val="5"/>
                <w:szCs w:val="5"/>
                <w:color w:val="auto"/>
              </w:rPr>
            </w:pPr>
          </w:p>
        </w:tc>
        <w:tc>
          <w:tcPr>
            <w:tcW w:w="1700" w:type="dxa"/>
            <w:vAlign w:val="bottom"/>
            <w:tcBorders>
              <w:bottom w:val="single" w:sz="8" w:color="CFCFD2"/>
            </w:tcBorders>
            <w:shd w:val="clear" w:color="auto" w:fill="F6F3F0"/>
          </w:tcPr>
          <w:p>
            <w:pPr>
              <w:spacing w:after="0"/>
              <w:rPr>
                <w:sz w:val="5"/>
                <w:szCs w:val="5"/>
                <w:color w:val="auto"/>
              </w:rPr>
            </w:pPr>
          </w:p>
        </w:tc>
      </w:tr>
      <w:tr>
        <w:trPr>
          <w:trHeight w:val="200"/>
        </w:trPr>
        <w:tc>
          <w:tcPr>
            <w:tcW w:w="9540" w:type="dxa"/>
            <w:vAlign w:val="bottom"/>
          </w:tcPr>
          <w:p>
            <w:pPr>
              <w:ind w:left="100"/>
              <w:spacing w:after="0"/>
              <w:rPr>
                <w:sz w:val="20"/>
                <w:szCs w:val="20"/>
                <w:color w:val="auto"/>
              </w:rPr>
            </w:pPr>
            <w:r>
              <w:rPr>
                <w:rFonts w:ascii="Arial" w:cs="Arial" w:eastAsia="Arial" w:hAnsi="Arial"/>
                <w:sz w:val="14"/>
                <w:szCs w:val="14"/>
                <w:color w:val="0E1020"/>
              </w:rPr>
              <w:t>Outstanding awards as of March 31, 2026</w:t>
            </w:r>
          </w:p>
        </w:tc>
        <w:tc>
          <w:tcPr>
            <w:tcW w:w="1700" w:type="dxa"/>
            <w:vAlign w:val="bottom"/>
          </w:tcPr>
          <w:p>
            <w:pPr>
              <w:jc w:val="right"/>
              <w:ind w:right="89"/>
              <w:spacing w:after="0"/>
              <w:rPr>
                <w:sz w:val="20"/>
                <w:szCs w:val="20"/>
                <w:color w:val="auto"/>
              </w:rPr>
            </w:pPr>
            <w:r>
              <w:rPr>
                <w:rFonts w:ascii="Arial" w:cs="Arial" w:eastAsia="Arial" w:hAnsi="Arial"/>
                <w:sz w:val="14"/>
                <w:szCs w:val="14"/>
                <w:color w:val="0E1020"/>
              </w:rPr>
              <w:t>13.96</w:t>
            </w:r>
          </w:p>
        </w:tc>
      </w:tr>
      <w:tr>
        <w:trPr>
          <w:trHeight w:val="21"/>
        </w:trPr>
        <w:tc>
          <w:tcPr>
            <w:tcW w:w="9540" w:type="dxa"/>
            <w:vAlign w:val="bottom"/>
            <w:tcBorders>
              <w:bottom w:val="single" w:sz="8" w:color="CFCFD2"/>
            </w:tcBorders>
          </w:tcPr>
          <w:p>
            <w:pPr>
              <w:spacing w:after="0" w:line="20" w:lineRule="exact"/>
              <w:rPr>
                <w:sz w:val="1"/>
                <w:szCs w:val="1"/>
                <w:color w:val="auto"/>
              </w:rPr>
            </w:pPr>
          </w:p>
        </w:tc>
        <w:tc>
          <w:tcPr>
            <w:tcW w:w="1700" w:type="dxa"/>
            <w:vAlign w:val="bottom"/>
            <w:tcBorders>
              <w:bottom w:val="single" w:sz="8" w:color="CFCFD2"/>
            </w:tcBorders>
          </w:tcPr>
          <w:p>
            <w:pPr>
              <w:spacing w:after="0" w:line="20" w:lineRule="exact"/>
              <w:rPr>
                <w:sz w:val="1"/>
                <w:szCs w:val="1"/>
                <w:color w:val="auto"/>
              </w:rPr>
            </w:pPr>
          </w:p>
        </w:tc>
      </w:tr>
      <w:tr>
        <w:trPr>
          <w:trHeight w:val="200"/>
        </w:trPr>
        <w:tc>
          <w:tcPr>
            <w:tcW w:w="9540" w:type="dxa"/>
            <w:vAlign w:val="bottom"/>
          </w:tcPr>
          <w:p>
            <w:pPr>
              <w:ind w:left="100"/>
              <w:spacing w:after="0"/>
              <w:rPr>
                <w:sz w:val="20"/>
                <w:szCs w:val="20"/>
                <w:color w:val="auto"/>
              </w:rPr>
            </w:pPr>
            <w:r>
              <w:rPr>
                <w:rFonts w:ascii="Arial" w:cs="Arial" w:eastAsia="Arial" w:hAnsi="Arial"/>
                <w:sz w:val="14"/>
                <w:szCs w:val="14"/>
                <w:color w:val="0E1020"/>
              </w:rPr>
              <w:t>Outstanding Options/SARS</w:t>
            </w:r>
          </w:p>
        </w:tc>
        <w:tc>
          <w:tcPr>
            <w:tcW w:w="1700" w:type="dxa"/>
            <w:vAlign w:val="bottom"/>
          </w:tcPr>
          <w:p>
            <w:pPr>
              <w:jc w:val="right"/>
              <w:ind w:right="89"/>
              <w:spacing w:after="0"/>
              <w:rPr>
                <w:sz w:val="20"/>
                <w:szCs w:val="20"/>
                <w:color w:val="auto"/>
              </w:rPr>
            </w:pPr>
            <w:r>
              <w:rPr>
                <w:rFonts w:ascii="Arial" w:cs="Arial" w:eastAsia="Arial" w:hAnsi="Arial"/>
                <w:sz w:val="14"/>
                <w:szCs w:val="14"/>
                <w:color w:val="0E1020"/>
              </w:rPr>
              <w:t>0.27</w:t>
            </w:r>
          </w:p>
        </w:tc>
      </w:tr>
      <w:tr>
        <w:trPr>
          <w:trHeight w:val="21"/>
        </w:trPr>
        <w:tc>
          <w:tcPr>
            <w:tcW w:w="9540" w:type="dxa"/>
            <w:vAlign w:val="bottom"/>
            <w:tcBorders>
              <w:bottom w:val="single" w:sz="8" w:color="CFCFD2"/>
            </w:tcBorders>
          </w:tcPr>
          <w:p>
            <w:pPr>
              <w:spacing w:after="0" w:line="20" w:lineRule="exact"/>
              <w:rPr>
                <w:sz w:val="1"/>
                <w:szCs w:val="1"/>
                <w:color w:val="auto"/>
              </w:rPr>
            </w:pPr>
          </w:p>
        </w:tc>
        <w:tc>
          <w:tcPr>
            <w:tcW w:w="1700" w:type="dxa"/>
            <w:vAlign w:val="bottom"/>
            <w:tcBorders>
              <w:bottom w:val="single" w:sz="8" w:color="CFCFD2"/>
            </w:tcBorders>
          </w:tcPr>
          <w:p>
            <w:pPr>
              <w:spacing w:after="0" w:line="20" w:lineRule="exact"/>
              <w:rPr>
                <w:sz w:val="1"/>
                <w:szCs w:val="1"/>
                <w:color w:val="auto"/>
              </w:rPr>
            </w:pPr>
          </w:p>
        </w:tc>
      </w:tr>
      <w:tr>
        <w:trPr>
          <w:trHeight w:val="200"/>
        </w:trPr>
        <w:tc>
          <w:tcPr>
            <w:tcW w:w="9540" w:type="dxa"/>
            <w:vAlign w:val="bottom"/>
          </w:tcPr>
          <w:p>
            <w:pPr>
              <w:ind w:left="100"/>
              <w:spacing w:after="0"/>
              <w:rPr>
                <w:sz w:val="20"/>
                <w:szCs w:val="20"/>
                <w:color w:val="auto"/>
              </w:rPr>
            </w:pPr>
            <w:r>
              <w:rPr>
                <w:rFonts w:ascii="Arial" w:cs="Arial" w:eastAsia="Arial" w:hAnsi="Arial"/>
                <w:sz w:val="14"/>
                <w:szCs w:val="14"/>
                <w:color w:val="0E1020"/>
              </w:rPr>
              <w:t>Outstanding RSUs and PSUs</w:t>
            </w:r>
          </w:p>
        </w:tc>
        <w:tc>
          <w:tcPr>
            <w:tcW w:w="1700" w:type="dxa"/>
            <w:vAlign w:val="bottom"/>
          </w:tcPr>
          <w:p>
            <w:pPr>
              <w:jc w:val="right"/>
              <w:ind w:right="89"/>
              <w:spacing w:after="0"/>
              <w:rPr>
                <w:sz w:val="20"/>
                <w:szCs w:val="20"/>
                <w:color w:val="auto"/>
              </w:rPr>
            </w:pPr>
            <w:r>
              <w:rPr>
                <w:rFonts w:ascii="Arial" w:cs="Arial" w:eastAsia="Arial" w:hAnsi="Arial"/>
                <w:sz w:val="14"/>
                <w:szCs w:val="14"/>
                <w:color w:val="0E1020"/>
              </w:rPr>
              <w:t>13.69</w:t>
            </w:r>
          </w:p>
        </w:tc>
      </w:tr>
      <w:tr>
        <w:trPr>
          <w:trHeight w:val="21"/>
        </w:trPr>
        <w:tc>
          <w:tcPr>
            <w:tcW w:w="9540" w:type="dxa"/>
            <w:vAlign w:val="bottom"/>
            <w:tcBorders>
              <w:bottom w:val="single" w:sz="8" w:color="CFCFD2"/>
            </w:tcBorders>
          </w:tcPr>
          <w:p>
            <w:pPr>
              <w:spacing w:after="0" w:line="20" w:lineRule="exact"/>
              <w:rPr>
                <w:sz w:val="1"/>
                <w:szCs w:val="1"/>
                <w:color w:val="auto"/>
              </w:rPr>
            </w:pPr>
          </w:p>
        </w:tc>
        <w:tc>
          <w:tcPr>
            <w:tcW w:w="1700" w:type="dxa"/>
            <w:vAlign w:val="bottom"/>
            <w:tcBorders>
              <w:bottom w:val="single" w:sz="8" w:color="CFCFD2"/>
            </w:tcBorders>
          </w:tcPr>
          <w:p>
            <w:pPr>
              <w:spacing w:after="0" w:line="20" w:lineRule="exact"/>
              <w:rPr>
                <w:sz w:val="1"/>
                <w:szCs w:val="1"/>
                <w:color w:val="auto"/>
              </w:rPr>
            </w:pPr>
          </w:p>
        </w:tc>
      </w:tr>
      <w:tr>
        <w:trPr>
          <w:trHeight w:val="200"/>
        </w:trPr>
        <w:tc>
          <w:tcPr>
            <w:tcW w:w="9540" w:type="dxa"/>
            <w:vAlign w:val="bottom"/>
          </w:tcPr>
          <w:p>
            <w:pPr>
              <w:ind w:left="100"/>
              <w:spacing w:after="0"/>
              <w:rPr>
                <w:sz w:val="20"/>
                <w:szCs w:val="20"/>
                <w:color w:val="auto"/>
              </w:rPr>
            </w:pPr>
            <w:r>
              <w:rPr>
                <w:rFonts w:ascii="Arial" w:cs="Arial" w:eastAsia="Arial" w:hAnsi="Arial"/>
                <w:sz w:val="14"/>
                <w:szCs w:val="14"/>
                <w:color w:val="0E1020"/>
              </w:rPr>
              <w:t>Additional shares issuable if PSUs vest at maximum payout levels</w:t>
            </w:r>
          </w:p>
        </w:tc>
        <w:tc>
          <w:tcPr>
            <w:tcW w:w="1700" w:type="dxa"/>
            <w:vAlign w:val="bottom"/>
          </w:tcPr>
          <w:p>
            <w:pPr>
              <w:jc w:val="right"/>
              <w:ind w:right="89"/>
              <w:spacing w:after="0"/>
              <w:rPr>
                <w:sz w:val="20"/>
                <w:szCs w:val="20"/>
                <w:color w:val="auto"/>
              </w:rPr>
            </w:pPr>
            <w:r>
              <w:rPr>
                <w:rFonts w:ascii="Arial" w:cs="Arial" w:eastAsia="Arial" w:hAnsi="Arial"/>
                <w:sz w:val="14"/>
                <w:szCs w:val="14"/>
                <w:color w:val="0E1020"/>
              </w:rPr>
              <w:t>6.61</w:t>
            </w:r>
          </w:p>
        </w:tc>
      </w:tr>
      <w:tr>
        <w:trPr>
          <w:trHeight w:val="21"/>
        </w:trPr>
        <w:tc>
          <w:tcPr>
            <w:tcW w:w="9540" w:type="dxa"/>
            <w:vAlign w:val="bottom"/>
            <w:tcBorders>
              <w:bottom w:val="single" w:sz="8" w:color="CFCFD2"/>
            </w:tcBorders>
          </w:tcPr>
          <w:p>
            <w:pPr>
              <w:spacing w:after="0" w:line="20" w:lineRule="exact"/>
              <w:rPr>
                <w:sz w:val="1"/>
                <w:szCs w:val="1"/>
                <w:color w:val="auto"/>
              </w:rPr>
            </w:pPr>
          </w:p>
        </w:tc>
        <w:tc>
          <w:tcPr>
            <w:tcW w:w="1700" w:type="dxa"/>
            <w:vAlign w:val="bottom"/>
            <w:tcBorders>
              <w:bottom w:val="single" w:sz="8" w:color="CFCFD2"/>
            </w:tcBorders>
          </w:tcPr>
          <w:p>
            <w:pPr>
              <w:spacing w:after="0" w:line="20" w:lineRule="exact"/>
              <w:rPr>
                <w:sz w:val="1"/>
                <w:szCs w:val="1"/>
                <w:color w:val="auto"/>
              </w:rPr>
            </w:pPr>
          </w:p>
        </w:tc>
      </w:tr>
      <w:tr>
        <w:trPr>
          <w:trHeight w:val="200"/>
        </w:trPr>
        <w:tc>
          <w:tcPr>
            <w:tcW w:w="9540" w:type="dxa"/>
            <w:vAlign w:val="bottom"/>
          </w:tcPr>
          <w:p>
            <w:pPr>
              <w:ind w:left="100"/>
              <w:spacing w:after="0"/>
              <w:rPr>
                <w:sz w:val="20"/>
                <w:szCs w:val="20"/>
                <w:color w:val="auto"/>
              </w:rPr>
            </w:pPr>
            <w:r>
              <w:rPr>
                <w:rFonts w:ascii="Arial" w:cs="Arial" w:eastAsia="Arial" w:hAnsi="Arial"/>
                <w:sz w:val="14"/>
                <w:szCs w:val="14"/>
                <w:color w:val="0E1020"/>
              </w:rPr>
              <w:t>Shares available for new grants as of March 31, 2026</w:t>
            </w:r>
          </w:p>
        </w:tc>
        <w:tc>
          <w:tcPr>
            <w:tcW w:w="1700" w:type="dxa"/>
            <w:vAlign w:val="bottom"/>
          </w:tcPr>
          <w:p>
            <w:pPr>
              <w:jc w:val="right"/>
              <w:ind w:right="89"/>
              <w:spacing w:after="0"/>
              <w:rPr>
                <w:sz w:val="20"/>
                <w:szCs w:val="20"/>
                <w:color w:val="auto"/>
              </w:rPr>
            </w:pPr>
            <w:r>
              <w:rPr>
                <w:rFonts w:ascii="Arial" w:cs="Arial" w:eastAsia="Arial" w:hAnsi="Arial"/>
                <w:sz w:val="14"/>
                <w:szCs w:val="14"/>
                <w:color w:val="0E1020"/>
              </w:rPr>
              <w:t>7.55</w:t>
            </w:r>
          </w:p>
        </w:tc>
      </w:tr>
      <w:tr>
        <w:trPr>
          <w:trHeight w:val="21"/>
        </w:trPr>
        <w:tc>
          <w:tcPr>
            <w:tcW w:w="9540" w:type="dxa"/>
            <w:vAlign w:val="bottom"/>
            <w:tcBorders>
              <w:bottom w:val="single" w:sz="8" w:color="CFCFD2"/>
            </w:tcBorders>
          </w:tcPr>
          <w:p>
            <w:pPr>
              <w:spacing w:after="0" w:line="20" w:lineRule="exact"/>
              <w:rPr>
                <w:sz w:val="1"/>
                <w:szCs w:val="1"/>
                <w:color w:val="auto"/>
              </w:rPr>
            </w:pPr>
          </w:p>
        </w:tc>
        <w:tc>
          <w:tcPr>
            <w:tcW w:w="1700" w:type="dxa"/>
            <w:vAlign w:val="bottom"/>
            <w:tcBorders>
              <w:bottom w:val="single" w:sz="8" w:color="CFCFD2"/>
            </w:tcBorders>
          </w:tcPr>
          <w:p>
            <w:pPr>
              <w:spacing w:after="0" w:line="20" w:lineRule="exact"/>
              <w:rPr>
                <w:sz w:val="1"/>
                <w:szCs w:val="1"/>
                <w:color w:val="auto"/>
              </w:rPr>
            </w:pPr>
          </w:p>
        </w:tc>
      </w:tr>
      <w:tr>
        <w:trPr>
          <w:trHeight w:val="215"/>
        </w:trPr>
        <w:tc>
          <w:tcPr>
            <w:tcW w:w="95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E1020"/>
              </w:rPr>
              <w:t>Total number of shares issuable as of March 31, 2026 (Outstanding awards plus potential new grants)</w:t>
            </w:r>
          </w:p>
        </w:tc>
        <w:tc>
          <w:tcPr>
            <w:tcW w:w="1700" w:type="dxa"/>
            <w:vAlign w:val="bottom"/>
            <w:tcBorders>
              <w:bottom w:val="single" w:sz="8" w:color="CFCFD2"/>
            </w:tcBorders>
          </w:tcPr>
          <w:p>
            <w:pPr>
              <w:jc w:val="right"/>
              <w:ind w:right="89"/>
              <w:spacing w:after="0"/>
              <w:rPr>
                <w:sz w:val="20"/>
                <w:szCs w:val="20"/>
                <w:color w:val="auto"/>
              </w:rPr>
            </w:pPr>
            <w:r>
              <w:rPr>
                <w:rFonts w:ascii="Arial" w:cs="Arial" w:eastAsia="Arial" w:hAnsi="Arial"/>
                <w:sz w:val="14"/>
                <w:szCs w:val="14"/>
                <w:color w:val="0E1020"/>
              </w:rPr>
              <w:t>28.12</w:t>
            </w:r>
          </w:p>
        </w:tc>
      </w:tr>
      <w:tr>
        <w:trPr>
          <w:trHeight w:val="221"/>
        </w:trPr>
        <w:tc>
          <w:tcPr>
            <w:tcW w:w="95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E1020"/>
              </w:rPr>
              <w:t>Additional shares requested under this Proposal</w:t>
            </w:r>
          </w:p>
        </w:tc>
        <w:tc>
          <w:tcPr>
            <w:tcW w:w="1700" w:type="dxa"/>
            <w:vAlign w:val="bottom"/>
            <w:tcBorders>
              <w:bottom w:val="single" w:sz="8" w:color="CFCFD2"/>
            </w:tcBorders>
          </w:tcPr>
          <w:p>
            <w:pPr>
              <w:jc w:val="right"/>
              <w:ind w:right="89"/>
              <w:spacing w:after="0"/>
              <w:rPr>
                <w:sz w:val="20"/>
                <w:szCs w:val="20"/>
                <w:color w:val="auto"/>
              </w:rPr>
            </w:pPr>
            <w:r>
              <w:rPr>
                <w:rFonts w:ascii="Arial" w:cs="Arial" w:eastAsia="Arial" w:hAnsi="Arial"/>
                <w:sz w:val="14"/>
                <w:szCs w:val="14"/>
                <w:color w:val="0E1020"/>
              </w:rPr>
              <w:t>21.00</w:t>
            </w:r>
          </w:p>
        </w:tc>
      </w:tr>
      <w:tr>
        <w:trPr>
          <w:trHeight w:val="221"/>
        </w:trPr>
        <w:tc>
          <w:tcPr>
            <w:tcW w:w="95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E1020"/>
              </w:rPr>
              <w:t>Total shares authorized for issuance as of March 31, 2026</w:t>
            </w:r>
          </w:p>
        </w:tc>
        <w:tc>
          <w:tcPr>
            <w:tcW w:w="1700" w:type="dxa"/>
            <w:vAlign w:val="bottom"/>
            <w:tcBorders>
              <w:bottom w:val="single" w:sz="8" w:color="CFCFD2"/>
            </w:tcBorders>
          </w:tcPr>
          <w:p>
            <w:pPr>
              <w:jc w:val="right"/>
              <w:ind w:right="89"/>
              <w:spacing w:after="0"/>
              <w:rPr>
                <w:sz w:val="20"/>
                <w:szCs w:val="20"/>
                <w:color w:val="auto"/>
              </w:rPr>
            </w:pPr>
            <w:r>
              <w:rPr>
                <w:rFonts w:ascii="Arial" w:cs="Arial" w:eastAsia="Arial" w:hAnsi="Arial"/>
                <w:sz w:val="14"/>
                <w:szCs w:val="14"/>
                <w:color w:val="0E1020"/>
              </w:rPr>
              <w:t>52.45</w:t>
            </w:r>
          </w:p>
        </w:tc>
      </w:tr>
    </w:tbl>
    <w:p>
      <w:pPr>
        <w:spacing w:after="0" w:line="267" w:lineRule="exact"/>
        <w:rPr>
          <w:sz w:val="20"/>
          <w:szCs w:val="20"/>
          <w:color w:val="auto"/>
        </w:rPr>
      </w:pPr>
    </w:p>
    <w:p>
      <w:pPr>
        <w:ind w:right="100"/>
        <w:spacing w:after="0" w:line="316" w:lineRule="auto"/>
        <w:rPr>
          <w:sz w:val="20"/>
          <w:szCs w:val="20"/>
          <w:color w:val="auto"/>
        </w:rPr>
      </w:pPr>
      <w:r>
        <w:rPr>
          <w:rFonts w:ascii="Arial" w:cs="Arial" w:eastAsia="Arial" w:hAnsi="Arial"/>
          <w:sz w:val="16"/>
          <w:szCs w:val="16"/>
          <w:b w:val="1"/>
          <w:bCs w:val="1"/>
          <w:color w:val="0E1020"/>
        </w:rPr>
        <w:t>Outstanding awards as of March 31, 2026</w:t>
      </w:r>
      <w:r>
        <w:rPr>
          <w:rFonts w:ascii="Arial" w:cs="Arial" w:eastAsia="Arial" w:hAnsi="Arial"/>
          <w:sz w:val="16"/>
          <w:szCs w:val="16"/>
          <w:color w:val="0E1020"/>
        </w:rPr>
        <w:t>. This number also assumes that PSUs outstanding as of March 31, 2026 will convert at 100% of their target</w:t>
      </w:r>
      <w:r>
        <w:rPr>
          <w:rFonts w:ascii="Arial" w:cs="Arial" w:eastAsia="Arial" w:hAnsi="Arial"/>
          <w:sz w:val="16"/>
          <w:szCs w:val="16"/>
          <w:b w:val="1"/>
          <w:bCs w:val="1"/>
          <w:color w:val="0E1020"/>
        </w:rPr>
        <w:t xml:space="preserve"> </w:t>
      </w:r>
      <w:r>
        <w:rPr>
          <w:rFonts w:ascii="Arial" w:cs="Arial" w:eastAsia="Arial" w:hAnsi="Arial"/>
          <w:sz w:val="16"/>
          <w:szCs w:val="16"/>
          <w:color w:val="0E1020"/>
        </w:rPr>
        <w:t>amounts upon vesting. PSUs are granted at a target share amount, and can convert into DXC shares anywhere from 0% to 200% of that target amount upon vesting, depending on achieving specified performance criteria.</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0E1020"/>
        </w:rPr>
        <w:t>Outstanding Options/SARs</w:t>
      </w:r>
      <w:r>
        <w:rPr>
          <w:rFonts w:ascii="Arial" w:cs="Arial" w:eastAsia="Arial" w:hAnsi="Arial"/>
          <w:sz w:val="16"/>
          <w:szCs w:val="16"/>
          <w:color w:val="0E1020"/>
        </w:rPr>
        <w:t>. The weighted average exercise price is $44.69. The weighted average remaining term is .29 years.</w:t>
      </w:r>
    </w:p>
    <w:p>
      <w:pPr>
        <w:spacing w:after="0" w:line="138" w:lineRule="exact"/>
        <w:rPr>
          <w:sz w:val="20"/>
          <w:szCs w:val="20"/>
          <w:color w:val="auto"/>
        </w:rPr>
      </w:pPr>
    </w:p>
    <w:p>
      <w:pPr>
        <w:jc w:val="both"/>
        <w:ind w:right="140"/>
        <w:spacing w:after="0" w:line="335" w:lineRule="auto"/>
        <w:rPr>
          <w:sz w:val="20"/>
          <w:szCs w:val="20"/>
          <w:color w:val="auto"/>
        </w:rPr>
      </w:pPr>
      <w:r>
        <w:rPr>
          <w:rFonts w:ascii="Arial" w:cs="Arial" w:eastAsia="Arial" w:hAnsi="Arial"/>
          <w:sz w:val="16"/>
          <w:szCs w:val="16"/>
          <w:b w:val="1"/>
          <w:bCs w:val="1"/>
          <w:color w:val="0E1020"/>
        </w:rPr>
        <w:t xml:space="preserve">Additional shares issuable if PSUs vest at maximum payout levels. </w:t>
      </w:r>
      <w:r>
        <w:rPr>
          <w:rFonts w:ascii="Arial" w:cs="Arial" w:eastAsia="Arial" w:hAnsi="Arial"/>
          <w:sz w:val="16"/>
          <w:szCs w:val="16"/>
          <w:color w:val="0E1020"/>
        </w:rPr>
        <w:t>This is the additional number of shares that would be issued if PSUs outstanding as</w:t>
      </w:r>
      <w:r>
        <w:rPr>
          <w:rFonts w:ascii="Arial" w:cs="Arial" w:eastAsia="Arial" w:hAnsi="Arial"/>
          <w:sz w:val="16"/>
          <w:szCs w:val="16"/>
          <w:b w:val="1"/>
          <w:bCs w:val="1"/>
          <w:color w:val="0E1020"/>
        </w:rPr>
        <w:t xml:space="preserve"> </w:t>
      </w:r>
      <w:r>
        <w:rPr>
          <w:rFonts w:ascii="Arial" w:cs="Arial" w:eastAsia="Arial" w:hAnsi="Arial"/>
          <w:sz w:val="16"/>
          <w:szCs w:val="16"/>
          <w:color w:val="0E1020"/>
        </w:rPr>
        <w:t>of March 31, 2026 convert at 200% of their target amounts upon vesting.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0E1020"/>
        </w:rPr>
        <w:t>Shares available for new grants as of March 31, 2026</w:t>
      </w:r>
      <w:r>
        <w:rPr>
          <w:rFonts w:ascii="Arial" w:cs="Arial" w:eastAsia="Arial" w:hAnsi="Arial"/>
          <w:sz w:val="16"/>
          <w:szCs w:val="16"/>
          <w:color w:val="0E1020"/>
        </w:rPr>
        <w:t>. Assumes PSUs outstanding as of March 31, 2026 vest at maximum payout levels.</w:t>
      </w:r>
    </w:p>
    <w:p>
      <w:pPr>
        <w:spacing w:after="0" w:line="124" w:lineRule="exact"/>
        <w:rPr>
          <w:sz w:val="20"/>
          <w:szCs w:val="20"/>
          <w:color w:val="auto"/>
        </w:rPr>
      </w:pPr>
    </w:p>
    <w:p>
      <w:pPr>
        <w:jc w:val="both"/>
        <w:ind w:right="140"/>
        <w:spacing w:after="0" w:line="316" w:lineRule="auto"/>
        <w:rPr>
          <w:sz w:val="20"/>
          <w:szCs w:val="20"/>
          <w:color w:val="auto"/>
        </w:rPr>
      </w:pPr>
      <w:r>
        <w:rPr>
          <w:rFonts w:ascii="Arial" w:cs="Arial" w:eastAsia="Arial" w:hAnsi="Arial"/>
          <w:sz w:val="16"/>
          <w:szCs w:val="16"/>
          <w:b w:val="1"/>
          <w:bCs w:val="1"/>
          <w:color w:val="0E1020"/>
        </w:rPr>
        <w:t xml:space="preserve">Additional shares requested under this Proposal. </w:t>
      </w:r>
      <w:r>
        <w:rPr>
          <w:rFonts w:ascii="Arial" w:cs="Arial" w:eastAsia="Arial" w:hAnsi="Arial"/>
          <w:sz w:val="16"/>
          <w:szCs w:val="16"/>
          <w:color w:val="0E1020"/>
        </w:rPr>
        <w:t>If this Proposal and Proposal 5 below for the 2017 DIP are approved, an estimated 28.0 million shares</w:t>
      </w:r>
      <w:r>
        <w:rPr>
          <w:rFonts w:ascii="Arial" w:cs="Arial" w:eastAsia="Arial" w:hAnsi="Arial"/>
          <w:sz w:val="16"/>
          <w:szCs w:val="16"/>
          <w:b w:val="1"/>
          <w:bCs w:val="1"/>
          <w:color w:val="0E1020"/>
        </w:rPr>
        <w:t xml:space="preserve"> </w:t>
      </w:r>
      <w:r>
        <w:rPr>
          <w:rFonts w:ascii="Arial" w:cs="Arial" w:eastAsia="Arial" w:hAnsi="Arial"/>
          <w:sz w:val="16"/>
          <w:szCs w:val="16"/>
          <w:color w:val="0E1020"/>
        </w:rPr>
        <w:t>would be available for new grants under both plans. That estimate reflects potential increases from cancellations and expirations as well potential decreases from new grants between March 31, 2026 and the effective date of the 2017 OIP and 2017 DIP amendments and restatements.</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Vote Required</w:t>
      </w:r>
    </w:p>
    <w:p>
      <w:pPr>
        <w:spacing w:after="0" w:line="148" w:lineRule="exact"/>
        <w:rPr>
          <w:sz w:val="20"/>
          <w:szCs w:val="20"/>
          <w:color w:val="auto"/>
        </w:rPr>
      </w:pPr>
    </w:p>
    <w:p>
      <w:pPr>
        <w:ind w:right="420"/>
        <w:spacing w:after="0" w:line="335" w:lineRule="auto"/>
        <w:rPr>
          <w:sz w:val="20"/>
          <w:szCs w:val="20"/>
          <w:color w:val="auto"/>
        </w:rPr>
      </w:pPr>
      <w:r>
        <w:rPr>
          <w:rFonts w:ascii="Arial" w:cs="Arial" w:eastAsia="Arial" w:hAnsi="Arial"/>
          <w:sz w:val="16"/>
          <w:szCs w:val="16"/>
          <w:color w:val="0E1020"/>
        </w:rPr>
        <w:t>The affirmative vote of holders of a majority of the shares of common stock present in person (virtually) or represented by proxy and voting is required to approve this proposal. Abstentions and broker non-votes, if any, will have no effect on the vote for this proposal.</w:t>
      </w:r>
    </w:p>
    <w:p>
      <w:pPr>
        <w:spacing w:after="0" w:line="23" w:lineRule="exact"/>
        <w:rPr>
          <w:sz w:val="20"/>
          <w:szCs w:val="20"/>
          <w:color w:val="auto"/>
        </w:rPr>
      </w:pPr>
    </w:p>
    <w:p>
      <w:pPr>
        <w:ind w:right="200"/>
        <w:spacing w:after="0" w:line="346" w:lineRule="auto"/>
        <w:rPr>
          <w:sz w:val="20"/>
          <w:szCs w:val="20"/>
          <w:color w:val="auto"/>
        </w:rPr>
      </w:pPr>
      <w:r>
        <w:rPr>
          <w:rFonts w:ascii="Arial" w:cs="Arial" w:eastAsia="Arial" w:hAnsi="Arial"/>
          <w:sz w:val="16"/>
          <w:szCs w:val="16"/>
          <w:b w:val="1"/>
          <w:bCs w:val="1"/>
          <w:color w:val="0E1020"/>
        </w:rPr>
        <w:t>The Board of Directors recommends a vote FOR the approval of the term extension and the increase in the number of shares available under the Amended and Restated DXC Technology Company 2017 Omnibus Incentive Plan.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22</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30" w:name="page31"/>
    <w:bookmarkEnd w:id="30"/>
    <w:p>
      <w:pPr>
        <w:ind w:left="20"/>
        <w:spacing w:after="0"/>
        <w:tabs>
          <w:tab w:leader="none" w:pos="1052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0E1020"/>
        </w:rPr>
        <w:t>Proposal 4</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Summary of Proposed Incentive Plan</w:t>
      </w:r>
    </w:p>
    <w:p>
      <w:pPr>
        <w:spacing w:after="0" w:line="148" w:lineRule="exact"/>
        <w:rPr>
          <w:sz w:val="20"/>
          <w:szCs w:val="20"/>
          <w:color w:val="auto"/>
        </w:rPr>
      </w:pPr>
    </w:p>
    <w:p>
      <w:pPr>
        <w:jc w:val="both"/>
        <w:ind w:right="60"/>
        <w:spacing w:after="0" w:line="316" w:lineRule="auto"/>
        <w:rPr>
          <w:sz w:val="20"/>
          <w:szCs w:val="20"/>
          <w:color w:val="auto"/>
        </w:rPr>
      </w:pPr>
      <w:r>
        <w:rPr>
          <w:rFonts w:ascii="Arial" w:cs="Arial" w:eastAsia="Arial" w:hAnsi="Arial"/>
          <w:sz w:val="16"/>
          <w:szCs w:val="16"/>
          <w:color w:val="0E1020"/>
        </w:rPr>
        <w:t>The following summary is qualified in its entirety by reference to the 2017 OIP (as proposed to be amended and restated, the “Incentive Plan”). The 2017 OIP was filed as Exhibit 10.17 to the Company's Annual Report on Form 10-K for the fiscal year ended March 31, 2026. The resolution adopting the amendments to the 2017 OIP described in this Proposal is attached as Appendix B to this Proxy Statement.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Eligibility</w:t>
      </w:r>
    </w:p>
    <w:p>
      <w:pPr>
        <w:spacing w:after="0" w:line="133" w:lineRule="exact"/>
        <w:rPr>
          <w:sz w:val="20"/>
          <w:szCs w:val="20"/>
          <w:color w:val="auto"/>
        </w:rPr>
      </w:pPr>
    </w:p>
    <w:p>
      <w:pPr>
        <w:spacing w:after="0" w:line="316" w:lineRule="auto"/>
        <w:rPr>
          <w:sz w:val="20"/>
          <w:szCs w:val="20"/>
          <w:color w:val="auto"/>
        </w:rPr>
      </w:pPr>
      <w:r>
        <w:rPr>
          <w:rFonts w:ascii="Arial" w:cs="Arial" w:eastAsia="Arial" w:hAnsi="Arial"/>
          <w:sz w:val="16"/>
          <w:szCs w:val="16"/>
          <w:color w:val="0E1020"/>
        </w:rPr>
        <w:t>All employees of DXC and its subsidiaries are eligible for awards under the Incentive Plan. However, only employees at certain job levels are eligible to receive annual equity awards. As of March 31, 2026, there are approximately 115,000 employees eligible to receive awards under the Incentive Plan, of which approximately 800 employees are eligible to receive annual equity awards, including eight executive officers.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Administration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0E1020"/>
        </w:rPr>
        <w:t>The Incentive Plan is administered by our Compensation Committee, except as otherwise provided with respect to actions or determinations by the Board.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Types of Awards</w:t>
      </w:r>
    </w:p>
    <w:p>
      <w:pPr>
        <w:spacing w:after="0" w:line="133" w:lineRule="exact"/>
        <w:rPr>
          <w:sz w:val="20"/>
          <w:szCs w:val="20"/>
          <w:color w:val="auto"/>
        </w:rPr>
      </w:pPr>
    </w:p>
    <w:p>
      <w:pPr>
        <w:ind w:right="280"/>
        <w:spacing w:after="0" w:line="307" w:lineRule="auto"/>
        <w:rPr>
          <w:sz w:val="20"/>
          <w:szCs w:val="20"/>
          <w:color w:val="auto"/>
        </w:rPr>
      </w:pPr>
      <w:r>
        <w:rPr>
          <w:rFonts w:ascii="Arial" w:cs="Arial" w:eastAsia="Arial" w:hAnsi="Arial"/>
          <w:sz w:val="16"/>
          <w:szCs w:val="16"/>
          <w:color w:val="0E1020"/>
        </w:rPr>
        <w:t>Options to purchase shares of common stock, stock appreciation rights (“SARs”), restricted stock, restricted stock units (“RSUs”) and cash awards may be granted under the Incentive Plan. Awards may be structured as performance awards subject to the attainment of one or more performance goals. Performance awards may be in the form of performance-based RSUs or PSUs, restricted stock, options, SARs or cash awards.</w:t>
      </w:r>
    </w:p>
    <w:p>
      <w:pPr>
        <w:spacing w:after="0" w:line="58" w:lineRule="exact"/>
        <w:rPr>
          <w:sz w:val="20"/>
          <w:szCs w:val="20"/>
          <w:color w:val="auto"/>
        </w:rPr>
      </w:pPr>
    </w:p>
    <w:p>
      <w:pPr>
        <w:ind w:right="40"/>
        <w:spacing w:after="0" w:line="316" w:lineRule="auto"/>
        <w:rPr>
          <w:sz w:val="20"/>
          <w:szCs w:val="20"/>
          <w:color w:val="auto"/>
        </w:rPr>
      </w:pPr>
      <w:r>
        <w:rPr>
          <w:rFonts w:ascii="Arial" w:cs="Arial" w:eastAsia="Arial" w:hAnsi="Arial"/>
          <w:sz w:val="16"/>
          <w:szCs w:val="16"/>
          <w:color w:val="0E1020"/>
        </w:rPr>
        <w:t>The per share exercise price of an option or SAR cannot be less than the fair market value per share of the common stock on the date of grant. Options and SARs must have fixed terms no longer than 10 years. Options may be granted as incentive stock options under Section 422 of the Code or nonqualified stock options. Options may not include provisions that “reload” the option upon exercise.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Repricing and Exchanges</w:t>
      </w:r>
    </w:p>
    <w:p>
      <w:pPr>
        <w:spacing w:after="0" w:line="133" w:lineRule="exact"/>
        <w:rPr>
          <w:sz w:val="20"/>
          <w:szCs w:val="20"/>
          <w:color w:val="auto"/>
        </w:rPr>
      </w:pPr>
    </w:p>
    <w:p>
      <w:pPr>
        <w:ind w:right="200"/>
        <w:spacing w:after="0" w:line="335" w:lineRule="auto"/>
        <w:rPr>
          <w:sz w:val="20"/>
          <w:szCs w:val="20"/>
          <w:color w:val="auto"/>
        </w:rPr>
      </w:pPr>
      <w:r>
        <w:rPr>
          <w:rFonts w:ascii="Arial" w:cs="Arial" w:eastAsia="Arial" w:hAnsi="Arial"/>
          <w:sz w:val="16"/>
          <w:szCs w:val="16"/>
          <w:color w:val="0E1020"/>
        </w:rPr>
        <w:t>Repricing of options and SARs and the replacement or cancellation of options and SARs in exchange for cash or other awards or options or SARs having a lower exercise price is prohibited under the Incentive Plan without approval of our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Vesting Limitations</w:t>
      </w:r>
    </w:p>
    <w:p>
      <w:pPr>
        <w:spacing w:after="0" w:line="13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0E1020"/>
        </w:rPr>
        <w:t>Any award generally must have a minimum vesting period of one year. Earlier vesting of awards may occur in the events of death, disability, change in control, retirement, involuntary termination without cause or voluntary termination for good reason and to the extent provided for in an employee’s employment agreement that was effective prior to the effective date of the Incentive Plan. Vesting of options, SARs, restricted stock, RSUs, and PSUs may occur incrementally over the one-year vesting period. However, we may currently issue up to 2,560,000 shares (which would increase to 3,560,000 shares if this proposal is approved by our stockholders) that are not subject to the minimum vesting period.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23</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31" w:name="page32"/>
    <w:bookmarkEnd w:id="31"/>
    <w:p>
      <w:pPr>
        <w:ind w:left="20"/>
        <w:spacing w:after="0"/>
        <w:tabs>
          <w:tab w:leader="none" w:pos="10100" w:val="left"/>
        </w:tabs>
        <w:rPr>
          <w:sz w:val="20"/>
          <w:szCs w:val="20"/>
          <w:color w:val="auto"/>
        </w:rPr>
      </w:pPr>
      <w:r>
        <w:rPr>
          <w:rFonts w:ascii="Arial" w:cs="Arial" w:eastAsia="Arial" w:hAnsi="Arial"/>
          <w:sz w:val="14"/>
          <w:szCs w:val="14"/>
          <w:color w:val="auto"/>
        </w:rPr>
        <w:t>Proposal 4</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Shares Reserved</w:t>
      </w:r>
    </w:p>
    <w:p>
      <w:pPr>
        <w:spacing w:after="0" w:line="14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0E1020"/>
        </w:rPr>
        <w:t>The maximum number of shares of our common stock as to which awards may be granted under the Incentive Plan is currently 51,200,000 shares, which, if this proposal is approved by our stockholders, would increase by 20,000,000 shares to 71,200,000 shares. Each award granted under the Incentive Plan, regardless of type, reduces the maximum share limit by one share for each share associated with the Award. Awards that by their terms may only be settled in cash do not reduce the maximum share limit. If an award expires or is terminated, cancelled or forfeited, the shares of common stock associated with the expired, terminated, cancelled, or forfeited award will again be available for awards under the Incentive Plan. However, the following shares of common stock will not become available again for issuance under the Incentive Plan:</w:t>
      </w:r>
    </w:p>
    <w:p>
      <w:pPr>
        <w:spacing w:after="0" w:line="50" w:lineRule="exact"/>
        <w:rPr>
          <w:sz w:val="20"/>
          <w:szCs w:val="20"/>
          <w:color w:val="auto"/>
        </w:rPr>
      </w:pPr>
    </w:p>
    <w:p>
      <w:pPr>
        <w:ind w:left="320" w:right="460" w:hanging="313"/>
        <w:spacing w:after="0" w:line="335" w:lineRule="auto"/>
        <w:tabs>
          <w:tab w:leader="none" w:pos="282" w:val="left"/>
        </w:tabs>
        <w:numPr>
          <w:ilvl w:val="0"/>
          <w:numId w:val="20"/>
        </w:numPr>
        <w:rPr>
          <w:rFonts w:ascii="Arial" w:cs="Arial" w:eastAsia="Arial" w:hAnsi="Arial"/>
          <w:sz w:val="16"/>
          <w:szCs w:val="16"/>
          <w:color w:val="0E1020"/>
        </w:rPr>
      </w:pPr>
      <w:r>
        <w:rPr>
          <w:rFonts w:ascii="Arial" w:cs="Arial" w:eastAsia="Arial" w:hAnsi="Arial"/>
          <w:sz w:val="16"/>
          <w:szCs w:val="16"/>
          <w:color w:val="0E1020"/>
        </w:rPr>
        <w:t>shares of common stock that are tendered by a participant or withheld as full or partial payment of minimum withholding taxes or as payment for the exercise price of an award; and</w:t>
      </w:r>
    </w:p>
    <w:p>
      <w:pPr>
        <w:spacing w:after="0" w:line="22" w:lineRule="exact"/>
        <w:rPr>
          <w:rFonts w:ascii="Arial" w:cs="Arial" w:eastAsia="Arial" w:hAnsi="Arial"/>
          <w:sz w:val="16"/>
          <w:szCs w:val="16"/>
          <w:color w:val="0E1020"/>
        </w:rPr>
      </w:pPr>
    </w:p>
    <w:p>
      <w:pPr>
        <w:ind w:left="320" w:right="140" w:hanging="313"/>
        <w:spacing w:after="0" w:line="335" w:lineRule="auto"/>
        <w:tabs>
          <w:tab w:leader="none" w:pos="282" w:val="left"/>
        </w:tabs>
        <w:numPr>
          <w:ilvl w:val="0"/>
          <w:numId w:val="20"/>
        </w:numPr>
        <w:rPr>
          <w:rFonts w:ascii="Arial" w:cs="Arial" w:eastAsia="Arial" w:hAnsi="Arial"/>
          <w:sz w:val="16"/>
          <w:szCs w:val="16"/>
          <w:color w:val="0E1020"/>
        </w:rPr>
      </w:pPr>
      <w:r>
        <w:rPr>
          <w:rFonts w:ascii="Arial" w:cs="Arial" w:eastAsia="Arial" w:hAnsi="Arial"/>
          <w:sz w:val="16"/>
          <w:szCs w:val="16"/>
          <w:color w:val="0E1020"/>
        </w:rPr>
        <w:t>shares of common stock reserved for issuance upon grant of a SAR, to the extent the number of reserved shares of common stock exceeds the number of shares of common stock actually issued upon exercise or settlement of such SAR.</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0E1020"/>
        </w:rPr>
        <w:t>If cash is issued in lieu of shares of common stock pursuant to an award, the shares will not become available for issuance under the Incentive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Award Limits</w:t>
      </w:r>
    </w:p>
    <w:p>
      <w:pPr>
        <w:spacing w:after="0" w:line="146" w:lineRule="exact"/>
        <w:rPr>
          <w:sz w:val="20"/>
          <w:szCs w:val="20"/>
          <w:color w:val="auto"/>
        </w:rPr>
      </w:pPr>
    </w:p>
    <w:p>
      <w:pPr>
        <w:jc w:val="both"/>
        <w:ind w:right="300"/>
        <w:spacing w:after="0" w:line="307" w:lineRule="auto"/>
        <w:rPr>
          <w:sz w:val="20"/>
          <w:szCs w:val="20"/>
          <w:color w:val="auto"/>
        </w:rPr>
      </w:pPr>
      <w:r>
        <w:rPr>
          <w:rFonts w:ascii="Arial" w:cs="Arial" w:eastAsia="Arial" w:hAnsi="Arial"/>
          <w:sz w:val="16"/>
          <w:szCs w:val="16"/>
          <w:color w:val="0E1020"/>
        </w:rPr>
        <w:t>Under the Incentive Plan, no employee may be granted, in any fiscal year period: options or SARs that are exercisable for more than 1,000,000 shares of common stock; stock awards covering more than 3,500,000 shares of common stock; or cash awards or RSUs that may be settled solely in cash having a value greater than $10,000,000.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Adjustments</w:t>
      </w:r>
    </w:p>
    <w:p>
      <w:pPr>
        <w:spacing w:after="0" w:line="146" w:lineRule="exact"/>
        <w:rPr>
          <w:sz w:val="20"/>
          <w:szCs w:val="20"/>
          <w:color w:val="auto"/>
        </w:rPr>
      </w:pPr>
    </w:p>
    <w:p>
      <w:pPr>
        <w:ind w:right="80"/>
        <w:spacing w:after="0" w:line="307" w:lineRule="auto"/>
        <w:rPr>
          <w:sz w:val="20"/>
          <w:szCs w:val="20"/>
          <w:color w:val="auto"/>
        </w:rPr>
      </w:pPr>
      <w:r>
        <w:rPr>
          <w:rFonts w:ascii="Arial" w:cs="Arial" w:eastAsia="Arial" w:hAnsi="Arial"/>
          <w:sz w:val="16"/>
          <w:szCs w:val="16"/>
          <w:color w:val="0E1020"/>
        </w:rPr>
        <w:t>The Incentive Plan provides for appropriate adjustments in the number of shares of common stock subject to awards and available for future awards, the exercise price or other price of outstanding awards, as well as the maximum award limits under the Incentive Plan, in the event of changes in our outstanding common stock by reason of a merger, stock split, reorganization, recapitalization, or similar events.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Award Agreements</w:t>
      </w:r>
    </w:p>
    <w:p>
      <w:pPr>
        <w:spacing w:after="0" w:line="146" w:lineRule="exact"/>
        <w:rPr>
          <w:sz w:val="20"/>
          <w:szCs w:val="20"/>
          <w:color w:val="auto"/>
        </w:rPr>
      </w:pPr>
    </w:p>
    <w:p>
      <w:pPr>
        <w:spacing w:after="0" w:line="302" w:lineRule="auto"/>
        <w:rPr>
          <w:sz w:val="20"/>
          <w:szCs w:val="20"/>
          <w:color w:val="auto"/>
        </w:rPr>
      </w:pPr>
      <w:r>
        <w:rPr>
          <w:rFonts w:ascii="Arial" w:cs="Arial" w:eastAsia="Arial" w:hAnsi="Arial"/>
          <w:sz w:val="16"/>
          <w:szCs w:val="16"/>
          <w:color w:val="0E1020"/>
        </w:rPr>
        <w:t>Each award granted under the Incentive Plan will be evidenced by an agreement that contains additional terms and conditions not inconsistent with the Incentive Plan as may be determined by the Compensation Committee in its sole discretion. These terms and conditions may include, among other things, the date of grant, the number of shares covered by the award or the cash amount of the award, the purchase or exercise price per share, the treatment upon a termination of employment of a participant, the means of payment for the shares, the purchase or exercise period and the terms and conditions of purchase or exercise, if applicable. No awards will provide any right to continued employment.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Dividends</w:t>
      </w:r>
    </w:p>
    <w:p>
      <w:pPr>
        <w:spacing w:after="0" w:line="133" w:lineRule="exact"/>
        <w:rPr>
          <w:sz w:val="20"/>
          <w:szCs w:val="20"/>
          <w:color w:val="auto"/>
        </w:rPr>
      </w:pPr>
    </w:p>
    <w:p>
      <w:pPr>
        <w:jc w:val="both"/>
        <w:ind w:right="200"/>
        <w:spacing w:after="0" w:line="316" w:lineRule="auto"/>
        <w:rPr>
          <w:sz w:val="20"/>
          <w:szCs w:val="20"/>
          <w:color w:val="auto"/>
        </w:rPr>
      </w:pPr>
      <w:r>
        <w:rPr>
          <w:rFonts w:ascii="Arial" w:cs="Arial" w:eastAsia="Arial" w:hAnsi="Arial"/>
          <w:sz w:val="16"/>
          <w:szCs w:val="16"/>
          <w:color w:val="0E1020"/>
        </w:rPr>
        <w:t>The Compensation Committee may include provisions in stock awards for the payment or crediting of dividends or dividend equivalents upon vesting of the award. No dividends or dividend equivalents will be paid on unvested stock, RSU, or PSU awards prior to vesting, and no dividends or dividend equivalents will be paid on options or SARs.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24</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32" w:name="page33"/>
    <w:bookmarkEnd w:id="32"/>
    <w:p>
      <w:pPr>
        <w:ind w:left="20"/>
        <w:spacing w:after="0"/>
        <w:tabs>
          <w:tab w:leader="none" w:pos="1052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0E1020"/>
        </w:rPr>
        <w:t>Proposal 4</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Performance Awards</w:t>
      </w:r>
    </w:p>
    <w:p>
      <w:pPr>
        <w:spacing w:after="0" w:line="14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0E1020"/>
        </w:rPr>
        <w:t>Any award available under the Incentive Plan may be structured as a performance award. Performance awards will be based on achievement of goals and will be subject to terms, conditions and restrictions as the Compensation Committee determines. Performance goals may apply to the employee, one or more of our business units, divisions or sectors, or our entire company, and if so desired by the Compensation Committee, by comparison with a peer group of companies including by direct reference to peers, by reference to an index, or by a similar mechanism. Performance awards may be based on any performance criteria determined by the Compensation Committee. The Compensation Committee may provide in any particular performance award agreement that any evaluation of performance may include or exclude particular factors, including any of the following:</w:t>
      </w:r>
    </w:p>
    <w:p>
      <w:pPr>
        <w:spacing w:after="0" w:line="50" w:lineRule="exact"/>
        <w:rPr>
          <w:sz w:val="20"/>
          <w:szCs w:val="20"/>
          <w:color w:val="auto"/>
        </w:rPr>
      </w:pPr>
    </w:p>
    <w:p>
      <w:pPr>
        <w:ind w:left="300" w:hanging="293"/>
        <w:spacing w:after="0"/>
        <w:tabs>
          <w:tab w:leader="none" w:pos="300" w:val="left"/>
        </w:tabs>
        <w:numPr>
          <w:ilvl w:val="0"/>
          <w:numId w:val="21"/>
        </w:numPr>
        <w:rPr>
          <w:rFonts w:ascii="Arial" w:cs="Arial" w:eastAsia="Arial" w:hAnsi="Arial"/>
          <w:sz w:val="16"/>
          <w:szCs w:val="16"/>
          <w:color w:val="0E1020"/>
        </w:rPr>
      </w:pPr>
      <w:r>
        <w:rPr>
          <w:rFonts w:ascii="Arial" w:cs="Arial" w:eastAsia="Arial" w:hAnsi="Arial"/>
          <w:sz w:val="16"/>
          <w:szCs w:val="16"/>
          <w:color w:val="0E1020"/>
        </w:rPr>
        <w:t>asset write-downs,</w:t>
      </w:r>
    </w:p>
    <w:p>
      <w:pPr>
        <w:spacing w:after="0" w:line="137" w:lineRule="exact"/>
        <w:rPr>
          <w:rFonts w:ascii="Arial" w:cs="Arial" w:eastAsia="Arial" w:hAnsi="Arial"/>
          <w:sz w:val="16"/>
          <w:szCs w:val="16"/>
          <w:color w:val="0E1020"/>
        </w:rPr>
      </w:pPr>
    </w:p>
    <w:p>
      <w:pPr>
        <w:ind w:left="300" w:hanging="293"/>
        <w:spacing w:after="0"/>
        <w:tabs>
          <w:tab w:leader="none" w:pos="300" w:val="left"/>
        </w:tabs>
        <w:numPr>
          <w:ilvl w:val="0"/>
          <w:numId w:val="21"/>
        </w:numPr>
        <w:rPr>
          <w:rFonts w:ascii="Arial" w:cs="Arial" w:eastAsia="Arial" w:hAnsi="Arial"/>
          <w:sz w:val="16"/>
          <w:szCs w:val="16"/>
          <w:color w:val="0E1020"/>
        </w:rPr>
      </w:pPr>
      <w:r>
        <w:rPr>
          <w:rFonts w:ascii="Arial" w:cs="Arial" w:eastAsia="Arial" w:hAnsi="Arial"/>
          <w:sz w:val="16"/>
          <w:szCs w:val="16"/>
          <w:color w:val="0E1020"/>
        </w:rPr>
        <w:t>litigation or claim judgments or settlements,</w:t>
      </w:r>
    </w:p>
    <w:p>
      <w:pPr>
        <w:spacing w:after="0" w:line="124" w:lineRule="exact"/>
        <w:rPr>
          <w:rFonts w:ascii="Arial" w:cs="Arial" w:eastAsia="Arial" w:hAnsi="Arial"/>
          <w:sz w:val="16"/>
          <w:szCs w:val="16"/>
          <w:color w:val="0E1020"/>
        </w:rPr>
      </w:pPr>
    </w:p>
    <w:p>
      <w:pPr>
        <w:ind w:left="300" w:hanging="293"/>
        <w:spacing w:after="0"/>
        <w:tabs>
          <w:tab w:leader="none" w:pos="300" w:val="left"/>
        </w:tabs>
        <w:numPr>
          <w:ilvl w:val="0"/>
          <w:numId w:val="21"/>
        </w:numPr>
        <w:rPr>
          <w:rFonts w:ascii="Arial" w:cs="Arial" w:eastAsia="Arial" w:hAnsi="Arial"/>
          <w:sz w:val="16"/>
          <w:szCs w:val="16"/>
          <w:color w:val="0E1020"/>
        </w:rPr>
      </w:pPr>
      <w:r>
        <w:rPr>
          <w:rFonts w:ascii="Arial" w:cs="Arial" w:eastAsia="Arial" w:hAnsi="Arial"/>
          <w:sz w:val="16"/>
          <w:szCs w:val="16"/>
          <w:color w:val="0E1020"/>
        </w:rPr>
        <w:t>the effect of changes in tax laws, accounting principles, or other laws or provisions affecting reported results,</w:t>
      </w:r>
    </w:p>
    <w:p>
      <w:pPr>
        <w:spacing w:after="0" w:line="124" w:lineRule="exact"/>
        <w:rPr>
          <w:rFonts w:ascii="Arial" w:cs="Arial" w:eastAsia="Arial" w:hAnsi="Arial"/>
          <w:sz w:val="16"/>
          <w:szCs w:val="16"/>
          <w:color w:val="0E1020"/>
        </w:rPr>
      </w:pPr>
    </w:p>
    <w:p>
      <w:pPr>
        <w:ind w:left="300" w:hanging="293"/>
        <w:spacing w:after="0"/>
        <w:tabs>
          <w:tab w:leader="none" w:pos="300" w:val="left"/>
        </w:tabs>
        <w:numPr>
          <w:ilvl w:val="0"/>
          <w:numId w:val="21"/>
        </w:numPr>
        <w:rPr>
          <w:rFonts w:ascii="Arial" w:cs="Arial" w:eastAsia="Arial" w:hAnsi="Arial"/>
          <w:sz w:val="16"/>
          <w:szCs w:val="16"/>
          <w:color w:val="0E1020"/>
        </w:rPr>
      </w:pPr>
      <w:r>
        <w:rPr>
          <w:rFonts w:ascii="Arial" w:cs="Arial" w:eastAsia="Arial" w:hAnsi="Arial"/>
          <w:sz w:val="16"/>
          <w:szCs w:val="16"/>
          <w:color w:val="0E1020"/>
        </w:rPr>
        <w:t>any reorganization and restructuring programs,</w:t>
      </w:r>
    </w:p>
    <w:p>
      <w:pPr>
        <w:spacing w:after="0" w:line="137" w:lineRule="exact"/>
        <w:rPr>
          <w:rFonts w:ascii="Arial" w:cs="Arial" w:eastAsia="Arial" w:hAnsi="Arial"/>
          <w:sz w:val="16"/>
          <w:szCs w:val="16"/>
          <w:color w:val="0E1020"/>
        </w:rPr>
      </w:pPr>
    </w:p>
    <w:p>
      <w:pPr>
        <w:ind w:left="320" w:right="40" w:hanging="313"/>
        <w:spacing w:after="0" w:line="335" w:lineRule="auto"/>
        <w:tabs>
          <w:tab w:leader="none" w:pos="282" w:val="left"/>
        </w:tabs>
        <w:numPr>
          <w:ilvl w:val="0"/>
          <w:numId w:val="21"/>
        </w:numPr>
        <w:rPr>
          <w:rFonts w:ascii="Arial" w:cs="Arial" w:eastAsia="Arial" w:hAnsi="Arial"/>
          <w:sz w:val="16"/>
          <w:szCs w:val="16"/>
          <w:color w:val="0E1020"/>
        </w:rPr>
      </w:pPr>
      <w:r>
        <w:rPr>
          <w:rFonts w:ascii="Arial" w:cs="Arial" w:eastAsia="Arial" w:hAnsi="Arial"/>
          <w:sz w:val="16"/>
          <w:szCs w:val="16"/>
          <w:color w:val="0E1020"/>
        </w:rPr>
        <w:t>unusual or infrequent items as described in applicable accounting guidance or in management’s discussion and analysis of financial condition and results of operations appearing in the annual report to stockholders for the applicable year,</w:t>
      </w:r>
    </w:p>
    <w:p>
      <w:pPr>
        <w:spacing w:after="0" w:line="22" w:lineRule="exact"/>
        <w:rPr>
          <w:rFonts w:ascii="Arial" w:cs="Arial" w:eastAsia="Arial" w:hAnsi="Arial"/>
          <w:sz w:val="16"/>
          <w:szCs w:val="16"/>
          <w:color w:val="0E1020"/>
        </w:rPr>
      </w:pPr>
    </w:p>
    <w:p>
      <w:pPr>
        <w:ind w:left="300" w:hanging="293"/>
        <w:spacing w:after="0"/>
        <w:tabs>
          <w:tab w:leader="none" w:pos="300" w:val="left"/>
        </w:tabs>
        <w:numPr>
          <w:ilvl w:val="0"/>
          <w:numId w:val="21"/>
        </w:numPr>
        <w:rPr>
          <w:rFonts w:ascii="Arial" w:cs="Arial" w:eastAsia="Arial" w:hAnsi="Arial"/>
          <w:sz w:val="16"/>
          <w:szCs w:val="16"/>
          <w:color w:val="0E1020"/>
        </w:rPr>
      </w:pPr>
      <w:r>
        <w:rPr>
          <w:rFonts w:ascii="Arial" w:cs="Arial" w:eastAsia="Arial" w:hAnsi="Arial"/>
          <w:sz w:val="16"/>
          <w:szCs w:val="16"/>
          <w:color w:val="0E1020"/>
        </w:rPr>
        <w:t>acquisitions or divestitures,</w:t>
      </w:r>
    </w:p>
    <w:p>
      <w:pPr>
        <w:spacing w:after="0" w:line="137" w:lineRule="exact"/>
        <w:rPr>
          <w:rFonts w:ascii="Arial" w:cs="Arial" w:eastAsia="Arial" w:hAnsi="Arial"/>
          <w:sz w:val="16"/>
          <w:szCs w:val="16"/>
          <w:color w:val="0E1020"/>
        </w:rPr>
      </w:pPr>
    </w:p>
    <w:p>
      <w:pPr>
        <w:ind w:left="300" w:hanging="293"/>
        <w:spacing w:after="0"/>
        <w:tabs>
          <w:tab w:leader="none" w:pos="300" w:val="left"/>
        </w:tabs>
        <w:numPr>
          <w:ilvl w:val="0"/>
          <w:numId w:val="21"/>
        </w:numPr>
        <w:rPr>
          <w:rFonts w:ascii="Arial" w:cs="Arial" w:eastAsia="Arial" w:hAnsi="Arial"/>
          <w:sz w:val="16"/>
          <w:szCs w:val="16"/>
          <w:color w:val="0E1020"/>
        </w:rPr>
      </w:pPr>
      <w:r>
        <w:rPr>
          <w:rFonts w:ascii="Arial" w:cs="Arial" w:eastAsia="Arial" w:hAnsi="Arial"/>
          <w:sz w:val="16"/>
          <w:szCs w:val="16"/>
          <w:color w:val="0E1020"/>
        </w:rPr>
        <w:t>foreign exchange gains and losses, and</w:t>
      </w:r>
    </w:p>
    <w:p>
      <w:pPr>
        <w:spacing w:after="0" w:line="124" w:lineRule="exact"/>
        <w:rPr>
          <w:rFonts w:ascii="Arial" w:cs="Arial" w:eastAsia="Arial" w:hAnsi="Arial"/>
          <w:sz w:val="16"/>
          <w:szCs w:val="16"/>
          <w:color w:val="0E1020"/>
        </w:rPr>
      </w:pPr>
    </w:p>
    <w:p>
      <w:pPr>
        <w:ind w:left="300" w:hanging="293"/>
        <w:spacing w:after="0"/>
        <w:tabs>
          <w:tab w:leader="none" w:pos="300" w:val="left"/>
        </w:tabs>
        <w:numPr>
          <w:ilvl w:val="0"/>
          <w:numId w:val="21"/>
        </w:numPr>
        <w:rPr>
          <w:rFonts w:ascii="Arial" w:cs="Arial" w:eastAsia="Arial" w:hAnsi="Arial"/>
          <w:sz w:val="16"/>
          <w:szCs w:val="16"/>
          <w:color w:val="0E1020"/>
        </w:rPr>
      </w:pPr>
      <w:r>
        <w:rPr>
          <w:rFonts w:ascii="Arial" w:cs="Arial" w:eastAsia="Arial" w:hAnsi="Arial"/>
          <w:sz w:val="16"/>
          <w:szCs w:val="16"/>
          <w:color w:val="0E1020"/>
        </w:rPr>
        <w:t>settlement of hedging activities.</w:t>
      </w:r>
    </w:p>
    <w:p>
      <w:pPr>
        <w:spacing w:after="0" w:line="218" w:lineRule="exact"/>
        <w:rPr>
          <w:sz w:val="20"/>
          <w:szCs w:val="20"/>
          <w:color w:val="auto"/>
        </w:rPr>
      </w:pPr>
    </w:p>
    <w:p>
      <w:pPr>
        <w:ind w:right="40"/>
        <w:spacing w:after="0" w:line="335" w:lineRule="auto"/>
        <w:rPr>
          <w:sz w:val="20"/>
          <w:szCs w:val="20"/>
          <w:color w:val="auto"/>
        </w:rPr>
      </w:pPr>
      <w:r>
        <w:rPr>
          <w:rFonts w:ascii="Arial" w:cs="Arial" w:eastAsia="Arial" w:hAnsi="Arial"/>
          <w:sz w:val="16"/>
          <w:szCs w:val="16"/>
          <w:color w:val="0E1020"/>
        </w:rPr>
        <w:t>The Compensation Committee may retain the discretion to adjust any performance awards upward or downward, either on a formula or discretionary basis or any combination, as the Compensation Committee determines.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Change in Control</w:t>
      </w:r>
    </w:p>
    <w:p>
      <w:pPr>
        <w:spacing w:after="0" w:line="133" w:lineRule="exact"/>
        <w:rPr>
          <w:sz w:val="20"/>
          <w:szCs w:val="20"/>
          <w:color w:val="auto"/>
        </w:rPr>
      </w:pPr>
    </w:p>
    <w:p>
      <w:pPr>
        <w:ind w:right="180"/>
        <w:spacing w:after="0" w:line="335" w:lineRule="auto"/>
        <w:rPr>
          <w:sz w:val="20"/>
          <w:szCs w:val="20"/>
          <w:color w:val="auto"/>
        </w:rPr>
      </w:pPr>
      <w:r>
        <w:rPr>
          <w:rFonts w:ascii="Arial" w:cs="Arial" w:eastAsia="Arial" w:hAnsi="Arial"/>
          <w:sz w:val="16"/>
          <w:szCs w:val="16"/>
          <w:color w:val="0E1020"/>
        </w:rPr>
        <w:t>Unless (i) an award agreement provides otherwise or (ii) the agreement effectuating a change in control fails to provide for the assumption or substitution of awards, upon a participant’s qualifying termination of employment within two years after the date of a change in control:</w:t>
      </w:r>
    </w:p>
    <w:p>
      <w:pPr>
        <w:spacing w:after="0" w:line="36" w:lineRule="exact"/>
        <w:rPr>
          <w:sz w:val="20"/>
          <w:szCs w:val="20"/>
          <w:color w:val="auto"/>
        </w:rPr>
      </w:pPr>
    </w:p>
    <w:p>
      <w:pPr>
        <w:ind w:left="300" w:hanging="293"/>
        <w:spacing w:after="0"/>
        <w:tabs>
          <w:tab w:leader="none" w:pos="300" w:val="left"/>
        </w:tabs>
        <w:numPr>
          <w:ilvl w:val="0"/>
          <w:numId w:val="22"/>
        </w:numPr>
        <w:rPr>
          <w:rFonts w:ascii="Arial" w:cs="Arial" w:eastAsia="Arial" w:hAnsi="Arial"/>
          <w:sz w:val="16"/>
          <w:szCs w:val="16"/>
          <w:color w:val="0E1020"/>
        </w:rPr>
      </w:pPr>
      <w:r>
        <w:rPr>
          <w:rFonts w:ascii="Arial" w:cs="Arial" w:eastAsia="Arial" w:hAnsi="Arial"/>
          <w:sz w:val="16"/>
          <w:szCs w:val="16"/>
          <w:color w:val="0E1020"/>
        </w:rPr>
        <w:t>all outstanding options that have not vested in full shall be fully vested and exercisable;</w:t>
      </w:r>
    </w:p>
    <w:p>
      <w:pPr>
        <w:spacing w:after="0" w:line="124" w:lineRule="exact"/>
        <w:rPr>
          <w:rFonts w:ascii="Arial" w:cs="Arial" w:eastAsia="Arial" w:hAnsi="Arial"/>
          <w:sz w:val="16"/>
          <w:szCs w:val="16"/>
          <w:color w:val="0E1020"/>
        </w:rPr>
      </w:pPr>
    </w:p>
    <w:p>
      <w:pPr>
        <w:ind w:left="300" w:hanging="293"/>
        <w:spacing w:after="0"/>
        <w:tabs>
          <w:tab w:leader="none" w:pos="300" w:val="left"/>
        </w:tabs>
        <w:numPr>
          <w:ilvl w:val="0"/>
          <w:numId w:val="22"/>
        </w:numPr>
        <w:rPr>
          <w:rFonts w:ascii="Arial" w:cs="Arial" w:eastAsia="Arial" w:hAnsi="Arial"/>
          <w:sz w:val="16"/>
          <w:szCs w:val="16"/>
          <w:color w:val="0E1020"/>
        </w:rPr>
      </w:pPr>
      <w:r>
        <w:rPr>
          <w:rFonts w:ascii="Arial" w:cs="Arial" w:eastAsia="Arial" w:hAnsi="Arial"/>
          <w:sz w:val="16"/>
          <w:szCs w:val="16"/>
          <w:color w:val="0E1020"/>
        </w:rPr>
        <w:t>all restrictions applicable to outstanding restricted stock will lapse in full;</w:t>
      </w:r>
    </w:p>
    <w:p>
      <w:pPr>
        <w:spacing w:after="0" w:line="137" w:lineRule="exact"/>
        <w:rPr>
          <w:rFonts w:ascii="Arial" w:cs="Arial" w:eastAsia="Arial" w:hAnsi="Arial"/>
          <w:sz w:val="16"/>
          <w:szCs w:val="16"/>
          <w:color w:val="0E1020"/>
        </w:rPr>
      </w:pPr>
    </w:p>
    <w:p>
      <w:pPr>
        <w:ind w:left="300" w:hanging="293"/>
        <w:spacing w:after="0"/>
        <w:tabs>
          <w:tab w:leader="none" w:pos="300" w:val="left"/>
        </w:tabs>
        <w:numPr>
          <w:ilvl w:val="0"/>
          <w:numId w:val="22"/>
        </w:numPr>
        <w:rPr>
          <w:rFonts w:ascii="Arial" w:cs="Arial" w:eastAsia="Arial" w:hAnsi="Arial"/>
          <w:sz w:val="16"/>
          <w:szCs w:val="16"/>
          <w:color w:val="0E1020"/>
        </w:rPr>
      </w:pPr>
      <w:r>
        <w:rPr>
          <w:rFonts w:ascii="Arial" w:cs="Arial" w:eastAsia="Arial" w:hAnsi="Arial"/>
          <w:sz w:val="16"/>
          <w:szCs w:val="16"/>
          <w:color w:val="0E1020"/>
        </w:rPr>
        <w:t>all outstanding RSUs that have not vested in full will be fully vested; and</w:t>
      </w:r>
    </w:p>
    <w:p>
      <w:pPr>
        <w:spacing w:after="0" w:line="124" w:lineRule="exact"/>
        <w:rPr>
          <w:rFonts w:ascii="Arial" w:cs="Arial" w:eastAsia="Arial" w:hAnsi="Arial"/>
          <w:sz w:val="16"/>
          <w:szCs w:val="16"/>
          <w:color w:val="0E1020"/>
        </w:rPr>
      </w:pPr>
    </w:p>
    <w:p>
      <w:pPr>
        <w:ind w:left="320" w:right="80" w:hanging="313"/>
        <w:spacing w:after="0" w:line="316" w:lineRule="auto"/>
        <w:tabs>
          <w:tab w:leader="none" w:pos="282" w:val="left"/>
        </w:tabs>
        <w:numPr>
          <w:ilvl w:val="0"/>
          <w:numId w:val="22"/>
        </w:numPr>
        <w:rPr>
          <w:rFonts w:ascii="Arial" w:cs="Arial" w:eastAsia="Arial" w:hAnsi="Arial"/>
          <w:sz w:val="16"/>
          <w:szCs w:val="16"/>
          <w:color w:val="0E1020"/>
        </w:rPr>
      </w:pPr>
      <w:r>
        <w:rPr>
          <w:rFonts w:ascii="Arial" w:cs="Arial" w:eastAsia="Arial" w:hAnsi="Arial"/>
          <w:sz w:val="16"/>
          <w:szCs w:val="16"/>
          <w:color w:val="0E1020"/>
        </w:rPr>
        <w:t>all performance awards will be considered earned and payable at their target value and prorated (if the qualifying termination occurs during the performance period), and will be immediately paid or settled. If the qualifying termination occurs after the end of the performance period, all performance awards will be paid or settled based on the actual achievement of the applicable performance.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Assignability and Transfer</w:t>
      </w:r>
    </w:p>
    <w:p>
      <w:pPr>
        <w:spacing w:after="0" w:line="133" w:lineRule="exact"/>
        <w:rPr>
          <w:sz w:val="20"/>
          <w:szCs w:val="20"/>
          <w:color w:val="auto"/>
        </w:rPr>
      </w:pPr>
    </w:p>
    <w:p>
      <w:pPr>
        <w:ind w:right="100"/>
        <w:spacing w:after="0" w:line="335" w:lineRule="auto"/>
        <w:rPr>
          <w:sz w:val="20"/>
          <w:szCs w:val="20"/>
          <w:color w:val="auto"/>
        </w:rPr>
      </w:pPr>
      <w:r>
        <w:rPr>
          <w:rFonts w:ascii="Arial" w:cs="Arial" w:eastAsia="Arial" w:hAnsi="Arial"/>
          <w:sz w:val="16"/>
          <w:szCs w:val="16"/>
          <w:color w:val="0E1020"/>
        </w:rPr>
        <w:t>Generally, no award under the Incentive Plan will be assignable or otherwise transferable except by will or the laws of descent and distribution or pursuant to a domestic relations order issued by a court of competent jurisdiction.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Award Termination; Forfeiture; Disgorgement</w:t>
      </w:r>
    </w:p>
    <w:p>
      <w:pPr>
        <w:spacing w:after="0" w:line="133" w:lineRule="exact"/>
        <w:rPr>
          <w:sz w:val="20"/>
          <w:szCs w:val="20"/>
          <w:color w:val="auto"/>
        </w:rPr>
      </w:pPr>
    </w:p>
    <w:p>
      <w:pPr>
        <w:ind w:right="480"/>
        <w:spacing w:after="0" w:line="316" w:lineRule="auto"/>
        <w:rPr>
          <w:sz w:val="20"/>
          <w:szCs w:val="20"/>
          <w:color w:val="auto"/>
        </w:rPr>
      </w:pPr>
      <w:r>
        <w:rPr>
          <w:rFonts w:ascii="Arial" w:cs="Arial" w:eastAsia="Arial" w:hAnsi="Arial"/>
          <w:sz w:val="16"/>
          <w:szCs w:val="16"/>
          <w:color w:val="0E1020"/>
        </w:rPr>
        <w:t>The Compensation Committee will have full power and authority to determine whether, to what extent, and under what circumstances any award will be terminated, forfeited, or the participant should be required to disgorge the gains attributable to the award. In addition, awards will be subject to any recoupment or clawback policy adopted by, or applicable to, the Company.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25</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33" w:name="page34"/>
    <w:bookmarkEnd w:id="33"/>
    <w:p>
      <w:pPr>
        <w:ind w:left="20"/>
        <w:spacing w:after="0"/>
        <w:tabs>
          <w:tab w:leader="none" w:pos="10100" w:val="left"/>
        </w:tabs>
        <w:rPr>
          <w:sz w:val="20"/>
          <w:szCs w:val="20"/>
          <w:color w:val="auto"/>
        </w:rPr>
      </w:pPr>
      <w:r>
        <w:rPr>
          <w:rFonts w:ascii="Arial" w:cs="Arial" w:eastAsia="Arial" w:hAnsi="Arial"/>
          <w:sz w:val="14"/>
          <w:szCs w:val="14"/>
          <w:color w:val="auto"/>
        </w:rPr>
        <w:t>Proposal 4</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Duration; Plan Amendments</w:t>
      </w:r>
    </w:p>
    <w:p>
      <w:pPr>
        <w:spacing w:after="0" w:line="146" w:lineRule="exact"/>
        <w:rPr>
          <w:sz w:val="20"/>
          <w:szCs w:val="20"/>
          <w:color w:val="auto"/>
        </w:rPr>
      </w:pPr>
    </w:p>
    <w:p>
      <w:pPr>
        <w:spacing w:after="0" w:line="302" w:lineRule="auto"/>
        <w:rPr>
          <w:sz w:val="20"/>
          <w:szCs w:val="20"/>
          <w:color w:val="auto"/>
        </w:rPr>
      </w:pPr>
      <w:r>
        <w:rPr>
          <w:rFonts w:ascii="Arial" w:cs="Arial" w:eastAsia="Arial" w:hAnsi="Arial"/>
          <w:sz w:val="16"/>
          <w:szCs w:val="16"/>
          <w:color w:val="0E1020"/>
        </w:rPr>
        <w:t>If the stockholders approve this proposal, then the Incentive Plan will expire on March 30, 2037. The Incentive Plan currently has a term of ten (10) years from its original effective date and will expire on March 30, 2027. The Board may at any time amend, modify, suspend, or terminate the Incentive Plan (and the Compensation Committee may amend or modify an award agreement), but in doing so cannot adversely affect any outstanding award without the participant’s written consent. Plan amendments are subject to stockholder approval, if stockholder approval is otherwise required by applicable legal or exchange listing requirements.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Material Federal Income Tax Consequences of Awards Under the Incentive Plan</w:t>
      </w:r>
    </w:p>
    <w:p>
      <w:pPr>
        <w:spacing w:after="0" w:line="133" w:lineRule="exact"/>
        <w:rPr>
          <w:sz w:val="20"/>
          <w:szCs w:val="20"/>
          <w:color w:val="auto"/>
        </w:rPr>
      </w:pPr>
    </w:p>
    <w:p>
      <w:pPr>
        <w:jc w:val="both"/>
        <w:ind w:right="200"/>
        <w:spacing w:after="0" w:line="316" w:lineRule="auto"/>
        <w:rPr>
          <w:sz w:val="20"/>
          <w:szCs w:val="20"/>
          <w:color w:val="auto"/>
        </w:rPr>
      </w:pPr>
      <w:r>
        <w:rPr>
          <w:rFonts w:ascii="Arial" w:cs="Arial" w:eastAsia="Arial" w:hAnsi="Arial"/>
          <w:sz w:val="16"/>
          <w:szCs w:val="16"/>
          <w:color w:val="0E1020"/>
        </w:rPr>
        <w:t>The following summary is based on current interpretations of existing U.S. federal income tax laws. The discussion below does not purport to be complete, and it does not discuss the tax consequences arising in the context of the participant’s death or the income tax laws of any local, state, or foreign country in which a participant’s income or gain may be taxable.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Stock Options</w:t>
      </w:r>
    </w:p>
    <w:p>
      <w:pPr>
        <w:spacing w:after="0" w:line="13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0E1020"/>
        </w:rPr>
        <w:t>Some of the options issuable under the Incentive Plan may constitute incentive stock options, while other options granted under the Incentive Plan may be nonqualified stock options. The Internal Revenue Code provides for special tax treatment of stock options qualifying as incentive stock options, which may be more favorable to employees than the tax treatment accorded nonqualified stock options. On grant of either form of option, the optionee will not recognize income for tax purposes, and we will not receive any deduction. Generally, on the exercise of an incentive stock option, the optionee will recognize no income for U.S. federal income tax purposes. However, the difference between the exercise price of the incentive stock option and the fair market value of the shares at the time of exercise is an adjustment in computing alternative minimum taxable income that may require payment of an alternative minimum tax. On the sale of shares of common stock acquired by exercise of an incentive stock option (assuming that the sale does not occur within two years of the date of grant of the option or within one year of the date of exercise), any gain will be taxed to the optionee as long-term capital gain. In contrast, on the exercise of a nonqualified option, the optionee generally recognizes taxable income (subject to withholding) in an amount equal to the difference between the fair market value of the shares of common stock acquired on the date of exercise and the exercise price. On any sale of those shares by the optionee, any difference between the sale price and the fair market value of the shares on the date of exercise of the nonqualified option will be treated generally as capital gain or loss. No deduction is available to us on the exercise of an incentive stock option (although a deduction may be available if the employee sells the shares acquired on exercise before the applicable holding periods expire); however, on exercise of a nonqualified stock option, we generally are entitled to a deduction in an amount equal to the income recognized by the employee. Except in the case of the death or disability of an optionee, an optionee has three months after termination of employment in which to exercise an incentive stock option and retain favorable tax treatment on exercise. An incentive stock option exercised more than three months after an optionee’s termination of employment other than on death or disability of an optionee cannot qualify for the tax treatment accorded incentive stock options. Any such option would be treated as a nonqualified stock option for tax purposes.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Stock Appreciation Rights (“SARs”)</w:t>
      </w:r>
    </w:p>
    <w:p>
      <w:pPr>
        <w:spacing w:after="0" w:line="133" w:lineRule="exact"/>
        <w:rPr>
          <w:sz w:val="20"/>
          <w:szCs w:val="20"/>
          <w:color w:val="auto"/>
        </w:rPr>
      </w:pPr>
    </w:p>
    <w:p>
      <w:pPr>
        <w:ind w:right="320"/>
        <w:spacing w:after="0" w:line="335" w:lineRule="auto"/>
        <w:rPr>
          <w:sz w:val="20"/>
          <w:szCs w:val="20"/>
          <w:color w:val="auto"/>
        </w:rPr>
      </w:pPr>
      <w:r>
        <w:rPr>
          <w:rFonts w:ascii="Arial" w:cs="Arial" w:eastAsia="Arial" w:hAnsi="Arial"/>
          <w:sz w:val="16"/>
          <w:szCs w:val="16"/>
          <w:color w:val="0E1020"/>
        </w:rPr>
        <w:t>The amount of any cash or the fair market value of any shares of common stock received by the holder on the exercise of SARs in excess of the exercise price will be subject to ordinary income tax in the year of receipt, and we will be entitled to a deduction for that amount.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26</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34" w:name="page35"/>
    <w:bookmarkEnd w:id="34"/>
    <w:p>
      <w:pPr>
        <w:ind w:left="20"/>
        <w:spacing w:after="0"/>
        <w:tabs>
          <w:tab w:leader="none" w:pos="1052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0E1020"/>
        </w:rPr>
        <w:t>Proposal 4</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Restricted Stock</w:t>
      </w:r>
    </w:p>
    <w:p>
      <w:pPr>
        <w:spacing w:after="0" w:line="14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0E1020"/>
        </w:rPr>
        <w:t>Generally, a grant of shares of common stock under the Incentive Plan subject to vesting and transfer restrictions will not result in taxable income to the participant for federal income tax purposes or a tax deduction to us at the time of grant. The value of the shares will generally be taxable to the participant as compensation income in the year in which the restrictions on the shares lapse. Such value will be the fair market value of the shares as to which the restrictions lapse on the date those restrictions lapse. Any participant, however, may elect pursuant to Internal Revenue Code Section 83(b) to treat the fair market value of the restricted shares on the date of grant as compensation income in the year of grant, provided the participant makes the election pursuant to Internal Revenue Code Section 83(b) within 30 days after the date of grant. In any case, we will receive a deduction for federal income tax purposes equal to the amount of compensation included in the participant’s income in the year in which that amount is so included.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Restricted Stock Units</w:t>
      </w:r>
    </w:p>
    <w:p>
      <w:pPr>
        <w:spacing w:after="0" w:line="133" w:lineRule="exact"/>
        <w:rPr>
          <w:sz w:val="20"/>
          <w:szCs w:val="20"/>
          <w:color w:val="auto"/>
        </w:rPr>
      </w:pPr>
    </w:p>
    <w:p>
      <w:pPr>
        <w:ind w:right="220"/>
        <w:spacing w:after="0" w:line="307" w:lineRule="auto"/>
        <w:rPr>
          <w:sz w:val="20"/>
          <w:szCs w:val="20"/>
          <w:color w:val="auto"/>
        </w:rPr>
      </w:pPr>
      <w:r>
        <w:rPr>
          <w:rFonts w:ascii="Arial" w:cs="Arial" w:eastAsia="Arial" w:hAnsi="Arial"/>
          <w:sz w:val="16"/>
          <w:szCs w:val="16"/>
          <w:color w:val="0E1020"/>
        </w:rPr>
        <w:t>A grant of a right to receive shares of common stock or cash in lieu of the shares will result in taxable income for federal income tax purposes to the participant at the time the award is settled in an amount equal to the fair market value of the shares or the amount of cash awarded. We will be entitled to a corresponding deduction at that time for the amount included in the participant’s income.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Performance Units</w:t>
      </w:r>
    </w:p>
    <w:p>
      <w:pPr>
        <w:spacing w:after="0" w:line="133" w:lineRule="exact"/>
        <w:rPr>
          <w:sz w:val="20"/>
          <w:szCs w:val="20"/>
          <w:color w:val="auto"/>
        </w:rPr>
      </w:pPr>
    </w:p>
    <w:p>
      <w:pPr>
        <w:jc w:val="both"/>
        <w:ind w:right="380"/>
        <w:spacing w:after="0" w:line="307" w:lineRule="auto"/>
        <w:rPr>
          <w:sz w:val="20"/>
          <w:szCs w:val="20"/>
          <w:color w:val="auto"/>
        </w:rPr>
      </w:pPr>
      <w:r>
        <w:rPr>
          <w:rFonts w:ascii="Arial" w:cs="Arial" w:eastAsia="Arial" w:hAnsi="Arial"/>
          <w:sz w:val="16"/>
          <w:szCs w:val="16"/>
          <w:color w:val="0E1020"/>
        </w:rPr>
        <w:t>The amount of any cash or the fair market value of any shares of common stock received by the holder on the settlement of performance units under the Incentive Plan will be subject to ordinary income tax in the year of receipt, and we will be entitled to a deduction for that amount in the year in which that amount is included.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Cash Awards</w:t>
      </w:r>
    </w:p>
    <w:p>
      <w:pPr>
        <w:spacing w:after="0" w:line="133" w:lineRule="exact"/>
        <w:rPr>
          <w:sz w:val="20"/>
          <w:szCs w:val="20"/>
          <w:color w:val="auto"/>
        </w:rPr>
      </w:pPr>
    </w:p>
    <w:p>
      <w:pPr>
        <w:ind w:right="100"/>
        <w:spacing w:after="0" w:line="335" w:lineRule="auto"/>
        <w:rPr>
          <w:sz w:val="20"/>
          <w:szCs w:val="20"/>
          <w:color w:val="auto"/>
        </w:rPr>
      </w:pPr>
      <w:r>
        <w:rPr>
          <w:rFonts w:ascii="Arial" w:cs="Arial" w:eastAsia="Arial" w:hAnsi="Arial"/>
          <w:sz w:val="16"/>
          <w:szCs w:val="16"/>
          <w:color w:val="0E1020"/>
        </w:rPr>
        <w:t>Cash Awards under the Incentive Plan are taxable income to the participant for federal income tax purposes at the time of payment. The participant will have compensation income equal to the amount of cash paid, and we will have a corresponding deduction for federal income tax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Basis; Gain</w:t>
      </w:r>
    </w:p>
    <w:p>
      <w:pPr>
        <w:spacing w:after="0" w:line="1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0E1020"/>
        </w:rPr>
        <w:t>A participant’s tax basis in vested shares of common stock purchased under the Incentive Plan is equal to the sum of the price paid for the shares, if any, and the amount of ordinary income recognized by the participant on the transfer of vested shares. The participant’s holding period for the shares generally begins on the transfer to the participant of vested shares. If a participant sells shares, any difference between the amount realized in the sale and the participant’s tax basis in the shares is taxed as long-term or short-term capital gain or loss (provided the shares are held as a capital asset on the date of sale), depending on the participant’s holding period for the shares.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Certain Tax Code Limitations on Deductibility</w:t>
      </w:r>
    </w:p>
    <w:p>
      <w:pPr>
        <w:spacing w:after="0" w:line="146" w:lineRule="exact"/>
        <w:rPr>
          <w:sz w:val="20"/>
          <w:szCs w:val="20"/>
          <w:color w:val="auto"/>
        </w:rPr>
      </w:pPr>
    </w:p>
    <w:p>
      <w:pPr>
        <w:ind w:right="100"/>
        <w:spacing w:after="0" w:line="307" w:lineRule="auto"/>
        <w:rPr>
          <w:sz w:val="20"/>
          <w:szCs w:val="20"/>
          <w:color w:val="auto"/>
        </w:rPr>
      </w:pPr>
      <w:r>
        <w:rPr>
          <w:rFonts w:ascii="Arial" w:cs="Arial" w:eastAsia="Arial" w:hAnsi="Arial"/>
          <w:sz w:val="16"/>
          <w:szCs w:val="16"/>
          <w:color w:val="0E1020"/>
        </w:rPr>
        <w:t>In order for us to deduct the amounts described above, such amounts must constitute reasonable compensation for services rendered or to be rendered and must be ordinary and necessary business expenses. The ability to obtain a deduction for awards under the Incentive Plan could also be limited by Code Section 280G, which provides that certain excess parachute payments made in connection with a change in control of an employer are not deductible.</w:t>
      </w:r>
    </w:p>
    <w:p>
      <w:pPr>
        <w:spacing w:after="0" w:line="58" w:lineRule="exact"/>
        <w:rPr>
          <w:sz w:val="20"/>
          <w:szCs w:val="20"/>
          <w:color w:val="auto"/>
        </w:rPr>
      </w:pPr>
    </w:p>
    <w:p>
      <w:pPr>
        <w:ind w:right="200"/>
        <w:spacing w:after="0" w:line="335" w:lineRule="auto"/>
        <w:rPr>
          <w:sz w:val="20"/>
          <w:szCs w:val="20"/>
          <w:color w:val="auto"/>
        </w:rPr>
      </w:pPr>
      <w:r>
        <w:rPr>
          <w:rFonts w:ascii="Arial" w:cs="Arial" w:eastAsia="Arial" w:hAnsi="Arial"/>
          <w:sz w:val="16"/>
          <w:szCs w:val="16"/>
          <w:color w:val="0E1020"/>
        </w:rPr>
        <w:t>The ability to obtain a deduction for amounts paid under the Incentive Plan could also be affected by Code Section 162(m), which limits the deductibility, for U.S. federal income tax purposes, of compensation paid to certain employees to $1 million during any taxable year.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27</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35" w:name="page36"/>
    <w:bookmarkEnd w:id="35"/>
    <w:p>
      <w:pPr>
        <w:ind w:left="20"/>
        <w:spacing w:after="0"/>
        <w:tabs>
          <w:tab w:leader="none" w:pos="10100" w:val="left"/>
        </w:tabs>
        <w:rPr>
          <w:sz w:val="20"/>
          <w:szCs w:val="20"/>
          <w:color w:val="auto"/>
        </w:rPr>
      </w:pPr>
      <w:r>
        <w:rPr>
          <w:rFonts w:ascii="Arial" w:cs="Arial" w:eastAsia="Arial" w:hAnsi="Arial"/>
          <w:sz w:val="14"/>
          <w:szCs w:val="14"/>
          <w:color w:val="auto"/>
        </w:rPr>
        <w:t>Proposal 4</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Internal Revenue Code Section 409A</w:t>
      </w:r>
    </w:p>
    <w:p>
      <w:pPr>
        <w:spacing w:after="0" w:line="146"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0E1020"/>
        </w:rPr>
        <w:t>Code Section 409A generally provides that deferred compensation subject to Code Section 409A that does not meet the requirements for an exemption from Code Section 409A must satisfy specific requirements, both in operation and in form, regarding: (1) the timing of payment; (2) the election of deferrals; and (3) restrictions on the acceleration of payment. Failure to comply with Code Section 409A may result in the early taxation (plus interest) to the participant</w:t>
      </w:r>
    </w:p>
    <w:p>
      <w:pPr>
        <w:spacing w:after="0" w:line="1" w:lineRule="exact"/>
        <w:rPr>
          <w:sz w:val="20"/>
          <w:szCs w:val="20"/>
          <w:color w:val="auto"/>
        </w:rPr>
      </w:pPr>
    </w:p>
    <w:p>
      <w:pPr>
        <w:ind w:right="140"/>
        <w:spacing w:after="0" w:line="335" w:lineRule="auto"/>
        <w:rPr>
          <w:sz w:val="20"/>
          <w:szCs w:val="20"/>
          <w:color w:val="auto"/>
        </w:rPr>
      </w:pPr>
      <w:r>
        <w:rPr>
          <w:rFonts w:ascii="Arial" w:cs="Arial" w:eastAsia="Arial" w:hAnsi="Arial"/>
          <w:sz w:val="16"/>
          <w:szCs w:val="16"/>
          <w:color w:val="0E1020"/>
        </w:rPr>
        <w:t>of deferred compensation and the imposition of a 20% penalty at the federal level (and possibly penalties at the state level) on the participant of the deferred amounts included in the participant’s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New Plan Benefits</w:t>
      </w:r>
    </w:p>
    <w:p>
      <w:pPr>
        <w:spacing w:after="0" w:line="133" w:lineRule="exact"/>
        <w:rPr>
          <w:sz w:val="20"/>
          <w:szCs w:val="20"/>
          <w:color w:val="auto"/>
        </w:rPr>
      </w:pPr>
    </w:p>
    <w:p>
      <w:pPr>
        <w:ind w:right="80"/>
        <w:spacing w:after="0" w:line="335" w:lineRule="auto"/>
        <w:rPr>
          <w:sz w:val="20"/>
          <w:szCs w:val="20"/>
          <w:color w:val="auto"/>
        </w:rPr>
      </w:pPr>
      <w:r>
        <w:rPr>
          <w:rFonts w:ascii="Arial" w:cs="Arial" w:eastAsia="Arial" w:hAnsi="Arial"/>
          <w:sz w:val="16"/>
          <w:szCs w:val="16"/>
          <w:color w:val="0E1020"/>
        </w:rPr>
        <w:t>The number and type of awards that may be granted under the Incentive Plan in the future are not determinable at this time as the Compensation Committee or the Board, as applicable, will make these determinations in its sole discretion.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Other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0E1020"/>
        </w:rPr>
        <w:t>As of March 31, 2026, the closing price of a share of our common stock on the New York Stock Exchange was $12.57 per share.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Existing Plan Benefits</w:t>
      </w:r>
    </w:p>
    <w:p>
      <w:pPr>
        <w:spacing w:after="0" w:line="133" w:lineRule="exact"/>
        <w:rPr>
          <w:sz w:val="20"/>
          <w:szCs w:val="20"/>
          <w:color w:val="auto"/>
        </w:rPr>
      </w:pPr>
    </w:p>
    <w:p>
      <w:pPr>
        <w:ind w:right="100"/>
        <w:spacing w:after="0" w:line="316" w:lineRule="auto"/>
        <w:rPr>
          <w:sz w:val="20"/>
          <w:szCs w:val="20"/>
          <w:color w:val="auto"/>
        </w:rPr>
      </w:pPr>
      <w:r>
        <w:rPr>
          <w:rFonts w:ascii="Arial" w:cs="Arial" w:eastAsia="Arial" w:hAnsi="Arial"/>
          <w:sz w:val="16"/>
          <w:szCs w:val="16"/>
          <w:color w:val="0E1020"/>
        </w:rPr>
        <w:t>Pursuant to SEC rules, the following table lists the number of stock options, PSUs (at target), and RSUs granted under the 2017 OIP and 2017 DIP from March 30, 2017 (when both plans were initially approved by stockholders) through March 31, 2026, whether or not outstanding, vested, canceled or forfeited, as applicable.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960" w:type="dxa"/>
            <w:vAlign w:val="bottom"/>
            <w:shd w:val="clear" w:color="auto" w:fill="F6F3F0"/>
          </w:tcPr>
          <w:p>
            <w:pPr>
              <w:ind w:left="100"/>
              <w:spacing w:after="0"/>
              <w:rPr>
                <w:sz w:val="20"/>
                <w:szCs w:val="20"/>
                <w:color w:val="auto"/>
              </w:rPr>
            </w:pPr>
            <w:r>
              <w:rPr>
                <w:rFonts w:ascii="Arial" w:cs="Arial" w:eastAsia="Arial" w:hAnsi="Arial"/>
                <w:sz w:val="14"/>
                <w:szCs w:val="14"/>
                <w:b w:val="1"/>
                <w:bCs w:val="1"/>
                <w:color w:val="0E1020"/>
              </w:rPr>
              <w:t>Name and Position</w:t>
            </w:r>
          </w:p>
        </w:tc>
        <w:tc>
          <w:tcPr>
            <w:tcW w:w="1540" w:type="dxa"/>
            <w:vAlign w:val="bottom"/>
            <w:shd w:val="clear" w:color="auto" w:fill="F6F3F0"/>
          </w:tcPr>
          <w:p>
            <w:pPr>
              <w:ind w:left="560"/>
              <w:spacing w:after="0"/>
              <w:rPr>
                <w:sz w:val="20"/>
                <w:szCs w:val="20"/>
                <w:color w:val="auto"/>
              </w:rPr>
            </w:pPr>
            <w:r>
              <w:rPr>
                <w:rFonts w:ascii="Arial" w:cs="Arial" w:eastAsia="Arial" w:hAnsi="Arial"/>
                <w:sz w:val="14"/>
                <w:szCs w:val="14"/>
                <w:b w:val="1"/>
                <w:bCs w:val="1"/>
                <w:color w:val="0E1020"/>
              </w:rPr>
              <w:t>Stock Options</w:t>
            </w:r>
          </w:p>
        </w:tc>
        <w:tc>
          <w:tcPr>
            <w:tcW w:w="1580" w:type="dxa"/>
            <w:vAlign w:val="bottom"/>
            <w:shd w:val="clear" w:color="auto" w:fill="F6F3F0"/>
          </w:tcPr>
          <w:p>
            <w:pPr>
              <w:jc w:val="right"/>
              <w:ind w:right="189"/>
              <w:spacing w:after="0"/>
              <w:rPr>
                <w:sz w:val="20"/>
                <w:szCs w:val="20"/>
                <w:color w:val="auto"/>
              </w:rPr>
            </w:pPr>
            <w:r>
              <w:rPr>
                <w:rFonts w:ascii="Arial" w:cs="Arial" w:eastAsia="Arial" w:hAnsi="Arial"/>
                <w:sz w:val="14"/>
                <w:szCs w:val="14"/>
                <w:b w:val="1"/>
                <w:bCs w:val="1"/>
                <w:color w:val="0E1020"/>
              </w:rPr>
              <w:t>RSUs</w:t>
            </w:r>
          </w:p>
        </w:tc>
        <w:tc>
          <w:tcPr>
            <w:tcW w:w="1160" w:type="dxa"/>
            <w:vAlign w:val="bottom"/>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PSUs</w:t>
            </w:r>
          </w:p>
        </w:tc>
      </w:tr>
      <w:tr>
        <w:trPr>
          <w:trHeight w:val="69"/>
        </w:trPr>
        <w:tc>
          <w:tcPr>
            <w:tcW w:w="6960" w:type="dxa"/>
            <w:vAlign w:val="bottom"/>
            <w:tcBorders>
              <w:bottom w:val="single" w:sz="8" w:color="CFCFD2"/>
            </w:tcBorders>
            <w:shd w:val="clear" w:color="auto" w:fill="F6F3F0"/>
          </w:tcPr>
          <w:p>
            <w:pPr>
              <w:spacing w:after="0"/>
              <w:rPr>
                <w:sz w:val="5"/>
                <w:szCs w:val="5"/>
                <w:color w:val="auto"/>
              </w:rPr>
            </w:pPr>
          </w:p>
        </w:tc>
        <w:tc>
          <w:tcPr>
            <w:tcW w:w="1540" w:type="dxa"/>
            <w:vAlign w:val="bottom"/>
            <w:tcBorders>
              <w:bottom w:val="single" w:sz="8" w:color="CFCFD2"/>
            </w:tcBorders>
            <w:shd w:val="clear" w:color="auto" w:fill="F6F3F0"/>
          </w:tcPr>
          <w:p>
            <w:pPr>
              <w:spacing w:after="0"/>
              <w:rPr>
                <w:sz w:val="5"/>
                <w:szCs w:val="5"/>
                <w:color w:val="auto"/>
              </w:rPr>
            </w:pPr>
          </w:p>
        </w:tc>
        <w:tc>
          <w:tcPr>
            <w:tcW w:w="1580" w:type="dxa"/>
            <w:vAlign w:val="bottom"/>
            <w:tcBorders>
              <w:bottom w:val="single" w:sz="8" w:color="CFCFD2"/>
            </w:tcBorders>
            <w:shd w:val="clear" w:color="auto" w:fill="F6F3F0"/>
          </w:tcPr>
          <w:p>
            <w:pPr>
              <w:spacing w:after="0"/>
              <w:rPr>
                <w:sz w:val="5"/>
                <w:szCs w:val="5"/>
                <w:color w:val="auto"/>
              </w:rPr>
            </w:pPr>
          </w:p>
        </w:tc>
        <w:tc>
          <w:tcPr>
            <w:tcW w:w="1160" w:type="dxa"/>
            <w:vAlign w:val="bottom"/>
            <w:tcBorders>
              <w:bottom w:val="single" w:sz="8" w:color="CFCFD2"/>
            </w:tcBorders>
            <w:shd w:val="clear" w:color="auto" w:fill="F6F3F0"/>
          </w:tcPr>
          <w:p>
            <w:pPr>
              <w:spacing w:after="0"/>
              <w:rPr>
                <w:sz w:val="5"/>
                <w:szCs w:val="5"/>
                <w:color w:val="auto"/>
              </w:rPr>
            </w:pPr>
          </w:p>
        </w:tc>
      </w:tr>
      <w:tr>
        <w:trPr>
          <w:trHeight w:val="215"/>
        </w:trPr>
        <w:tc>
          <w:tcPr>
            <w:tcW w:w="696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Raul J. Fernandez</w:t>
            </w:r>
            <w:r>
              <w:rPr>
                <w:rFonts w:ascii="Arial" w:cs="Arial" w:eastAsia="Arial" w:hAnsi="Arial"/>
                <w:sz w:val="14"/>
                <w:szCs w:val="14"/>
                <w:color w:val="000000"/>
              </w:rPr>
              <w:t>, President and CEO</w:t>
            </w:r>
          </w:p>
        </w:tc>
        <w:tc>
          <w:tcPr>
            <w:tcW w:w="1540" w:type="dxa"/>
            <w:vAlign w:val="bottom"/>
            <w:tcBorders>
              <w:bottom w:val="single" w:sz="8" w:color="CFCFD2"/>
            </w:tcBorders>
          </w:tcPr>
          <w:p>
            <w:pPr>
              <w:ind w:left="1340"/>
              <w:spacing w:after="0"/>
              <w:rPr>
                <w:sz w:val="20"/>
                <w:szCs w:val="20"/>
                <w:color w:val="auto"/>
              </w:rPr>
            </w:pPr>
            <w:r>
              <w:rPr>
                <w:rFonts w:ascii="Arial" w:cs="Arial" w:eastAsia="Arial" w:hAnsi="Arial"/>
                <w:sz w:val="14"/>
                <w:szCs w:val="14"/>
                <w:color w:val="0E1020"/>
              </w:rPr>
              <w:t>—</w:t>
            </w:r>
          </w:p>
        </w:tc>
        <w:tc>
          <w:tcPr>
            <w:tcW w:w="1580" w:type="dxa"/>
            <w:vAlign w:val="bottom"/>
            <w:tcBorders>
              <w:bottom w:val="single" w:sz="8" w:color="CFCFD2"/>
            </w:tcBorders>
          </w:tcPr>
          <w:p>
            <w:pPr>
              <w:jc w:val="right"/>
              <w:ind w:right="249"/>
              <w:spacing w:after="0"/>
              <w:rPr>
                <w:sz w:val="20"/>
                <w:szCs w:val="20"/>
                <w:color w:val="auto"/>
              </w:rPr>
            </w:pPr>
            <w:r>
              <w:rPr>
                <w:rFonts w:ascii="Arial" w:cs="Arial" w:eastAsia="Arial" w:hAnsi="Arial"/>
                <w:sz w:val="14"/>
                <w:szCs w:val="14"/>
                <w:color w:val="0E1020"/>
              </w:rPr>
              <w:t>891,197</w:t>
            </w:r>
          </w:p>
        </w:tc>
        <w:tc>
          <w:tcPr>
            <w:tcW w:w="1160" w:type="dxa"/>
            <w:vAlign w:val="bottom"/>
            <w:tcBorders>
              <w:bottom w:val="single" w:sz="8" w:color="CFCFD2"/>
            </w:tcBorders>
          </w:tcPr>
          <w:p>
            <w:pPr>
              <w:jc w:val="right"/>
              <w:ind w:right="149"/>
              <w:spacing w:after="0"/>
              <w:rPr>
                <w:sz w:val="20"/>
                <w:szCs w:val="20"/>
                <w:color w:val="auto"/>
              </w:rPr>
            </w:pPr>
            <w:r>
              <w:rPr>
                <w:rFonts w:ascii="Arial" w:cs="Arial" w:eastAsia="Arial" w:hAnsi="Arial"/>
                <w:sz w:val="14"/>
                <w:szCs w:val="14"/>
                <w:color w:val="0E1020"/>
              </w:rPr>
              <w:t>2,904,207</w:t>
            </w:r>
          </w:p>
        </w:tc>
      </w:tr>
      <w:tr>
        <w:trPr>
          <w:trHeight w:val="221"/>
        </w:trPr>
        <w:tc>
          <w:tcPr>
            <w:tcW w:w="696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Robert Del Bene</w:t>
            </w:r>
            <w:r>
              <w:rPr>
                <w:rFonts w:ascii="Arial" w:cs="Arial" w:eastAsia="Arial" w:hAnsi="Arial"/>
                <w:sz w:val="14"/>
                <w:szCs w:val="14"/>
                <w:color w:val="000000"/>
              </w:rPr>
              <w:t>, Executive Vice President, Chief Financial Officer</w:t>
            </w:r>
          </w:p>
        </w:tc>
        <w:tc>
          <w:tcPr>
            <w:tcW w:w="1540" w:type="dxa"/>
            <w:vAlign w:val="bottom"/>
            <w:tcBorders>
              <w:bottom w:val="single" w:sz="8" w:color="CFCFD2"/>
            </w:tcBorders>
          </w:tcPr>
          <w:p>
            <w:pPr>
              <w:ind w:left="1340"/>
              <w:spacing w:after="0"/>
              <w:rPr>
                <w:sz w:val="20"/>
                <w:szCs w:val="20"/>
                <w:color w:val="auto"/>
              </w:rPr>
            </w:pPr>
            <w:r>
              <w:rPr>
                <w:rFonts w:ascii="Arial" w:cs="Arial" w:eastAsia="Arial" w:hAnsi="Arial"/>
                <w:sz w:val="14"/>
                <w:szCs w:val="14"/>
                <w:color w:val="0E1020"/>
              </w:rPr>
              <w:t>—</w:t>
            </w:r>
          </w:p>
        </w:tc>
        <w:tc>
          <w:tcPr>
            <w:tcW w:w="1580" w:type="dxa"/>
            <w:vAlign w:val="bottom"/>
            <w:tcBorders>
              <w:bottom w:val="single" w:sz="8" w:color="CFCFD2"/>
            </w:tcBorders>
          </w:tcPr>
          <w:p>
            <w:pPr>
              <w:jc w:val="right"/>
              <w:ind w:right="249"/>
              <w:spacing w:after="0"/>
              <w:rPr>
                <w:sz w:val="20"/>
                <w:szCs w:val="20"/>
                <w:color w:val="auto"/>
              </w:rPr>
            </w:pPr>
            <w:r>
              <w:rPr>
                <w:rFonts w:ascii="Arial" w:cs="Arial" w:eastAsia="Arial" w:hAnsi="Arial"/>
                <w:sz w:val="14"/>
                <w:szCs w:val="14"/>
                <w:color w:val="0E1020"/>
              </w:rPr>
              <w:t>387,524</w:t>
            </w:r>
          </w:p>
        </w:tc>
        <w:tc>
          <w:tcPr>
            <w:tcW w:w="1160" w:type="dxa"/>
            <w:vAlign w:val="bottom"/>
            <w:tcBorders>
              <w:bottom w:val="single" w:sz="8" w:color="CFCFD2"/>
            </w:tcBorders>
          </w:tcPr>
          <w:p>
            <w:pPr>
              <w:jc w:val="right"/>
              <w:ind w:right="149"/>
              <w:spacing w:after="0"/>
              <w:rPr>
                <w:sz w:val="20"/>
                <w:szCs w:val="20"/>
                <w:color w:val="auto"/>
              </w:rPr>
            </w:pPr>
            <w:r>
              <w:rPr>
                <w:rFonts w:ascii="Arial" w:cs="Arial" w:eastAsia="Arial" w:hAnsi="Arial"/>
                <w:sz w:val="14"/>
                <w:szCs w:val="14"/>
                <w:color w:val="0E1020"/>
              </w:rPr>
              <w:t>1,280,969</w:t>
            </w:r>
          </w:p>
        </w:tc>
      </w:tr>
      <w:tr>
        <w:trPr>
          <w:trHeight w:val="221"/>
        </w:trPr>
        <w:tc>
          <w:tcPr>
            <w:tcW w:w="696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Christopher Drumgoole</w:t>
            </w:r>
            <w:r>
              <w:rPr>
                <w:rFonts w:ascii="Arial" w:cs="Arial" w:eastAsia="Arial" w:hAnsi="Arial"/>
                <w:sz w:val="14"/>
                <w:szCs w:val="14"/>
                <w:color w:val="000000"/>
              </w:rPr>
              <w:t>, President, Global Infrastructure Services</w:t>
            </w:r>
          </w:p>
        </w:tc>
        <w:tc>
          <w:tcPr>
            <w:tcW w:w="1540" w:type="dxa"/>
            <w:vAlign w:val="bottom"/>
            <w:tcBorders>
              <w:bottom w:val="single" w:sz="8" w:color="CFCFD2"/>
            </w:tcBorders>
          </w:tcPr>
          <w:p>
            <w:pPr>
              <w:ind w:left="1340"/>
              <w:spacing w:after="0"/>
              <w:rPr>
                <w:sz w:val="20"/>
                <w:szCs w:val="20"/>
                <w:color w:val="auto"/>
              </w:rPr>
            </w:pPr>
            <w:r>
              <w:rPr>
                <w:rFonts w:ascii="Arial" w:cs="Arial" w:eastAsia="Arial" w:hAnsi="Arial"/>
                <w:sz w:val="14"/>
                <w:szCs w:val="14"/>
                <w:color w:val="0E1020"/>
              </w:rPr>
              <w:t>—</w:t>
            </w:r>
          </w:p>
        </w:tc>
        <w:tc>
          <w:tcPr>
            <w:tcW w:w="1580" w:type="dxa"/>
            <w:vAlign w:val="bottom"/>
            <w:tcBorders>
              <w:bottom w:val="single" w:sz="8" w:color="CFCFD2"/>
            </w:tcBorders>
          </w:tcPr>
          <w:p>
            <w:pPr>
              <w:jc w:val="right"/>
              <w:ind w:right="249"/>
              <w:spacing w:after="0"/>
              <w:rPr>
                <w:sz w:val="20"/>
                <w:szCs w:val="20"/>
                <w:color w:val="auto"/>
              </w:rPr>
            </w:pPr>
            <w:r>
              <w:rPr>
                <w:rFonts w:ascii="Arial" w:cs="Arial" w:eastAsia="Arial" w:hAnsi="Arial"/>
                <w:sz w:val="14"/>
                <w:szCs w:val="14"/>
                <w:color w:val="0E1020"/>
              </w:rPr>
              <w:t>508,175</w:t>
            </w:r>
          </w:p>
        </w:tc>
        <w:tc>
          <w:tcPr>
            <w:tcW w:w="1160" w:type="dxa"/>
            <w:vAlign w:val="bottom"/>
            <w:tcBorders>
              <w:bottom w:val="single" w:sz="8" w:color="CFCFD2"/>
            </w:tcBorders>
          </w:tcPr>
          <w:p>
            <w:pPr>
              <w:jc w:val="right"/>
              <w:ind w:right="149"/>
              <w:spacing w:after="0"/>
              <w:rPr>
                <w:sz w:val="20"/>
                <w:szCs w:val="20"/>
                <w:color w:val="auto"/>
              </w:rPr>
            </w:pPr>
            <w:r>
              <w:rPr>
                <w:rFonts w:ascii="Arial" w:cs="Arial" w:eastAsia="Arial" w:hAnsi="Arial"/>
                <w:sz w:val="14"/>
                <w:szCs w:val="14"/>
                <w:color w:val="0E1020"/>
              </w:rPr>
              <w:t>575,816</w:t>
            </w:r>
          </w:p>
        </w:tc>
      </w:tr>
      <w:tr>
        <w:trPr>
          <w:trHeight w:val="221"/>
        </w:trPr>
        <w:tc>
          <w:tcPr>
            <w:tcW w:w="696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Raymond A. August</w:t>
            </w:r>
            <w:r>
              <w:rPr>
                <w:rFonts w:ascii="Arial" w:cs="Arial" w:eastAsia="Arial" w:hAnsi="Arial"/>
                <w:sz w:val="14"/>
                <w:szCs w:val="14"/>
                <w:color w:val="000000"/>
              </w:rPr>
              <w:t>, President, Insurance Software &amp; Services</w:t>
            </w:r>
          </w:p>
        </w:tc>
        <w:tc>
          <w:tcPr>
            <w:tcW w:w="1540" w:type="dxa"/>
            <w:vAlign w:val="bottom"/>
            <w:tcBorders>
              <w:bottom w:val="single" w:sz="8" w:color="CFCFD2"/>
            </w:tcBorders>
          </w:tcPr>
          <w:p>
            <w:pPr>
              <w:ind w:left="1340"/>
              <w:spacing w:after="0"/>
              <w:rPr>
                <w:sz w:val="20"/>
                <w:szCs w:val="20"/>
                <w:color w:val="auto"/>
              </w:rPr>
            </w:pPr>
            <w:r>
              <w:rPr>
                <w:rFonts w:ascii="Arial" w:cs="Arial" w:eastAsia="Arial" w:hAnsi="Arial"/>
                <w:sz w:val="14"/>
                <w:szCs w:val="14"/>
                <w:color w:val="0E1020"/>
              </w:rPr>
              <w:t>—</w:t>
            </w:r>
          </w:p>
        </w:tc>
        <w:tc>
          <w:tcPr>
            <w:tcW w:w="1580" w:type="dxa"/>
            <w:vAlign w:val="bottom"/>
            <w:tcBorders>
              <w:bottom w:val="single" w:sz="8" w:color="CFCFD2"/>
            </w:tcBorders>
          </w:tcPr>
          <w:p>
            <w:pPr>
              <w:jc w:val="right"/>
              <w:ind w:right="249"/>
              <w:spacing w:after="0"/>
              <w:rPr>
                <w:sz w:val="20"/>
                <w:szCs w:val="20"/>
                <w:color w:val="auto"/>
              </w:rPr>
            </w:pPr>
            <w:r>
              <w:rPr>
                <w:rFonts w:ascii="Arial" w:cs="Arial" w:eastAsia="Arial" w:hAnsi="Arial"/>
                <w:sz w:val="14"/>
                <w:szCs w:val="14"/>
                <w:color w:val="0E1020"/>
              </w:rPr>
              <w:t>365,956</w:t>
            </w:r>
          </w:p>
        </w:tc>
        <w:tc>
          <w:tcPr>
            <w:tcW w:w="1160" w:type="dxa"/>
            <w:vAlign w:val="bottom"/>
            <w:tcBorders>
              <w:bottom w:val="single" w:sz="8" w:color="CFCFD2"/>
            </w:tcBorders>
          </w:tcPr>
          <w:p>
            <w:pPr>
              <w:jc w:val="right"/>
              <w:ind w:right="149"/>
              <w:spacing w:after="0"/>
              <w:rPr>
                <w:sz w:val="20"/>
                <w:szCs w:val="20"/>
                <w:color w:val="auto"/>
              </w:rPr>
            </w:pPr>
            <w:r>
              <w:rPr>
                <w:rFonts w:ascii="Arial" w:cs="Arial" w:eastAsia="Arial" w:hAnsi="Arial"/>
                <w:sz w:val="14"/>
                <w:szCs w:val="14"/>
                <w:color w:val="0E1020"/>
              </w:rPr>
              <w:t>268,119</w:t>
            </w:r>
          </w:p>
        </w:tc>
      </w:tr>
      <w:tr>
        <w:trPr>
          <w:trHeight w:val="221"/>
        </w:trPr>
        <w:tc>
          <w:tcPr>
            <w:tcW w:w="696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Matthew K. Fawcett</w:t>
            </w:r>
            <w:r>
              <w:rPr>
                <w:rFonts w:ascii="Arial" w:cs="Arial" w:eastAsia="Arial" w:hAnsi="Arial"/>
                <w:sz w:val="14"/>
                <w:szCs w:val="14"/>
                <w:color w:val="000000"/>
              </w:rPr>
              <w:t>, Executive Vice President, General Counsel</w:t>
            </w:r>
          </w:p>
        </w:tc>
        <w:tc>
          <w:tcPr>
            <w:tcW w:w="1540" w:type="dxa"/>
            <w:vAlign w:val="bottom"/>
            <w:tcBorders>
              <w:bottom w:val="single" w:sz="8" w:color="CFCFD2"/>
            </w:tcBorders>
          </w:tcPr>
          <w:p>
            <w:pPr>
              <w:ind w:left="1340"/>
              <w:spacing w:after="0"/>
              <w:rPr>
                <w:sz w:val="20"/>
                <w:szCs w:val="20"/>
                <w:color w:val="auto"/>
              </w:rPr>
            </w:pPr>
            <w:r>
              <w:rPr>
                <w:rFonts w:ascii="Arial" w:cs="Arial" w:eastAsia="Arial" w:hAnsi="Arial"/>
                <w:sz w:val="14"/>
                <w:szCs w:val="14"/>
                <w:color w:val="0E1020"/>
              </w:rPr>
              <w:t>—</w:t>
            </w:r>
          </w:p>
        </w:tc>
        <w:tc>
          <w:tcPr>
            <w:tcW w:w="1580" w:type="dxa"/>
            <w:vAlign w:val="bottom"/>
            <w:tcBorders>
              <w:bottom w:val="single" w:sz="8" w:color="CFCFD2"/>
            </w:tcBorders>
          </w:tcPr>
          <w:p>
            <w:pPr>
              <w:jc w:val="right"/>
              <w:ind w:right="249"/>
              <w:spacing w:after="0"/>
              <w:rPr>
                <w:sz w:val="20"/>
                <w:szCs w:val="20"/>
                <w:color w:val="auto"/>
              </w:rPr>
            </w:pPr>
            <w:r>
              <w:rPr>
                <w:rFonts w:ascii="Arial" w:cs="Arial" w:eastAsia="Arial" w:hAnsi="Arial"/>
                <w:sz w:val="14"/>
                <w:szCs w:val="14"/>
                <w:color w:val="0E1020"/>
              </w:rPr>
              <w:t>152,867</w:t>
            </w:r>
          </w:p>
        </w:tc>
        <w:tc>
          <w:tcPr>
            <w:tcW w:w="1160" w:type="dxa"/>
            <w:vAlign w:val="bottom"/>
            <w:tcBorders>
              <w:bottom w:val="single" w:sz="8" w:color="CFCFD2"/>
            </w:tcBorders>
          </w:tcPr>
          <w:p>
            <w:pPr>
              <w:jc w:val="right"/>
              <w:ind w:right="149"/>
              <w:spacing w:after="0"/>
              <w:rPr>
                <w:sz w:val="20"/>
                <w:szCs w:val="20"/>
                <w:color w:val="auto"/>
              </w:rPr>
            </w:pPr>
            <w:r>
              <w:rPr>
                <w:rFonts w:ascii="Arial" w:cs="Arial" w:eastAsia="Arial" w:hAnsi="Arial"/>
                <w:sz w:val="14"/>
                <w:szCs w:val="14"/>
                <w:color w:val="0E1020"/>
              </w:rPr>
              <w:t>229,300</w:t>
            </w:r>
          </w:p>
        </w:tc>
      </w:tr>
      <w:tr>
        <w:trPr>
          <w:trHeight w:val="221"/>
        </w:trPr>
        <w:tc>
          <w:tcPr>
            <w:tcW w:w="696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Howard Boville</w:t>
            </w:r>
            <w:r>
              <w:rPr>
                <w:rFonts w:ascii="Arial" w:cs="Arial" w:eastAsia="Arial" w:hAnsi="Arial"/>
                <w:sz w:val="14"/>
                <w:szCs w:val="14"/>
                <w:color w:val="000000"/>
              </w:rPr>
              <w:t>, Former President, Consulting &amp; Engineering Services</w:t>
            </w:r>
          </w:p>
        </w:tc>
        <w:tc>
          <w:tcPr>
            <w:tcW w:w="1540" w:type="dxa"/>
            <w:vAlign w:val="bottom"/>
            <w:tcBorders>
              <w:bottom w:val="single" w:sz="8" w:color="CFCFD2"/>
            </w:tcBorders>
          </w:tcPr>
          <w:p>
            <w:pPr>
              <w:ind w:left="1340"/>
              <w:spacing w:after="0"/>
              <w:rPr>
                <w:sz w:val="20"/>
                <w:szCs w:val="20"/>
                <w:color w:val="auto"/>
              </w:rPr>
            </w:pPr>
            <w:r>
              <w:rPr>
                <w:rFonts w:ascii="Arial" w:cs="Arial" w:eastAsia="Arial" w:hAnsi="Arial"/>
                <w:sz w:val="14"/>
                <w:szCs w:val="14"/>
                <w:color w:val="0E1020"/>
              </w:rPr>
              <w:t>—</w:t>
            </w:r>
          </w:p>
        </w:tc>
        <w:tc>
          <w:tcPr>
            <w:tcW w:w="1580" w:type="dxa"/>
            <w:vAlign w:val="bottom"/>
            <w:tcBorders>
              <w:bottom w:val="single" w:sz="8" w:color="CFCFD2"/>
            </w:tcBorders>
          </w:tcPr>
          <w:p>
            <w:pPr>
              <w:jc w:val="right"/>
              <w:ind w:right="249"/>
              <w:spacing w:after="0"/>
              <w:rPr>
                <w:sz w:val="20"/>
                <w:szCs w:val="20"/>
                <w:color w:val="auto"/>
              </w:rPr>
            </w:pPr>
            <w:r>
              <w:rPr>
                <w:rFonts w:ascii="Arial" w:cs="Arial" w:eastAsia="Arial" w:hAnsi="Arial"/>
                <w:sz w:val="14"/>
                <w:szCs w:val="14"/>
                <w:color w:val="0E1020"/>
              </w:rPr>
              <w:t>493,620</w:t>
            </w:r>
          </w:p>
        </w:tc>
        <w:tc>
          <w:tcPr>
            <w:tcW w:w="1160" w:type="dxa"/>
            <w:vAlign w:val="bottom"/>
            <w:tcBorders>
              <w:bottom w:val="single" w:sz="8" w:color="CFCFD2"/>
            </w:tcBorders>
          </w:tcPr>
          <w:p>
            <w:pPr>
              <w:jc w:val="right"/>
              <w:ind w:right="149"/>
              <w:spacing w:after="0"/>
              <w:rPr>
                <w:sz w:val="20"/>
                <w:szCs w:val="20"/>
                <w:color w:val="auto"/>
              </w:rPr>
            </w:pPr>
            <w:r>
              <w:rPr>
                <w:rFonts w:ascii="Arial" w:cs="Arial" w:eastAsia="Arial" w:hAnsi="Arial"/>
                <w:sz w:val="14"/>
                <w:szCs w:val="14"/>
                <w:color w:val="0E1020"/>
              </w:rPr>
              <w:t>740,429</w:t>
            </w:r>
          </w:p>
        </w:tc>
      </w:tr>
      <w:tr>
        <w:trPr>
          <w:trHeight w:val="207"/>
        </w:trPr>
        <w:tc>
          <w:tcPr>
            <w:tcW w:w="6960" w:type="dxa"/>
            <w:vAlign w:val="bottom"/>
          </w:tcPr>
          <w:p>
            <w:pPr>
              <w:ind w:left="100"/>
              <w:spacing w:after="0"/>
              <w:rPr>
                <w:sz w:val="20"/>
                <w:szCs w:val="20"/>
                <w:color w:val="auto"/>
              </w:rPr>
            </w:pPr>
            <w:r>
              <w:rPr>
                <w:rFonts w:ascii="Arial" w:cs="Arial" w:eastAsia="Arial" w:hAnsi="Arial"/>
                <w:sz w:val="14"/>
                <w:szCs w:val="14"/>
                <w:color w:val="auto"/>
              </w:rPr>
              <w:t>All current executive officers as a group</w:t>
            </w:r>
          </w:p>
        </w:tc>
        <w:tc>
          <w:tcPr>
            <w:tcW w:w="1540" w:type="dxa"/>
            <w:vAlign w:val="bottom"/>
          </w:tcPr>
          <w:p>
            <w:pPr>
              <w:ind w:left="1340"/>
              <w:spacing w:after="0"/>
              <w:rPr>
                <w:sz w:val="20"/>
                <w:szCs w:val="20"/>
                <w:color w:val="auto"/>
              </w:rPr>
            </w:pPr>
            <w:r>
              <w:rPr>
                <w:rFonts w:ascii="Arial" w:cs="Arial" w:eastAsia="Arial" w:hAnsi="Arial"/>
                <w:sz w:val="14"/>
                <w:szCs w:val="14"/>
                <w:color w:val="0E1020"/>
              </w:rPr>
              <w:t>—</w:t>
            </w:r>
          </w:p>
        </w:tc>
        <w:tc>
          <w:tcPr>
            <w:tcW w:w="1580" w:type="dxa"/>
            <w:vAlign w:val="bottom"/>
          </w:tcPr>
          <w:p>
            <w:pPr>
              <w:jc w:val="right"/>
              <w:ind w:right="249"/>
              <w:spacing w:after="0"/>
              <w:rPr>
                <w:sz w:val="20"/>
                <w:szCs w:val="20"/>
                <w:color w:val="auto"/>
              </w:rPr>
            </w:pPr>
            <w:r>
              <w:rPr>
                <w:rFonts w:ascii="Arial" w:cs="Arial" w:eastAsia="Arial" w:hAnsi="Arial"/>
                <w:sz w:val="14"/>
                <w:szCs w:val="14"/>
                <w:color w:val="0E1020"/>
              </w:rPr>
              <w:t>3,102,476</w:t>
            </w:r>
          </w:p>
        </w:tc>
        <w:tc>
          <w:tcPr>
            <w:tcW w:w="1160" w:type="dxa"/>
            <w:vAlign w:val="bottom"/>
          </w:tcPr>
          <w:p>
            <w:pPr>
              <w:jc w:val="right"/>
              <w:ind w:right="149"/>
              <w:spacing w:after="0"/>
              <w:rPr>
                <w:sz w:val="20"/>
                <w:szCs w:val="20"/>
                <w:color w:val="auto"/>
              </w:rPr>
            </w:pPr>
            <w:r>
              <w:rPr>
                <w:rFonts w:ascii="Arial" w:cs="Arial" w:eastAsia="Arial" w:hAnsi="Arial"/>
                <w:sz w:val="14"/>
                <w:szCs w:val="14"/>
                <w:color w:val="0E1020"/>
              </w:rPr>
              <w:t>6,308,854</w:t>
            </w:r>
          </w:p>
        </w:tc>
      </w:tr>
      <w:tr>
        <w:trPr>
          <w:trHeight w:val="21"/>
        </w:trPr>
        <w:tc>
          <w:tcPr>
            <w:tcW w:w="6960" w:type="dxa"/>
            <w:vAlign w:val="bottom"/>
            <w:tcBorders>
              <w:bottom w:val="single" w:sz="8" w:color="CFCFD2"/>
            </w:tcBorders>
          </w:tcPr>
          <w:p>
            <w:pPr>
              <w:spacing w:after="0" w:line="20" w:lineRule="exact"/>
              <w:rPr>
                <w:sz w:val="1"/>
                <w:szCs w:val="1"/>
                <w:color w:val="auto"/>
              </w:rPr>
            </w:pPr>
          </w:p>
        </w:tc>
        <w:tc>
          <w:tcPr>
            <w:tcW w:w="1540" w:type="dxa"/>
            <w:vAlign w:val="bottom"/>
            <w:tcBorders>
              <w:bottom w:val="single" w:sz="8" w:color="CFCFD2"/>
            </w:tcBorders>
          </w:tcPr>
          <w:p>
            <w:pPr>
              <w:spacing w:after="0" w:line="20" w:lineRule="exact"/>
              <w:rPr>
                <w:sz w:val="1"/>
                <w:szCs w:val="1"/>
                <w:color w:val="auto"/>
              </w:rPr>
            </w:pPr>
          </w:p>
        </w:tc>
        <w:tc>
          <w:tcPr>
            <w:tcW w:w="1580" w:type="dxa"/>
            <w:vAlign w:val="bottom"/>
            <w:tcBorders>
              <w:bottom w:val="single" w:sz="8" w:color="CFCFD2"/>
            </w:tcBorders>
          </w:tcPr>
          <w:p>
            <w:pPr>
              <w:spacing w:after="0" w:line="20" w:lineRule="exact"/>
              <w:rPr>
                <w:sz w:val="1"/>
                <w:szCs w:val="1"/>
                <w:color w:val="auto"/>
              </w:rPr>
            </w:pPr>
          </w:p>
        </w:tc>
        <w:tc>
          <w:tcPr>
            <w:tcW w:w="1160" w:type="dxa"/>
            <w:vAlign w:val="bottom"/>
            <w:tcBorders>
              <w:bottom w:val="single" w:sz="8" w:color="CFCFD2"/>
            </w:tcBorders>
          </w:tcPr>
          <w:p>
            <w:pPr>
              <w:spacing w:after="0" w:line="20" w:lineRule="exact"/>
              <w:rPr>
                <w:sz w:val="1"/>
                <w:szCs w:val="1"/>
                <w:color w:val="auto"/>
              </w:rPr>
            </w:pPr>
          </w:p>
        </w:tc>
      </w:tr>
      <w:tr>
        <w:trPr>
          <w:trHeight w:val="200"/>
        </w:trPr>
        <w:tc>
          <w:tcPr>
            <w:tcW w:w="6960" w:type="dxa"/>
            <w:vAlign w:val="bottom"/>
          </w:tcPr>
          <w:p>
            <w:pPr>
              <w:ind w:left="100"/>
              <w:spacing w:after="0"/>
              <w:rPr>
                <w:sz w:val="20"/>
                <w:szCs w:val="20"/>
                <w:color w:val="auto"/>
              </w:rPr>
            </w:pPr>
            <w:r>
              <w:rPr>
                <w:rFonts w:ascii="Arial" w:cs="Arial" w:eastAsia="Arial" w:hAnsi="Arial"/>
                <w:sz w:val="14"/>
                <w:szCs w:val="14"/>
                <w:color w:val="auto"/>
              </w:rPr>
              <w:t>All current non-employee directors and director nominees as a group</w:t>
            </w:r>
          </w:p>
        </w:tc>
        <w:tc>
          <w:tcPr>
            <w:tcW w:w="1540" w:type="dxa"/>
            <w:vAlign w:val="bottom"/>
          </w:tcPr>
          <w:p>
            <w:pPr>
              <w:ind w:left="1340"/>
              <w:spacing w:after="0"/>
              <w:rPr>
                <w:sz w:val="20"/>
                <w:szCs w:val="20"/>
                <w:color w:val="auto"/>
              </w:rPr>
            </w:pPr>
            <w:r>
              <w:rPr>
                <w:rFonts w:ascii="Arial" w:cs="Arial" w:eastAsia="Arial" w:hAnsi="Arial"/>
                <w:sz w:val="14"/>
                <w:szCs w:val="14"/>
                <w:color w:val="0E1020"/>
              </w:rPr>
              <w:t>—</w:t>
            </w:r>
          </w:p>
        </w:tc>
        <w:tc>
          <w:tcPr>
            <w:tcW w:w="1580" w:type="dxa"/>
            <w:vAlign w:val="bottom"/>
          </w:tcPr>
          <w:p>
            <w:pPr>
              <w:jc w:val="right"/>
              <w:ind w:right="249"/>
              <w:spacing w:after="0"/>
              <w:rPr>
                <w:sz w:val="20"/>
                <w:szCs w:val="20"/>
                <w:color w:val="auto"/>
              </w:rPr>
            </w:pPr>
            <w:r>
              <w:rPr>
                <w:rFonts w:ascii="Arial" w:cs="Arial" w:eastAsia="Arial" w:hAnsi="Arial"/>
                <w:sz w:val="14"/>
                <w:szCs w:val="14"/>
                <w:color w:val="0E1020"/>
              </w:rPr>
              <w:t>559,253</w:t>
            </w:r>
          </w:p>
        </w:tc>
        <w:tc>
          <w:tcPr>
            <w:tcW w:w="1160" w:type="dxa"/>
            <w:vAlign w:val="bottom"/>
          </w:tcPr>
          <w:p>
            <w:pPr>
              <w:jc w:val="right"/>
              <w:ind w:right="149"/>
              <w:spacing w:after="0"/>
              <w:rPr>
                <w:sz w:val="20"/>
                <w:szCs w:val="20"/>
                <w:color w:val="auto"/>
              </w:rPr>
            </w:pPr>
            <w:r>
              <w:rPr>
                <w:rFonts w:ascii="Arial" w:cs="Arial" w:eastAsia="Arial" w:hAnsi="Arial"/>
                <w:sz w:val="14"/>
                <w:szCs w:val="14"/>
                <w:color w:val="0E1020"/>
              </w:rPr>
              <w:t>—</w:t>
            </w:r>
          </w:p>
        </w:tc>
      </w:tr>
      <w:tr>
        <w:trPr>
          <w:trHeight w:val="21"/>
        </w:trPr>
        <w:tc>
          <w:tcPr>
            <w:tcW w:w="6960" w:type="dxa"/>
            <w:vAlign w:val="bottom"/>
            <w:tcBorders>
              <w:bottom w:val="single" w:sz="8" w:color="CFCFD2"/>
            </w:tcBorders>
          </w:tcPr>
          <w:p>
            <w:pPr>
              <w:spacing w:after="0" w:line="20" w:lineRule="exact"/>
              <w:rPr>
                <w:sz w:val="1"/>
                <w:szCs w:val="1"/>
                <w:color w:val="auto"/>
              </w:rPr>
            </w:pPr>
          </w:p>
        </w:tc>
        <w:tc>
          <w:tcPr>
            <w:tcW w:w="1540" w:type="dxa"/>
            <w:vAlign w:val="bottom"/>
            <w:tcBorders>
              <w:bottom w:val="single" w:sz="8" w:color="CFCFD2"/>
            </w:tcBorders>
          </w:tcPr>
          <w:p>
            <w:pPr>
              <w:spacing w:after="0" w:line="20" w:lineRule="exact"/>
              <w:rPr>
                <w:sz w:val="1"/>
                <w:szCs w:val="1"/>
                <w:color w:val="auto"/>
              </w:rPr>
            </w:pPr>
          </w:p>
        </w:tc>
        <w:tc>
          <w:tcPr>
            <w:tcW w:w="1580" w:type="dxa"/>
            <w:vAlign w:val="bottom"/>
            <w:tcBorders>
              <w:bottom w:val="single" w:sz="8" w:color="CFCFD2"/>
            </w:tcBorders>
          </w:tcPr>
          <w:p>
            <w:pPr>
              <w:spacing w:after="0" w:line="20" w:lineRule="exact"/>
              <w:rPr>
                <w:sz w:val="1"/>
                <w:szCs w:val="1"/>
                <w:color w:val="auto"/>
              </w:rPr>
            </w:pPr>
          </w:p>
        </w:tc>
        <w:tc>
          <w:tcPr>
            <w:tcW w:w="1160" w:type="dxa"/>
            <w:vAlign w:val="bottom"/>
            <w:tcBorders>
              <w:bottom w:val="single" w:sz="8" w:color="CFCFD2"/>
            </w:tcBorders>
          </w:tcPr>
          <w:p>
            <w:pPr>
              <w:spacing w:after="0" w:line="20" w:lineRule="exact"/>
              <w:rPr>
                <w:sz w:val="1"/>
                <w:szCs w:val="1"/>
                <w:color w:val="auto"/>
              </w:rPr>
            </w:pPr>
          </w:p>
        </w:tc>
      </w:tr>
      <w:tr>
        <w:trPr>
          <w:trHeight w:val="200"/>
        </w:trPr>
        <w:tc>
          <w:tcPr>
            <w:tcW w:w="6960" w:type="dxa"/>
            <w:vAlign w:val="bottom"/>
          </w:tcPr>
          <w:p>
            <w:pPr>
              <w:ind w:left="100"/>
              <w:spacing w:after="0"/>
              <w:rPr>
                <w:sz w:val="20"/>
                <w:szCs w:val="20"/>
                <w:color w:val="auto"/>
              </w:rPr>
            </w:pPr>
            <w:r>
              <w:rPr>
                <w:rFonts w:ascii="Arial" w:cs="Arial" w:eastAsia="Arial" w:hAnsi="Arial"/>
                <w:sz w:val="14"/>
                <w:szCs w:val="14"/>
                <w:color w:val="auto"/>
              </w:rPr>
              <w:t>Each associate of the above-mentioned executive officers, directors, and director nominees</w:t>
            </w:r>
          </w:p>
        </w:tc>
        <w:tc>
          <w:tcPr>
            <w:tcW w:w="1540" w:type="dxa"/>
            <w:vAlign w:val="bottom"/>
          </w:tcPr>
          <w:p>
            <w:pPr>
              <w:ind w:left="1340"/>
              <w:spacing w:after="0"/>
              <w:rPr>
                <w:sz w:val="20"/>
                <w:szCs w:val="20"/>
                <w:color w:val="auto"/>
              </w:rPr>
            </w:pPr>
            <w:r>
              <w:rPr>
                <w:rFonts w:ascii="Arial" w:cs="Arial" w:eastAsia="Arial" w:hAnsi="Arial"/>
                <w:sz w:val="14"/>
                <w:szCs w:val="14"/>
                <w:color w:val="0E1020"/>
              </w:rPr>
              <w:t>—</w:t>
            </w:r>
          </w:p>
        </w:tc>
        <w:tc>
          <w:tcPr>
            <w:tcW w:w="1580" w:type="dxa"/>
            <w:vAlign w:val="bottom"/>
          </w:tcPr>
          <w:p>
            <w:pPr>
              <w:jc w:val="right"/>
              <w:ind w:right="249"/>
              <w:spacing w:after="0"/>
              <w:rPr>
                <w:sz w:val="20"/>
                <w:szCs w:val="20"/>
                <w:color w:val="auto"/>
              </w:rPr>
            </w:pPr>
            <w:r>
              <w:rPr>
                <w:rFonts w:ascii="Arial" w:cs="Arial" w:eastAsia="Arial" w:hAnsi="Arial"/>
                <w:sz w:val="14"/>
                <w:szCs w:val="14"/>
                <w:color w:val="0E1020"/>
              </w:rPr>
              <w:t>—</w:t>
            </w:r>
          </w:p>
        </w:tc>
        <w:tc>
          <w:tcPr>
            <w:tcW w:w="1160" w:type="dxa"/>
            <w:vAlign w:val="bottom"/>
          </w:tcPr>
          <w:p>
            <w:pPr>
              <w:jc w:val="right"/>
              <w:ind w:right="149"/>
              <w:spacing w:after="0"/>
              <w:rPr>
                <w:sz w:val="20"/>
                <w:szCs w:val="20"/>
                <w:color w:val="auto"/>
              </w:rPr>
            </w:pPr>
            <w:r>
              <w:rPr>
                <w:rFonts w:ascii="Arial" w:cs="Arial" w:eastAsia="Arial" w:hAnsi="Arial"/>
                <w:sz w:val="14"/>
                <w:szCs w:val="14"/>
                <w:color w:val="0E1020"/>
              </w:rPr>
              <w:t>—</w:t>
            </w:r>
          </w:p>
        </w:tc>
      </w:tr>
      <w:tr>
        <w:trPr>
          <w:trHeight w:val="21"/>
        </w:trPr>
        <w:tc>
          <w:tcPr>
            <w:tcW w:w="6960" w:type="dxa"/>
            <w:vAlign w:val="bottom"/>
            <w:tcBorders>
              <w:bottom w:val="single" w:sz="8" w:color="CFCFD2"/>
            </w:tcBorders>
          </w:tcPr>
          <w:p>
            <w:pPr>
              <w:spacing w:after="0" w:line="20" w:lineRule="exact"/>
              <w:rPr>
                <w:sz w:val="1"/>
                <w:szCs w:val="1"/>
                <w:color w:val="auto"/>
              </w:rPr>
            </w:pPr>
          </w:p>
        </w:tc>
        <w:tc>
          <w:tcPr>
            <w:tcW w:w="1540" w:type="dxa"/>
            <w:vAlign w:val="bottom"/>
            <w:tcBorders>
              <w:bottom w:val="single" w:sz="8" w:color="CFCFD2"/>
            </w:tcBorders>
          </w:tcPr>
          <w:p>
            <w:pPr>
              <w:spacing w:after="0" w:line="20" w:lineRule="exact"/>
              <w:rPr>
                <w:sz w:val="1"/>
                <w:szCs w:val="1"/>
                <w:color w:val="auto"/>
              </w:rPr>
            </w:pPr>
          </w:p>
        </w:tc>
        <w:tc>
          <w:tcPr>
            <w:tcW w:w="1580" w:type="dxa"/>
            <w:vAlign w:val="bottom"/>
            <w:tcBorders>
              <w:bottom w:val="single" w:sz="8" w:color="CFCFD2"/>
            </w:tcBorders>
          </w:tcPr>
          <w:p>
            <w:pPr>
              <w:spacing w:after="0" w:line="20" w:lineRule="exact"/>
              <w:rPr>
                <w:sz w:val="1"/>
                <w:szCs w:val="1"/>
                <w:color w:val="auto"/>
              </w:rPr>
            </w:pPr>
          </w:p>
        </w:tc>
        <w:tc>
          <w:tcPr>
            <w:tcW w:w="1160" w:type="dxa"/>
            <w:vAlign w:val="bottom"/>
            <w:tcBorders>
              <w:bottom w:val="single" w:sz="8" w:color="CFCFD2"/>
            </w:tcBorders>
          </w:tcPr>
          <w:p>
            <w:pPr>
              <w:spacing w:after="0" w:line="20" w:lineRule="exact"/>
              <w:rPr>
                <w:sz w:val="1"/>
                <w:szCs w:val="1"/>
                <w:color w:val="auto"/>
              </w:rPr>
            </w:pPr>
          </w:p>
        </w:tc>
      </w:tr>
      <w:tr>
        <w:trPr>
          <w:trHeight w:val="200"/>
        </w:trPr>
        <w:tc>
          <w:tcPr>
            <w:tcW w:w="6960" w:type="dxa"/>
            <w:vAlign w:val="bottom"/>
          </w:tcPr>
          <w:p>
            <w:pPr>
              <w:ind w:left="100"/>
              <w:spacing w:after="0"/>
              <w:rPr>
                <w:sz w:val="20"/>
                <w:szCs w:val="20"/>
                <w:color w:val="auto"/>
              </w:rPr>
            </w:pPr>
            <w:r>
              <w:rPr>
                <w:rFonts w:ascii="Arial" w:cs="Arial" w:eastAsia="Arial" w:hAnsi="Arial"/>
                <w:sz w:val="14"/>
                <w:szCs w:val="14"/>
                <w:color w:val="auto"/>
              </w:rPr>
              <w:t>Each other person who received or is to receive 5% of such options, warrants or rights</w:t>
            </w:r>
          </w:p>
        </w:tc>
        <w:tc>
          <w:tcPr>
            <w:tcW w:w="1540" w:type="dxa"/>
            <w:vAlign w:val="bottom"/>
          </w:tcPr>
          <w:p>
            <w:pPr>
              <w:ind w:left="1340"/>
              <w:spacing w:after="0"/>
              <w:rPr>
                <w:sz w:val="20"/>
                <w:szCs w:val="20"/>
                <w:color w:val="auto"/>
              </w:rPr>
            </w:pPr>
            <w:r>
              <w:rPr>
                <w:rFonts w:ascii="Arial" w:cs="Arial" w:eastAsia="Arial" w:hAnsi="Arial"/>
                <w:sz w:val="14"/>
                <w:szCs w:val="14"/>
                <w:color w:val="0E1020"/>
              </w:rPr>
              <w:t>—</w:t>
            </w:r>
          </w:p>
        </w:tc>
        <w:tc>
          <w:tcPr>
            <w:tcW w:w="1580" w:type="dxa"/>
            <w:vAlign w:val="bottom"/>
          </w:tcPr>
          <w:p>
            <w:pPr>
              <w:jc w:val="right"/>
              <w:ind w:right="249"/>
              <w:spacing w:after="0"/>
              <w:rPr>
                <w:sz w:val="20"/>
                <w:szCs w:val="20"/>
                <w:color w:val="auto"/>
              </w:rPr>
            </w:pPr>
            <w:r>
              <w:rPr>
                <w:rFonts w:ascii="Arial" w:cs="Arial" w:eastAsia="Arial" w:hAnsi="Arial"/>
                <w:sz w:val="14"/>
                <w:szCs w:val="14"/>
                <w:color w:val="0E1020"/>
              </w:rPr>
              <w:t>—</w:t>
            </w:r>
          </w:p>
        </w:tc>
        <w:tc>
          <w:tcPr>
            <w:tcW w:w="1160" w:type="dxa"/>
            <w:vAlign w:val="bottom"/>
          </w:tcPr>
          <w:p>
            <w:pPr>
              <w:jc w:val="right"/>
              <w:ind w:right="149"/>
              <w:spacing w:after="0"/>
              <w:rPr>
                <w:sz w:val="20"/>
                <w:szCs w:val="20"/>
                <w:color w:val="auto"/>
              </w:rPr>
            </w:pPr>
            <w:r>
              <w:rPr>
                <w:rFonts w:ascii="Arial" w:cs="Arial" w:eastAsia="Arial" w:hAnsi="Arial"/>
                <w:sz w:val="14"/>
                <w:szCs w:val="14"/>
                <w:color w:val="0E1020"/>
              </w:rPr>
              <w:t>—</w:t>
            </w:r>
          </w:p>
        </w:tc>
      </w:tr>
      <w:tr>
        <w:trPr>
          <w:trHeight w:val="21"/>
        </w:trPr>
        <w:tc>
          <w:tcPr>
            <w:tcW w:w="6960" w:type="dxa"/>
            <w:vAlign w:val="bottom"/>
            <w:tcBorders>
              <w:bottom w:val="single" w:sz="8" w:color="CFCFD2"/>
            </w:tcBorders>
          </w:tcPr>
          <w:p>
            <w:pPr>
              <w:spacing w:after="0" w:line="20" w:lineRule="exact"/>
              <w:rPr>
                <w:sz w:val="1"/>
                <w:szCs w:val="1"/>
                <w:color w:val="auto"/>
              </w:rPr>
            </w:pPr>
          </w:p>
        </w:tc>
        <w:tc>
          <w:tcPr>
            <w:tcW w:w="1540" w:type="dxa"/>
            <w:vAlign w:val="bottom"/>
            <w:tcBorders>
              <w:bottom w:val="single" w:sz="8" w:color="CFCFD2"/>
            </w:tcBorders>
          </w:tcPr>
          <w:p>
            <w:pPr>
              <w:spacing w:after="0" w:line="20" w:lineRule="exact"/>
              <w:rPr>
                <w:sz w:val="1"/>
                <w:szCs w:val="1"/>
                <w:color w:val="auto"/>
              </w:rPr>
            </w:pPr>
          </w:p>
        </w:tc>
        <w:tc>
          <w:tcPr>
            <w:tcW w:w="1580" w:type="dxa"/>
            <w:vAlign w:val="bottom"/>
            <w:tcBorders>
              <w:bottom w:val="single" w:sz="8" w:color="CFCFD2"/>
            </w:tcBorders>
          </w:tcPr>
          <w:p>
            <w:pPr>
              <w:spacing w:after="0" w:line="20" w:lineRule="exact"/>
              <w:rPr>
                <w:sz w:val="1"/>
                <w:szCs w:val="1"/>
                <w:color w:val="auto"/>
              </w:rPr>
            </w:pPr>
          </w:p>
        </w:tc>
        <w:tc>
          <w:tcPr>
            <w:tcW w:w="1160" w:type="dxa"/>
            <w:vAlign w:val="bottom"/>
            <w:tcBorders>
              <w:bottom w:val="single" w:sz="8" w:color="CFCFD2"/>
            </w:tcBorders>
          </w:tcPr>
          <w:p>
            <w:pPr>
              <w:spacing w:after="0" w:line="20" w:lineRule="exact"/>
              <w:rPr>
                <w:sz w:val="1"/>
                <w:szCs w:val="1"/>
                <w:color w:val="auto"/>
              </w:rPr>
            </w:pPr>
          </w:p>
        </w:tc>
      </w:tr>
      <w:tr>
        <w:trPr>
          <w:trHeight w:val="200"/>
        </w:trPr>
        <w:tc>
          <w:tcPr>
            <w:tcW w:w="6960" w:type="dxa"/>
            <w:vAlign w:val="bottom"/>
          </w:tcPr>
          <w:p>
            <w:pPr>
              <w:ind w:left="100"/>
              <w:spacing w:after="0"/>
              <w:rPr>
                <w:sz w:val="20"/>
                <w:szCs w:val="20"/>
                <w:color w:val="auto"/>
              </w:rPr>
            </w:pPr>
            <w:r>
              <w:rPr>
                <w:rFonts w:ascii="Arial" w:cs="Arial" w:eastAsia="Arial" w:hAnsi="Arial"/>
                <w:sz w:val="14"/>
                <w:szCs w:val="14"/>
                <w:color w:val="auto"/>
              </w:rPr>
              <w:t>All employees as a group (excluding current executive officers)</w:t>
            </w:r>
          </w:p>
        </w:tc>
        <w:tc>
          <w:tcPr>
            <w:tcW w:w="1540" w:type="dxa"/>
            <w:vAlign w:val="bottom"/>
          </w:tcPr>
          <w:p>
            <w:pPr>
              <w:ind w:left="1340"/>
              <w:spacing w:after="0"/>
              <w:rPr>
                <w:sz w:val="20"/>
                <w:szCs w:val="20"/>
                <w:color w:val="auto"/>
              </w:rPr>
            </w:pPr>
            <w:r>
              <w:rPr>
                <w:rFonts w:ascii="Arial" w:cs="Arial" w:eastAsia="Arial" w:hAnsi="Arial"/>
                <w:sz w:val="14"/>
                <w:szCs w:val="14"/>
                <w:color w:val="0E1020"/>
              </w:rPr>
              <w:t>—</w:t>
            </w:r>
          </w:p>
        </w:tc>
        <w:tc>
          <w:tcPr>
            <w:tcW w:w="1580" w:type="dxa"/>
            <w:vAlign w:val="bottom"/>
          </w:tcPr>
          <w:p>
            <w:pPr>
              <w:jc w:val="right"/>
              <w:ind w:right="189"/>
              <w:spacing w:after="0"/>
              <w:rPr>
                <w:sz w:val="20"/>
                <w:szCs w:val="20"/>
                <w:color w:val="auto"/>
              </w:rPr>
            </w:pPr>
            <w:r>
              <w:rPr>
                <w:rFonts w:ascii="Arial" w:cs="Arial" w:eastAsia="Arial" w:hAnsi="Arial"/>
                <w:sz w:val="14"/>
                <w:szCs w:val="14"/>
                <w:color w:val="0E1020"/>
              </w:rPr>
              <w:t>19,960,421</w:t>
            </w:r>
          </w:p>
        </w:tc>
        <w:tc>
          <w:tcPr>
            <w:tcW w:w="1160" w:type="dxa"/>
            <w:vAlign w:val="bottom"/>
          </w:tcPr>
          <w:p>
            <w:pPr>
              <w:jc w:val="right"/>
              <w:ind w:right="89"/>
              <w:spacing w:after="0"/>
              <w:rPr>
                <w:sz w:val="20"/>
                <w:szCs w:val="20"/>
                <w:color w:val="auto"/>
              </w:rPr>
            </w:pPr>
            <w:r>
              <w:rPr>
                <w:rFonts w:ascii="Arial" w:cs="Arial" w:eastAsia="Arial" w:hAnsi="Arial"/>
                <w:sz w:val="14"/>
                <w:szCs w:val="14"/>
                <w:color w:val="0E1020"/>
              </w:rPr>
              <w:t>12,138,712</w:t>
            </w:r>
          </w:p>
        </w:tc>
      </w:tr>
      <w:tr>
        <w:trPr>
          <w:trHeight w:val="21"/>
        </w:trPr>
        <w:tc>
          <w:tcPr>
            <w:tcW w:w="6960" w:type="dxa"/>
            <w:vAlign w:val="bottom"/>
            <w:tcBorders>
              <w:bottom w:val="single" w:sz="8" w:color="CFCFD2"/>
            </w:tcBorders>
          </w:tcPr>
          <w:p>
            <w:pPr>
              <w:spacing w:after="0" w:line="20" w:lineRule="exact"/>
              <w:rPr>
                <w:sz w:val="1"/>
                <w:szCs w:val="1"/>
                <w:color w:val="auto"/>
              </w:rPr>
            </w:pPr>
          </w:p>
        </w:tc>
        <w:tc>
          <w:tcPr>
            <w:tcW w:w="1540" w:type="dxa"/>
            <w:vAlign w:val="bottom"/>
            <w:tcBorders>
              <w:bottom w:val="single" w:sz="8" w:color="CFCFD2"/>
            </w:tcBorders>
          </w:tcPr>
          <w:p>
            <w:pPr>
              <w:spacing w:after="0" w:line="20" w:lineRule="exact"/>
              <w:rPr>
                <w:sz w:val="1"/>
                <w:szCs w:val="1"/>
                <w:color w:val="auto"/>
              </w:rPr>
            </w:pPr>
          </w:p>
        </w:tc>
        <w:tc>
          <w:tcPr>
            <w:tcW w:w="1580" w:type="dxa"/>
            <w:vAlign w:val="bottom"/>
            <w:tcBorders>
              <w:bottom w:val="single" w:sz="8" w:color="CFCFD2"/>
            </w:tcBorders>
          </w:tcPr>
          <w:p>
            <w:pPr>
              <w:spacing w:after="0" w:line="20" w:lineRule="exact"/>
              <w:rPr>
                <w:sz w:val="1"/>
                <w:szCs w:val="1"/>
                <w:color w:val="auto"/>
              </w:rPr>
            </w:pPr>
          </w:p>
        </w:tc>
        <w:tc>
          <w:tcPr>
            <w:tcW w:w="1160" w:type="dxa"/>
            <w:vAlign w:val="bottom"/>
            <w:tcBorders>
              <w:bottom w:val="single" w:sz="8" w:color="CFCFD2"/>
            </w:tcBorders>
          </w:tcPr>
          <w:p>
            <w:pPr>
              <w:spacing w:after="0" w:line="20" w:lineRule="exact"/>
              <w:rPr>
                <w:sz w:val="1"/>
                <w:szCs w:val="1"/>
                <w:color w:val="auto"/>
              </w:rPr>
            </w:pPr>
          </w:p>
        </w:tc>
      </w:tr>
      <w:tr>
        <w:trPr>
          <w:trHeight w:val="200"/>
        </w:trPr>
        <w:tc>
          <w:tcPr>
            <w:tcW w:w="6960" w:type="dxa"/>
            <w:vAlign w:val="bottom"/>
          </w:tcPr>
          <w:p>
            <w:pPr>
              <w:ind w:left="100"/>
              <w:spacing w:after="0"/>
              <w:rPr>
                <w:sz w:val="20"/>
                <w:szCs w:val="20"/>
                <w:color w:val="auto"/>
              </w:rPr>
            </w:pPr>
            <w:r>
              <w:rPr>
                <w:rFonts w:ascii="Arial" w:cs="Arial" w:eastAsia="Arial" w:hAnsi="Arial"/>
                <w:sz w:val="14"/>
                <w:szCs w:val="14"/>
                <w:color w:val="auto"/>
              </w:rPr>
              <w:t>All non-employee directors as a group (excluding current non-employee directors and director nominees)</w:t>
            </w:r>
          </w:p>
        </w:tc>
        <w:tc>
          <w:tcPr>
            <w:tcW w:w="1540" w:type="dxa"/>
            <w:vAlign w:val="bottom"/>
          </w:tcPr>
          <w:p>
            <w:pPr>
              <w:ind w:left="1340"/>
              <w:spacing w:after="0"/>
              <w:rPr>
                <w:sz w:val="20"/>
                <w:szCs w:val="20"/>
                <w:color w:val="auto"/>
              </w:rPr>
            </w:pPr>
            <w:r>
              <w:rPr>
                <w:rFonts w:ascii="Arial" w:cs="Arial" w:eastAsia="Arial" w:hAnsi="Arial"/>
                <w:sz w:val="14"/>
                <w:szCs w:val="14"/>
                <w:color w:val="0E1020"/>
              </w:rPr>
              <w:t>—</w:t>
            </w:r>
          </w:p>
        </w:tc>
        <w:tc>
          <w:tcPr>
            <w:tcW w:w="1580" w:type="dxa"/>
            <w:vAlign w:val="bottom"/>
          </w:tcPr>
          <w:p>
            <w:pPr>
              <w:jc w:val="right"/>
              <w:ind w:right="189"/>
              <w:spacing w:after="0"/>
              <w:rPr>
                <w:sz w:val="20"/>
                <w:szCs w:val="20"/>
                <w:color w:val="auto"/>
              </w:rPr>
            </w:pPr>
            <w:r>
              <w:rPr>
                <w:rFonts w:ascii="Arial" w:cs="Arial" w:eastAsia="Arial" w:hAnsi="Arial"/>
                <w:sz w:val="14"/>
                <w:szCs w:val="14"/>
                <w:color w:val="0E1020"/>
              </w:rPr>
              <w:t>212,897</w:t>
            </w:r>
          </w:p>
        </w:tc>
        <w:tc>
          <w:tcPr>
            <w:tcW w:w="1160" w:type="dxa"/>
            <w:vAlign w:val="bottom"/>
          </w:tcPr>
          <w:p>
            <w:pPr>
              <w:jc w:val="right"/>
              <w:ind w:right="149"/>
              <w:spacing w:after="0"/>
              <w:rPr>
                <w:sz w:val="20"/>
                <w:szCs w:val="20"/>
                <w:color w:val="auto"/>
              </w:rPr>
            </w:pPr>
            <w:r>
              <w:rPr>
                <w:rFonts w:ascii="Arial" w:cs="Arial" w:eastAsia="Arial" w:hAnsi="Arial"/>
                <w:sz w:val="14"/>
                <w:szCs w:val="14"/>
                <w:color w:val="0E1020"/>
              </w:rPr>
              <w:t>—</w:t>
            </w:r>
          </w:p>
        </w:tc>
      </w:tr>
      <w:tr>
        <w:trPr>
          <w:trHeight w:val="21"/>
        </w:trPr>
        <w:tc>
          <w:tcPr>
            <w:tcW w:w="6960" w:type="dxa"/>
            <w:vAlign w:val="bottom"/>
            <w:tcBorders>
              <w:bottom w:val="single" w:sz="8" w:color="CFCFD2"/>
            </w:tcBorders>
          </w:tcPr>
          <w:p>
            <w:pPr>
              <w:spacing w:after="0" w:line="20" w:lineRule="exact"/>
              <w:rPr>
                <w:sz w:val="1"/>
                <w:szCs w:val="1"/>
                <w:color w:val="auto"/>
              </w:rPr>
            </w:pPr>
          </w:p>
        </w:tc>
        <w:tc>
          <w:tcPr>
            <w:tcW w:w="1540" w:type="dxa"/>
            <w:vAlign w:val="bottom"/>
            <w:tcBorders>
              <w:bottom w:val="single" w:sz="8" w:color="CFCFD2"/>
            </w:tcBorders>
          </w:tcPr>
          <w:p>
            <w:pPr>
              <w:spacing w:after="0" w:line="20" w:lineRule="exact"/>
              <w:rPr>
                <w:sz w:val="1"/>
                <w:szCs w:val="1"/>
                <w:color w:val="auto"/>
              </w:rPr>
            </w:pPr>
          </w:p>
        </w:tc>
        <w:tc>
          <w:tcPr>
            <w:tcW w:w="1580" w:type="dxa"/>
            <w:vAlign w:val="bottom"/>
            <w:tcBorders>
              <w:bottom w:val="single" w:sz="8" w:color="CFCFD2"/>
            </w:tcBorders>
          </w:tcPr>
          <w:p>
            <w:pPr>
              <w:spacing w:after="0" w:line="20" w:lineRule="exact"/>
              <w:rPr>
                <w:sz w:val="1"/>
                <w:szCs w:val="1"/>
                <w:color w:val="auto"/>
              </w:rPr>
            </w:pPr>
          </w:p>
        </w:tc>
        <w:tc>
          <w:tcPr>
            <w:tcW w:w="1160" w:type="dxa"/>
            <w:vAlign w:val="bottom"/>
            <w:tcBorders>
              <w:bottom w:val="single" w:sz="8" w:color="CFCFD2"/>
            </w:tcBorders>
          </w:tcPr>
          <w:p>
            <w:pPr>
              <w:spacing w:after="0" w:line="20" w:lineRule="exact"/>
              <w:rPr>
                <w:sz w:val="1"/>
                <w:szCs w:val="1"/>
                <w:color w:val="auto"/>
              </w:rPr>
            </w:pPr>
          </w:p>
        </w:tc>
      </w:tr>
    </w:tbl>
    <w:p>
      <w:pPr>
        <w:spacing w:after="0" w:line="267" w:lineRule="exact"/>
        <w:rPr>
          <w:sz w:val="20"/>
          <w:szCs w:val="20"/>
          <w:color w:val="auto"/>
        </w:rPr>
      </w:pPr>
    </w:p>
    <w:p>
      <w:pPr>
        <w:ind w:left="320" w:right="100" w:hanging="313"/>
        <w:spacing w:after="0" w:line="316" w:lineRule="auto"/>
        <w:tabs>
          <w:tab w:leader="none" w:pos="296" w:val="left"/>
        </w:tabs>
        <w:numPr>
          <w:ilvl w:val="0"/>
          <w:numId w:val="23"/>
        </w:numPr>
        <w:rPr>
          <w:rFonts w:ascii="Arial" w:cs="Arial" w:eastAsia="Arial" w:hAnsi="Arial"/>
          <w:sz w:val="16"/>
          <w:szCs w:val="16"/>
          <w:b w:val="1"/>
          <w:bCs w:val="1"/>
          <w:color w:val="0E1020"/>
        </w:rPr>
      </w:pPr>
      <w:r>
        <w:rPr>
          <w:rFonts w:ascii="Arial" w:cs="Arial" w:eastAsia="Arial" w:hAnsi="Arial"/>
          <w:sz w:val="16"/>
          <w:szCs w:val="16"/>
          <w:b w:val="1"/>
          <w:bCs w:val="1"/>
          <w:color w:val="0E1020"/>
        </w:rPr>
        <w:t xml:space="preserve">Mr. Fernandez’s Awards. </w:t>
      </w:r>
      <w:r>
        <w:rPr>
          <w:rFonts w:ascii="Arial" w:cs="Arial" w:eastAsia="Arial" w:hAnsi="Arial"/>
          <w:sz w:val="16"/>
          <w:szCs w:val="16"/>
          <w:color w:val="0E1020"/>
        </w:rPr>
        <w:t>For Mr. Fernandez, includes all awards granted to him during his current employment with DXC as both Interim President and</w:t>
      </w:r>
      <w:r>
        <w:rPr>
          <w:rFonts w:ascii="Arial" w:cs="Arial" w:eastAsia="Arial" w:hAnsi="Arial"/>
          <w:sz w:val="16"/>
          <w:szCs w:val="16"/>
          <w:b w:val="1"/>
          <w:bCs w:val="1"/>
          <w:color w:val="0E1020"/>
        </w:rPr>
        <w:t xml:space="preserve"> </w:t>
      </w:r>
      <w:r>
        <w:rPr>
          <w:rFonts w:ascii="Arial" w:cs="Arial" w:eastAsia="Arial" w:hAnsi="Arial"/>
          <w:sz w:val="16"/>
          <w:szCs w:val="16"/>
          <w:color w:val="0E1020"/>
        </w:rPr>
        <w:t>CEO from December 18, 2023 through January 31, 2024 and now full-time President and CEO since February 1, 2024, as well as his service as a non-employee director from August 13, 2020 through December 17, 2023.</w:t>
      </w:r>
    </w:p>
    <w:p>
      <w:pPr>
        <w:spacing w:after="0" w:line="37" w:lineRule="exact"/>
        <w:rPr>
          <w:rFonts w:ascii="Arial" w:cs="Arial" w:eastAsia="Arial" w:hAnsi="Arial"/>
          <w:sz w:val="16"/>
          <w:szCs w:val="16"/>
          <w:b w:val="1"/>
          <w:bCs w:val="1"/>
          <w:color w:val="0E1020"/>
        </w:rPr>
      </w:pPr>
    </w:p>
    <w:p>
      <w:pPr>
        <w:ind w:left="320" w:right="260" w:hanging="313"/>
        <w:spacing w:after="0" w:line="335" w:lineRule="auto"/>
        <w:tabs>
          <w:tab w:leader="none" w:pos="296" w:val="left"/>
        </w:tabs>
        <w:numPr>
          <w:ilvl w:val="0"/>
          <w:numId w:val="23"/>
        </w:numPr>
        <w:rPr>
          <w:rFonts w:ascii="Arial" w:cs="Arial" w:eastAsia="Arial" w:hAnsi="Arial"/>
          <w:sz w:val="16"/>
          <w:szCs w:val="16"/>
          <w:b w:val="1"/>
          <w:bCs w:val="1"/>
          <w:color w:val="0E1020"/>
        </w:rPr>
      </w:pPr>
      <w:r>
        <w:rPr>
          <w:rFonts w:ascii="Arial" w:cs="Arial" w:eastAsia="Arial" w:hAnsi="Arial"/>
          <w:sz w:val="16"/>
          <w:szCs w:val="16"/>
          <w:b w:val="1"/>
          <w:bCs w:val="1"/>
          <w:color w:val="0E1020"/>
        </w:rPr>
        <w:t xml:space="preserve">Registration with the SEC. </w:t>
      </w:r>
      <w:r>
        <w:rPr>
          <w:rFonts w:ascii="Arial" w:cs="Arial" w:eastAsia="Arial" w:hAnsi="Arial"/>
          <w:sz w:val="16"/>
          <w:szCs w:val="16"/>
          <w:color w:val="0E1020"/>
        </w:rPr>
        <w:t>We intend to file with the SEC a registration statement on Form S-8 covering the new shares reserved for issuance under</w:t>
      </w:r>
      <w:r>
        <w:rPr>
          <w:rFonts w:ascii="Arial" w:cs="Arial" w:eastAsia="Arial" w:hAnsi="Arial"/>
          <w:sz w:val="16"/>
          <w:szCs w:val="16"/>
          <w:b w:val="1"/>
          <w:bCs w:val="1"/>
          <w:color w:val="0E1020"/>
        </w:rPr>
        <w:t xml:space="preserve"> </w:t>
      </w:r>
      <w:r>
        <w:rPr>
          <w:rFonts w:ascii="Arial" w:cs="Arial" w:eastAsia="Arial" w:hAnsi="Arial"/>
          <w:sz w:val="16"/>
          <w:szCs w:val="16"/>
          <w:color w:val="0E1020"/>
        </w:rPr>
        <w:t>both the 2017 OIP and 2017 DIP.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28</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36" w:name="page37"/>
    <w:bookmarkEnd w:id="36"/>
    <w:p>
      <w:pPr>
        <w:ind w:left="20"/>
        <w:spacing w:after="0"/>
        <w:tabs>
          <w:tab w:leader="none" w:pos="1052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0E1020"/>
        </w:rPr>
        <w:t>Proposal 4</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Equity Compensation Plan Information</w:t>
      </w:r>
    </w:p>
    <w:p>
      <w:pPr>
        <w:spacing w:after="0" w:line="148" w:lineRule="exact"/>
        <w:rPr>
          <w:sz w:val="20"/>
          <w:szCs w:val="20"/>
          <w:color w:val="auto"/>
        </w:rPr>
      </w:pPr>
    </w:p>
    <w:p>
      <w:pPr>
        <w:ind w:right="100"/>
        <w:spacing w:after="0" w:line="316" w:lineRule="auto"/>
        <w:rPr>
          <w:sz w:val="20"/>
          <w:szCs w:val="20"/>
          <w:color w:val="auto"/>
        </w:rPr>
      </w:pPr>
      <w:r>
        <w:rPr>
          <w:rFonts w:ascii="Arial" w:cs="Arial" w:eastAsia="Arial" w:hAnsi="Arial"/>
          <w:sz w:val="16"/>
          <w:szCs w:val="16"/>
          <w:color w:val="0E1020"/>
        </w:rPr>
        <w:t>Information as of March 31, 2026 regarding equity compensation plans approved and not approved by stockholders is summarized in the following table (shares of common stock in millions). See Note 16—“Stock Incentive Plans” of the Annual Report on Form 10-K for the fiscal year which ended on March 31, 2026 for information regarding the material features of these plans.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20" w:type="dxa"/>
            <w:vAlign w:val="bottom"/>
            <w:shd w:val="clear" w:color="auto" w:fill="F6F3F0"/>
          </w:tcPr>
          <w:p>
            <w:pPr>
              <w:spacing w:after="0"/>
              <w:rPr>
                <w:sz w:val="21"/>
                <w:szCs w:val="21"/>
                <w:color w:val="auto"/>
              </w:rPr>
            </w:pPr>
          </w:p>
        </w:tc>
        <w:tc>
          <w:tcPr>
            <w:tcW w:w="1140" w:type="dxa"/>
            <w:vAlign w:val="bottom"/>
            <w:shd w:val="clear" w:color="auto" w:fill="F6F3F0"/>
          </w:tcPr>
          <w:p>
            <w:pPr>
              <w:spacing w:after="0"/>
              <w:rPr>
                <w:sz w:val="21"/>
                <w:szCs w:val="21"/>
                <w:color w:val="auto"/>
              </w:rPr>
            </w:pPr>
          </w:p>
        </w:tc>
        <w:tc>
          <w:tcPr>
            <w:tcW w:w="13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(A)</w:t>
            </w:r>
          </w:p>
        </w:tc>
        <w:tc>
          <w:tcPr>
            <w:tcW w:w="1620" w:type="dxa"/>
            <w:vAlign w:val="bottom"/>
            <w:shd w:val="clear" w:color="auto" w:fill="F6F3F0"/>
          </w:tcPr>
          <w:p>
            <w:pPr>
              <w:spacing w:after="0"/>
              <w:rPr>
                <w:sz w:val="21"/>
                <w:szCs w:val="21"/>
                <w:color w:val="auto"/>
              </w:rPr>
            </w:pPr>
          </w:p>
        </w:tc>
        <w:tc>
          <w:tcPr>
            <w:tcW w:w="2220" w:type="dxa"/>
            <w:vAlign w:val="bottom"/>
            <w:vMerge w:val="restart"/>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(C)</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4720" w:type="dxa"/>
            <w:vAlign w:val="bottom"/>
            <w:shd w:val="clear" w:color="auto" w:fill="F6F3F0"/>
          </w:tcPr>
          <w:p>
            <w:pPr>
              <w:spacing w:after="0"/>
              <w:rPr>
                <w:sz w:val="13"/>
                <w:szCs w:val="13"/>
                <w:color w:val="auto"/>
              </w:rPr>
            </w:pPr>
          </w:p>
        </w:tc>
        <w:tc>
          <w:tcPr>
            <w:tcW w:w="1140" w:type="dxa"/>
            <w:vAlign w:val="bottom"/>
            <w:shd w:val="clear" w:color="auto" w:fill="F6F3F0"/>
          </w:tcPr>
          <w:p>
            <w:pPr>
              <w:spacing w:after="0"/>
              <w:rPr>
                <w:sz w:val="13"/>
                <w:szCs w:val="13"/>
                <w:color w:val="auto"/>
              </w:rPr>
            </w:pPr>
          </w:p>
        </w:tc>
        <w:tc>
          <w:tcPr>
            <w:tcW w:w="13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Number of Shares</w:t>
            </w:r>
          </w:p>
        </w:tc>
        <w:tc>
          <w:tcPr>
            <w:tcW w:w="1620" w:type="dxa"/>
            <w:vAlign w:val="bottom"/>
            <w:shd w:val="clear" w:color="auto" w:fill="F6F3F0"/>
          </w:tcPr>
          <w:p>
            <w:pPr>
              <w:spacing w:after="0"/>
              <w:rPr>
                <w:sz w:val="13"/>
                <w:szCs w:val="13"/>
                <w:color w:val="auto"/>
              </w:rPr>
            </w:pPr>
          </w:p>
        </w:tc>
        <w:tc>
          <w:tcPr>
            <w:tcW w:w="2220" w:type="dxa"/>
            <w:vAlign w:val="bottom"/>
            <w:vMerge w:val="continue"/>
            <w:shd w:val="clear" w:color="auto" w:fill="F6F3F0"/>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720" w:type="dxa"/>
            <w:vAlign w:val="bottom"/>
            <w:shd w:val="clear" w:color="auto" w:fill="F6F3F0"/>
          </w:tcPr>
          <w:p>
            <w:pPr>
              <w:spacing w:after="0"/>
              <w:rPr>
                <w:sz w:val="15"/>
                <w:szCs w:val="15"/>
                <w:color w:val="auto"/>
              </w:rPr>
            </w:pPr>
          </w:p>
        </w:tc>
        <w:tc>
          <w:tcPr>
            <w:tcW w:w="1140" w:type="dxa"/>
            <w:vAlign w:val="bottom"/>
            <w:shd w:val="clear" w:color="auto" w:fill="F6F3F0"/>
          </w:tcPr>
          <w:p>
            <w:pPr>
              <w:spacing w:after="0"/>
              <w:rPr>
                <w:sz w:val="15"/>
                <w:szCs w:val="15"/>
                <w:color w:val="auto"/>
              </w:rPr>
            </w:pPr>
          </w:p>
        </w:tc>
        <w:tc>
          <w:tcPr>
            <w:tcW w:w="13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to Be Issued Upon</w:t>
            </w:r>
          </w:p>
        </w:tc>
        <w:tc>
          <w:tcPr>
            <w:tcW w:w="3840" w:type="dxa"/>
            <w:vAlign w:val="bottom"/>
            <w:gridSpan w:val="2"/>
            <w:shd w:val="clear" w:color="auto" w:fill="F6F3F0"/>
          </w:tcPr>
          <w:p>
            <w:pPr>
              <w:jc w:val="right"/>
              <w:ind w:right="129"/>
              <w:spacing w:after="0"/>
              <w:rPr>
                <w:sz w:val="20"/>
                <w:szCs w:val="20"/>
                <w:color w:val="auto"/>
              </w:rPr>
            </w:pPr>
            <w:r>
              <w:rPr>
                <w:rFonts w:ascii="Arial" w:cs="Arial" w:eastAsia="Arial" w:hAnsi="Arial"/>
                <w:sz w:val="14"/>
                <w:szCs w:val="14"/>
                <w:b w:val="1"/>
                <w:bCs w:val="1"/>
                <w:color w:val="0E1020"/>
              </w:rPr>
              <w:t>(B) Number of Shares Remaining</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720" w:type="dxa"/>
            <w:vAlign w:val="bottom"/>
            <w:shd w:val="clear" w:color="auto" w:fill="F6F3F0"/>
          </w:tcPr>
          <w:p>
            <w:pPr>
              <w:spacing w:after="0"/>
              <w:rPr>
                <w:sz w:val="15"/>
                <w:szCs w:val="15"/>
                <w:color w:val="auto"/>
              </w:rPr>
            </w:pPr>
          </w:p>
        </w:tc>
        <w:tc>
          <w:tcPr>
            <w:tcW w:w="1140" w:type="dxa"/>
            <w:vAlign w:val="bottom"/>
            <w:shd w:val="clear" w:color="auto" w:fill="F6F3F0"/>
          </w:tcPr>
          <w:p>
            <w:pPr>
              <w:spacing w:after="0"/>
              <w:rPr>
                <w:sz w:val="15"/>
                <w:szCs w:val="15"/>
                <w:color w:val="auto"/>
              </w:rPr>
            </w:pPr>
          </w:p>
        </w:tc>
        <w:tc>
          <w:tcPr>
            <w:tcW w:w="13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Exercise of</w:t>
            </w:r>
          </w:p>
        </w:tc>
        <w:tc>
          <w:tcPr>
            <w:tcW w:w="1620" w:type="dxa"/>
            <w:vAlign w:val="bottom"/>
            <w:shd w:val="clear" w:color="auto" w:fill="F6F3F0"/>
          </w:tcPr>
          <w:p>
            <w:pPr>
              <w:jc w:val="right"/>
              <w:ind w:right="9"/>
              <w:spacing w:after="0"/>
              <w:rPr>
                <w:sz w:val="20"/>
                <w:szCs w:val="20"/>
                <w:color w:val="auto"/>
              </w:rPr>
            </w:pPr>
            <w:r>
              <w:rPr>
                <w:rFonts w:ascii="Arial" w:cs="Arial" w:eastAsia="Arial" w:hAnsi="Arial"/>
                <w:sz w:val="14"/>
                <w:szCs w:val="14"/>
                <w:b w:val="1"/>
                <w:bCs w:val="1"/>
                <w:color w:val="0E1020"/>
              </w:rPr>
              <w:t>Weighted Average</w:t>
            </w:r>
          </w:p>
        </w:tc>
        <w:tc>
          <w:tcPr>
            <w:tcW w:w="2220" w:type="dxa"/>
            <w:vAlign w:val="bottom"/>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Available for Future Issuance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720" w:type="dxa"/>
            <w:vAlign w:val="bottom"/>
            <w:shd w:val="clear" w:color="auto" w:fill="F6F3F0"/>
          </w:tcPr>
          <w:p>
            <w:pPr>
              <w:spacing w:after="0"/>
              <w:rPr>
                <w:sz w:val="15"/>
                <w:szCs w:val="15"/>
                <w:color w:val="auto"/>
              </w:rPr>
            </w:pPr>
          </w:p>
        </w:tc>
        <w:tc>
          <w:tcPr>
            <w:tcW w:w="1140" w:type="dxa"/>
            <w:vAlign w:val="bottom"/>
            <w:shd w:val="clear" w:color="auto" w:fill="F6F3F0"/>
          </w:tcPr>
          <w:p>
            <w:pPr>
              <w:spacing w:after="0"/>
              <w:rPr>
                <w:sz w:val="15"/>
                <w:szCs w:val="15"/>
                <w:color w:val="auto"/>
              </w:rPr>
            </w:pPr>
          </w:p>
        </w:tc>
        <w:tc>
          <w:tcPr>
            <w:tcW w:w="13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Outstanding</w:t>
            </w:r>
          </w:p>
        </w:tc>
        <w:tc>
          <w:tcPr>
            <w:tcW w:w="1620" w:type="dxa"/>
            <w:vAlign w:val="bottom"/>
            <w:shd w:val="clear" w:color="auto" w:fill="F6F3F0"/>
          </w:tcPr>
          <w:p>
            <w:pPr>
              <w:jc w:val="right"/>
              <w:ind w:right="9"/>
              <w:spacing w:after="0"/>
              <w:rPr>
                <w:sz w:val="20"/>
                <w:szCs w:val="20"/>
                <w:color w:val="auto"/>
              </w:rPr>
            </w:pPr>
            <w:r>
              <w:rPr>
                <w:rFonts w:ascii="Arial" w:cs="Arial" w:eastAsia="Arial" w:hAnsi="Arial"/>
                <w:sz w:val="14"/>
                <w:szCs w:val="14"/>
                <w:b w:val="1"/>
                <w:bCs w:val="1"/>
                <w:color w:val="0E1020"/>
              </w:rPr>
              <w:t>Exercise Price of</w:t>
            </w:r>
          </w:p>
        </w:tc>
        <w:tc>
          <w:tcPr>
            <w:tcW w:w="2220" w:type="dxa"/>
            <w:vAlign w:val="bottom"/>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under Equity Incentive Plans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720" w:type="dxa"/>
            <w:vAlign w:val="bottom"/>
            <w:shd w:val="clear" w:color="auto" w:fill="F6F3F0"/>
          </w:tcPr>
          <w:p>
            <w:pPr>
              <w:spacing w:after="0"/>
              <w:rPr>
                <w:sz w:val="13"/>
                <w:szCs w:val="13"/>
                <w:color w:val="auto"/>
              </w:rPr>
            </w:pPr>
          </w:p>
        </w:tc>
        <w:tc>
          <w:tcPr>
            <w:tcW w:w="1140" w:type="dxa"/>
            <w:vAlign w:val="bottom"/>
            <w:shd w:val="clear" w:color="auto" w:fill="F6F3F0"/>
          </w:tcPr>
          <w:p>
            <w:pPr>
              <w:spacing w:after="0"/>
              <w:rPr>
                <w:sz w:val="13"/>
                <w:szCs w:val="13"/>
                <w:color w:val="auto"/>
              </w:rPr>
            </w:pPr>
          </w:p>
        </w:tc>
        <w:tc>
          <w:tcPr>
            <w:tcW w:w="13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Options, Warrants</w:t>
            </w:r>
          </w:p>
        </w:tc>
        <w:tc>
          <w:tcPr>
            <w:tcW w:w="3840" w:type="dxa"/>
            <w:vAlign w:val="bottom"/>
            <w:gridSpan w:val="2"/>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Outstanding Options, (Excluding Shares Reflected in</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720" w:type="dxa"/>
            <w:vAlign w:val="bottom"/>
            <w:shd w:val="clear" w:color="auto" w:fill="F6F3F0"/>
          </w:tcPr>
          <w:p>
            <w:pPr>
              <w:spacing w:after="0"/>
              <w:rPr>
                <w:sz w:val="15"/>
                <w:szCs w:val="15"/>
                <w:color w:val="auto"/>
              </w:rPr>
            </w:pPr>
          </w:p>
        </w:tc>
        <w:tc>
          <w:tcPr>
            <w:tcW w:w="1140" w:type="dxa"/>
            <w:vAlign w:val="bottom"/>
            <w:shd w:val="clear" w:color="auto" w:fill="F6F3F0"/>
          </w:tcPr>
          <w:p>
            <w:pPr>
              <w:spacing w:after="0"/>
              <w:rPr>
                <w:sz w:val="15"/>
                <w:szCs w:val="15"/>
                <w:color w:val="auto"/>
              </w:rPr>
            </w:pPr>
          </w:p>
        </w:tc>
        <w:tc>
          <w:tcPr>
            <w:tcW w:w="13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and Rights</w:t>
            </w:r>
          </w:p>
        </w:tc>
        <w:tc>
          <w:tcPr>
            <w:tcW w:w="1620" w:type="dxa"/>
            <w:vAlign w:val="bottom"/>
            <w:shd w:val="clear" w:color="auto" w:fill="F6F3F0"/>
          </w:tcPr>
          <w:p>
            <w:pPr>
              <w:jc w:val="right"/>
              <w:ind w:right="9"/>
              <w:spacing w:after="0"/>
              <w:rPr>
                <w:sz w:val="20"/>
                <w:szCs w:val="20"/>
                <w:color w:val="auto"/>
              </w:rPr>
            </w:pPr>
            <w:r>
              <w:rPr>
                <w:rFonts w:ascii="Arial" w:cs="Arial" w:eastAsia="Arial" w:hAnsi="Arial"/>
                <w:sz w:val="14"/>
                <w:szCs w:val="14"/>
                <w:b w:val="1"/>
                <w:bCs w:val="1"/>
                <w:color w:val="0E1020"/>
              </w:rPr>
              <w:t>Warrants and Rights</w:t>
            </w:r>
          </w:p>
        </w:tc>
        <w:tc>
          <w:tcPr>
            <w:tcW w:w="2220" w:type="dxa"/>
            <w:vAlign w:val="bottom"/>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Column A)</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4720" w:type="dxa"/>
            <w:vAlign w:val="bottom"/>
            <w:tcBorders>
              <w:bottom w:val="single" w:sz="8" w:color="F6F3F0"/>
            </w:tcBorders>
            <w:shd w:val="clear" w:color="auto" w:fill="F6F3F0"/>
          </w:tcPr>
          <w:p>
            <w:pPr>
              <w:ind w:left="100"/>
              <w:spacing w:after="0"/>
              <w:rPr>
                <w:sz w:val="20"/>
                <w:szCs w:val="20"/>
                <w:color w:val="auto"/>
              </w:rPr>
            </w:pPr>
            <w:r>
              <w:rPr>
                <w:rFonts w:ascii="Arial" w:cs="Arial" w:eastAsia="Arial" w:hAnsi="Arial"/>
                <w:sz w:val="14"/>
                <w:szCs w:val="14"/>
                <w:b w:val="1"/>
                <w:bCs w:val="1"/>
                <w:color w:val="0E1020"/>
              </w:rPr>
              <w:t>Plan Category</w:t>
            </w:r>
          </w:p>
        </w:tc>
        <w:tc>
          <w:tcPr>
            <w:tcW w:w="1140" w:type="dxa"/>
            <w:vAlign w:val="bottom"/>
            <w:tcBorders>
              <w:bottom w:val="single" w:sz="8" w:color="F6F3F0"/>
            </w:tcBorders>
            <w:shd w:val="clear" w:color="auto" w:fill="F6F3F0"/>
          </w:tcPr>
          <w:p>
            <w:pPr>
              <w:spacing w:after="0"/>
              <w:rPr>
                <w:sz w:val="22"/>
                <w:szCs w:val="22"/>
                <w:color w:val="auto"/>
              </w:rPr>
            </w:pPr>
          </w:p>
        </w:tc>
        <w:tc>
          <w:tcPr>
            <w:tcW w:w="138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1620" w:type="dxa"/>
            <w:vAlign w:val="bottom"/>
            <w:tcBorders>
              <w:bottom w:val="single" w:sz="8" w:color="F6F3F0"/>
            </w:tcBorders>
            <w:shd w:val="clear" w:color="auto" w:fill="F6F3F0"/>
          </w:tcPr>
          <w:p>
            <w:pPr>
              <w:jc w:val="right"/>
              <w:ind w:right="9"/>
              <w:spacing w:after="0"/>
              <w:rPr>
                <w:sz w:val="20"/>
                <w:szCs w:val="20"/>
                <w:color w:val="auto"/>
              </w:rPr>
            </w:pPr>
            <w:r>
              <w:rPr>
                <w:rFonts w:ascii="Arial" w:cs="Arial" w:eastAsia="Arial" w:hAnsi="Arial"/>
                <w:sz w:val="14"/>
                <w:szCs w:val="14"/>
                <w:b w:val="1"/>
                <w:bCs w:val="1"/>
                <w:color w:val="0E1020"/>
              </w:rPr>
              <w:t>($)</w:t>
            </w:r>
          </w:p>
        </w:tc>
        <w:tc>
          <w:tcPr>
            <w:tcW w:w="2220" w:type="dxa"/>
            <w:vAlign w:val="bottom"/>
            <w:tcBorders>
              <w:bottom w:val="single" w:sz="8" w:color="F6F3F0"/>
            </w:tcBorders>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4720" w:type="dxa"/>
            <w:vAlign w:val="bottom"/>
            <w:tcBorders>
              <w:top w:val="single" w:sz="8" w:color="CFCFD2"/>
            </w:tcBorders>
          </w:tcPr>
          <w:p>
            <w:pPr>
              <w:ind w:left="100"/>
              <w:spacing w:after="0"/>
              <w:rPr>
                <w:sz w:val="20"/>
                <w:szCs w:val="20"/>
                <w:color w:val="auto"/>
              </w:rPr>
            </w:pPr>
            <w:r>
              <w:rPr>
                <w:rFonts w:ascii="Arial" w:cs="Arial" w:eastAsia="Arial" w:hAnsi="Arial"/>
                <w:sz w:val="14"/>
                <w:szCs w:val="14"/>
                <w:color w:val="auto"/>
              </w:rPr>
              <w:t>Equity compensation plans approved by security holders</w:t>
            </w:r>
          </w:p>
        </w:tc>
        <w:tc>
          <w:tcPr>
            <w:tcW w:w="2520" w:type="dxa"/>
            <w:vAlign w:val="bottom"/>
            <w:tcBorders>
              <w:top w:val="single" w:sz="8" w:color="CFCFD2"/>
            </w:tcBorders>
            <w:gridSpan w:val="2"/>
          </w:tcPr>
          <w:p>
            <w:pPr>
              <w:jc w:val="right"/>
              <w:spacing w:after="0"/>
              <w:rPr>
                <w:sz w:val="20"/>
                <w:szCs w:val="20"/>
                <w:color w:val="auto"/>
              </w:rPr>
            </w:pPr>
            <w:r>
              <w:rPr>
                <w:rFonts w:ascii="Arial" w:cs="Arial" w:eastAsia="Arial" w:hAnsi="Arial"/>
                <w:sz w:val="14"/>
                <w:szCs w:val="14"/>
                <w:color w:val="0E1020"/>
              </w:rPr>
              <w:t>13,963,103</w:t>
            </w:r>
          </w:p>
        </w:tc>
        <w:tc>
          <w:tcPr>
            <w:tcW w:w="1620" w:type="dxa"/>
            <w:vAlign w:val="bottom"/>
            <w:tcBorders>
              <w:top w:val="single" w:sz="8" w:color="CFCFD2"/>
            </w:tcBorders>
          </w:tcPr>
          <w:p>
            <w:pPr>
              <w:jc w:val="right"/>
              <w:ind w:right="49"/>
              <w:spacing w:after="0"/>
              <w:rPr>
                <w:sz w:val="20"/>
                <w:szCs w:val="20"/>
                <w:color w:val="auto"/>
              </w:rPr>
            </w:pPr>
            <w:r>
              <w:rPr>
                <w:rFonts w:ascii="Arial" w:cs="Arial" w:eastAsia="Arial" w:hAnsi="Arial"/>
                <w:sz w:val="14"/>
                <w:szCs w:val="14"/>
                <w:color w:val="0E1020"/>
              </w:rPr>
              <w:t>0.87</w:t>
            </w:r>
          </w:p>
        </w:tc>
        <w:tc>
          <w:tcPr>
            <w:tcW w:w="2220" w:type="dxa"/>
            <w:vAlign w:val="bottom"/>
            <w:tcBorders>
              <w:top w:val="single" w:sz="8" w:color="CFCFD2"/>
            </w:tcBorders>
          </w:tcPr>
          <w:p>
            <w:pPr>
              <w:jc w:val="right"/>
              <w:ind w:right="149"/>
              <w:spacing w:after="0"/>
              <w:rPr>
                <w:sz w:val="20"/>
                <w:szCs w:val="20"/>
                <w:color w:val="auto"/>
              </w:rPr>
            </w:pPr>
            <w:r>
              <w:rPr>
                <w:rFonts w:ascii="Arial" w:cs="Arial" w:eastAsia="Arial" w:hAnsi="Arial"/>
                <w:sz w:val="14"/>
                <w:szCs w:val="14"/>
                <w:color w:val="0E1020"/>
              </w:rPr>
              <w:t>14,160,031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720" w:type="dxa"/>
            <w:vAlign w:val="bottom"/>
            <w:tcBorders>
              <w:bottom w:val="single" w:sz="8" w:color="CFCFD2"/>
            </w:tcBorders>
          </w:tcPr>
          <w:p>
            <w:pPr>
              <w:spacing w:after="0" w:line="20" w:lineRule="exact"/>
              <w:rPr>
                <w:sz w:val="1"/>
                <w:szCs w:val="1"/>
                <w:color w:val="auto"/>
              </w:rPr>
            </w:pPr>
          </w:p>
        </w:tc>
        <w:tc>
          <w:tcPr>
            <w:tcW w:w="1140" w:type="dxa"/>
            <w:vAlign w:val="bottom"/>
            <w:tcBorders>
              <w:bottom w:val="single" w:sz="8" w:color="CFCFD2"/>
            </w:tcBorders>
          </w:tcPr>
          <w:p>
            <w:pPr>
              <w:spacing w:after="0" w:line="20" w:lineRule="exact"/>
              <w:rPr>
                <w:sz w:val="1"/>
                <w:szCs w:val="1"/>
                <w:color w:val="auto"/>
              </w:rPr>
            </w:pPr>
          </w:p>
        </w:tc>
        <w:tc>
          <w:tcPr>
            <w:tcW w:w="1380" w:type="dxa"/>
            <w:vAlign w:val="bottom"/>
            <w:tcBorders>
              <w:bottom w:val="single" w:sz="8" w:color="CFCFD2"/>
            </w:tcBorders>
          </w:tcPr>
          <w:p>
            <w:pPr>
              <w:spacing w:after="0" w:line="20" w:lineRule="exact"/>
              <w:rPr>
                <w:sz w:val="1"/>
                <w:szCs w:val="1"/>
                <w:color w:val="auto"/>
              </w:rPr>
            </w:pPr>
          </w:p>
        </w:tc>
        <w:tc>
          <w:tcPr>
            <w:tcW w:w="1620" w:type="dxa"/>
            <w:vAlign w:val="bottom"/>
            <w:tcBorders>
              <w:bottom w:val="single" w:sz="8" w:color="CFCFD2"/>
            </w:tcBorders>
          </w:tcPr>
          <w:p>
            <w:pPr>
              <w:spacing w:after="0" w:line="20" w:lineRule="exact"/>
              <w:rPr>
                <w:sz w:val="1"/>
                <w:szCs w:val="1"/>
                <w:color w:val="auto"/>
              </w:rPr>
            </w:pPr>
          </w:p>
        </w:tc>
        <w:tc>
          <w:tcPr>
            <w:tcW w:w="2220" w:type="dxa"/>
            <w:vAlign w:val="bottom"/>
            <w:tcBorders>
              <w:bottom w:val="single" w:sz="8" w:color="CFCFD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720" w:type="dxa"/>
            <w:vAlign w:val="bottom"/>
          </w:tcPr>
          <w:p>
            <w:pPr>
              <w:ind w:left="100"/>
              <w:spacing w:after="0"/>
              <w:rPr>
                <w:sz w:val="20"/>
                <w:szCs w:val="20"/>
                <w:color w:val="auto"/>
              </w:rPr>
            </w:pPr>
            <w:r>
              <w:rPr>
                <w:rFonts w:ascii="Arial" w:cs="Arial" w:eastAsia="Arial" w:hAnsi="Arial"/>
                <w:sz w:val="14"/>
                <w:szCs w:val="14"/>
                <w:color w:val="auto"/>
              </w:rPr>
              <w:t>Equity compensation plans not approved by security holders</w:t>
            </w:r>
          </w:p>
        </w:tc>
        <w:tc>
          <w:tcPr>
            <w:tcW w:w="1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0E1020"/>
              </w:rPr>
              <w:t>—</w:t>
            </w:r>
          </w:p>
        </w:tc>
        <w:tc>
          <w:tcPr>
            <w:tcW w:w="1620" w:type="dxa"/>
            <w:vAlign w:val="bottom"/>
          </w:tcPr>
          <w:p>
            <w:pPr>
              <w:jc w:val="right"/>
              <w:ind w:right="49"/>
              <w:spacing w:after="0"/>
              <w:rPr>
                <w:sz w:val="20"/>
                <w:szCs w:val="20"/>
                <w:color w:val="auto"/>
              </w:rPr>
            </w:pPr>
            <w:r>
              <w:rPr>
                <w:rFonts w:ascii="Arial" w:cs="Arial" w:eastAsia="Arial" w:hAnsi="Arial"/>
                <w:sz w:val="14"/>
                <w:szCs w:val="14"/>
                <w:color w:val="0E1020"/>
              </w:rPr>
              <w:t>—</w:t>
            </w:r>
          </w:p>
        </w:tc>
        <w:tc>
          <w:tcPr>
            <w:tcW w:w="2380" w:type="dxa"/>
            <w:vAlign w:val="bottom"/>
            <w:gridSpan w:val="2"/>
          </w:tcPr>
          <w:p>
            <w:pPr>
              <w:jc w:val="right"/>
              <w:ind w:right="380"/>
              <w:spacing w:after="0"/>
              <w:rPr>
                <w:sz w:val="20"/>
                <w:szCs w:val="20"/>
                <w:color w:val="auto"/>
              </w:rPr>
            </w:pPr>
            <w:r>
              <w:rPr>
                <w:rFonts w:ascii="Arial" w:cs="Arial" w:eastAsia="Arial" w:hAnsi="Arial"/>
                <w:sz w:val="14"/>
                <w:szCs w:val="14"/>
                <w:color w:val="0E1020"/>
              </w:rPr>
              <w:t>—</w:t>
            </w:r>
          </w:p>
        </w:tc>
        <w:tc>
          <w:tcPr>
            <w:tcW w:w="0" w:type="dxa"/>
            <w:vAlign w:val="bottom"/>
          </w:tcPr>
          <w:p>
            <w:pPr>
              <w:spacing w:after="0"/>
              <w:rPr>
                <w:sz w:val="1"/>
                <w:szCs w:val="1"/>
                <w:color w:val="auto"/>
              </w:rPr>
            </w:pPr>
          </w:p>
        </w:tc>
      </w:tr>
      <w:tr>
        <w:trPr>
          <w:trHeight w:val="21"/>
        </w:trPr>
        <w:tc>
          <w:tcPr>
            <w:tcW w:w="4720" w:type="dxa"/>
            <w:vAlign w:val="bottom"/>
            <w:tcBorders>
              <w:bottom w:val="single" w:sz="8" w:color="CFCFD2"/>
            </w:tcBorders>
          </w:tcPr>
          <w:p>
            <w:pPr>
              <w:spacing w:after="0" w:line="20" w:lineRule="exact"/>
              <w:rPr>
                <w:sz w:val="1"/>
                <w:szCs w:val="1"/>
                <w:color w:val="auto"/>
              </w:rPr>
            </w:pPr>
          </w:p>
        </w:tc>
        <w:tc>
          <w:tcPr>
            <w:tcW w:w="2520" w:type="dxa"/>
            <w:vAlign w:val="bottom"/>
            <w:tcBorders>
              <w:bottom w:val="single" w:sz="8" w:color="CFCFD2"/>
            </w:tcBorders>
            <w:gridSpan w:val="2"/>
          </w:tcPr>
          <w:p>
            <w:pPr>
              <w:spacing w:after="0" w:line="20" w:lineRule="exact"/>
              <w:rPr>
                <w:sz w:val="1"/>
                <w:szCs w:val="1"/>
                <w:color w:val="auto"/>
              </w:rPr>
            </w:pPr>
          </w:p>
        </w:tc>
        <w:tc>
          <w:tcPr>
            <w:tcW w:w="1620" w:type="dxa"/>
            <w:vAlign w:val="bottom"/>
            <w:tcBorders>
              <w:bottom w:val="single" w:sz="8" w:color="CFCFD2"/>
            </w:tcBorders>
          </w:tcPr>
          <w:p>
            <w:pPr>
              <w:spacing w:after="0" w:line="20" w:lineRule="exact"/>
              <w:rPr>
                <w:sz w:val="1"/>
                <w:szCs w:val="1"/>
                <w:color w:val="auto"/>
              </w:rPr>
            </w:pPr>
          </w:p>
        </w:tc>
        <w:tc>
          <w:tcPr>
            <w:tcW w:w="2220" w:type="dxa"/>
            <w:vAlign w:val="bottom"/>
            <w:tcBorders>
              <w:bottom w:val="single" w:sz="8" w:color="CFCFD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4720" w:type="dxa"/>
            <w:vAlign w:val="bottom"/>
            <w:tcBorders>
              <w:bottom w:val="single" w:sz="8" w:color="CFCFD2"/>
            </w:tcBorders>
            <w:shd w:val="clear" w:color="auto" w:fill="F6F3F0"/>
          </w:tcPr>
          <w:p>
            <w:pPr>
              <w:ind w:left="100"/>
              <w:spacing w:after="0"/>
              <w:rPr>
                <w:sz w:val="20"/>
                <w:szCs w:val="20"/>
                <w:color w:val="auto"/>
              </w:rPr>
            </w:pPr>
            <w:r>
              <w:rPr>
                <w:rFonts w:ascii="Arial" w:cs="Arial" w:eastAsia="Arial" w:hAnsi="Arial"/>
                <w:sz w:val="14"/>
                <w:szCs w:val="14"/>
                <w:b w:val="1"/>
                <w:bCs w:val="1"/>
                <w:color w:val="auto"/>
              </w:rPr>
              <w:t>Total</w:t>
            </w:r>
          </w:p>
        </w:tc>
        <w:tc>
          <w:tcPr>
            <w:tcW w:w="2520" w:type="dxa"/>
            <w:vAlign w:val="bottom"/>
            <w:tcBorders>
              <w:bottom w:val="single" w:sz="8" w:color="CFCFD2"/>
            </w:tcBorders>
            <w:gridSpan w:val="2"/>
            <w:shd w:val="clear" w:color="auto" w:fill="F6F3F0"/>
          </w:tcPr>
          <w:p>
            <w:pPr>
              <w:jc w:val="right"/>
              <w:spacing w:after="0"/>
              <w:rPr>
                <w:sz w:val="20"/>
                <w:szCs w:val="20"/>
                <w:color w:val="auto"/>
              </w:rPr>
            </w:pPr>
            <w:r>
              <w:rPr>
                <w:rFonts w:ascii="Arial" w:cs="Arial" w:eastAsia="Arial" w:hAnsi="Arial"/>
                <w:sz w:val="14"/>
                <w:szCs w:val="14"/>
                <w:b w:val="1"/>
                <w:bCs w:val="1"/>
                <w:color w:val="auto"/>
              </w:rPr>
              <w:t>13,963,103</w:t>
            </w:r>
          </w:p>
        </w:tc>
        <w:tc>
          <w:tcPr>
            <w:tcW w:w="1620" w:type="dxa"/>
            <w:vAlign w:val="bottom"/>
            <w:tcBorders>
              <w:bottom w:val="single" w:sz="8" w:color="CFCFD2"/>
            </w:tcBorders>
            <w:shd w:val="clear" w:color="auto" w:fill="F6F3F0"/>
          </w:tcPr>
          <w:p>
            <w:pPr>
              <w:jc w:val="right"/>
              <w:ind w:right="9"/>
              <w:spacing w:after="0"/>
              <w:rPr>
                <w:sz w:val="20"/>
                <w:szCs w:val="20"/>
                <w:color w:val="auto"/>
              </w:rPr>
            </w:pPr>
            <w:r>
              <w:rPr>
                <w:rFonts w:ascii="Arial" w:cs="Arial" w:eastAsia="Arial" w:hAnsi="Arial"/>
                <w:sz w:val="14"/>
                <w:szCs w:val="14"/>
                <w:b w:val="1"/>
                <w:bCs w:val="1"/>
                <w:color w:val="auto"/>
              </w:rPr>
              <w:t>0.87</w:t>
            </w:r>
          </w:p>
        </w:tc>
        <w:tc>
          <w:tcPr>
            <w:tcW w:w="2220" w:type="dxa"/>
            <w:vAlign w:val="bottom"/>
            <w:tcBorders>
              <w:bottom w:val="single" w:sz="8" w:color="CFCFD2"/>
            </w:tcBorders>
            <w:shd w:val="clear" w:color="auto" w:fill="F6F3F0"/>
          </w:tcPr>
          <w:p>
            <w:pPr>
              <w:jc w:val="right"/>
              <w:ind w:right="89"/>
              <w:spacing w:after="0"/>
              <w:rPr>
                <w:sz w:val="20"/>
                <w:szCs w:val="20"/>
                <w:color w:val="auto"/>
              </w:rPr>
            </w:pPr>
            <w:r>
              <w:rPr>
                <w:rFonts w:ascii="Arial" w:cs="Arial" w:eastAsia="Arial" w:hAnsi="Arial"/>
                <w:sz w:val="14"/>
                <w:szCs w:val="14"/>
                <w:b w:val="1"/>
                <w:bCs w:val="1"/>
                <w:color w:val="auto"/>
              </w:rPr>
              <w:t>14,160,031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8"/>
        </w:trPr>
        <w:tc>
          <w:tcPr>
            <w:tcW w:w="4720" w:type="dxa"/>
            <w:vAlign w:val="bottom"/>
          </w:tcPr>
          <w:p>
            <w:pPr>
              <w:ind w:left="20"/>
              <w:spacing w:after="0"/>
              <w:rPr>
                <w:sz w:val="20"/>
                <w:szCs w:val="20"/>
                <w:color w:val="auto"/>
              </w:rPr>
            </w:pPr>
            <w:r>
              <w:rPr>
                <w:rFonts w:ascii="Arial" w:cs="Arial" w:eastAsia="Arial" w:hAnsi="Arial"/>
                <w:sz w:val="14"/>
                <w:szCs w:val="14"/>
                <w:color w:val="0E1020"/>
              </w:rPr>
              <w:t>DXC Technology Company</w:t>
            </w:r>
          </w:p>
        </w:tc>
        <w:tc>
          <w:tcPr>
            <w:tcW w:w="1140" w:type="dxa"/>
            <w:vAlign w:val="bottom"/>
          </w:tcPr>
          <w:p>
            <w:pPr>
              <w:jc w:val="right"/>
              <w:ind w:right="89"/>
              <w:spacing w:after="0"/>
              <w:rPr>
                <w:sz w:val="20"/>
                <w:szCs w:val="20"/>
                <w:color w:val="auto"/>
              </w:rPr>
            </w:pPr>
            <w:r>
              <w:rPr>
                <w:rFonts w:ascii="Arial" w:cs="Arial" w:eastAsia="Arial" w:hAnsi="Arial"/>
                <w:sz w:val="14"/>
                <w:szCs w:val="14"/>
                <w:color w:val="0E1020"/>
              </w:rPr>
              <w:t>29</w:t>
            </w:r>
          </w:p>
        </w:tc>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80" w:type="dxa"/>
            <w:vAlign w:val="bottom"/>
            <w:gridSpan w:val="2"/>
          </w:tcPr>
          <w:p>
            <w:pPr>
              <w:ind w:left="940"/>
              <w:spacing w:after="0"/>
              <w:rPr>
                <w:sz w:val="20"/>
                <w:szCs w:val="20"/>
                <w:color w:val="auto"/>
              </w:rPr>
            </w:pPr>
            <w:r>
              <w:rPr>
                <w:rFonts w:ascii="Arial" w:cs="Arial" w:eastAsia="Arial" w:hAnsi="Arial"/>
                <w:sz w:val="14"/>
                <w:szCs w:val="14"/>
                <w:color w:val="0E1020"/>
              </w:rPr>
              <w:t>2026 Proxy Statement</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1380" w:type="dxa"/>
            <w:vAlign w:val="bottom"/>
            <w:tcBorders>
              <w:bottom w:val="single" w:sz="8" w:color="9A9A9A"/>
            </w:tcBorders>
          </w:tcPr>
          <w:p>
            <w:pPr>
              <w:spacing w:after="0"/>
              <w:rPr>
                <w:sz w:val="19"/>
                <w:szCs w:val="19"/>
                <w:color w:val="auto"/>
              </w:rPr>
            </w:pPr>
          </w:p>
        </w:tc>
        <w:tc>
          <w:tcPr>
            <w:tcW w:w="1620" w:type="dxa"/>
            <w:vAlign w:val="bottom"/>
            <w:tcBorders>
              <w:bottom w:val="single" w:sz="8" w:color="9A9A9A"/>
            </w:tcBorders>
          </w:tcPr>
          <w:p>
            <w:pPr>
              <w:spacing w:after="0"/>
              <w:rPr>
                <w:sz w:val="19"/>
                <w:szCs w:val="19"/>
                <w:color w:val="auto"/>
              </w:rPr>
            </w:pPr>
          </w:p>
        </w:tc>
        <w:tc>
          <w:tcPr>
            <w:tcW w:w="222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37" w:name="page38"/>
    <w:bookmarkEnd w:id="37"/>
    <w:p>
      <w:pPr>
        <w:ind w:left="1012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216535</wp:posOffset>
            </wp:positionH>
            <wp:positionV relativeFrom="page">
              <wp:posOffset>106045</wp:posOffset>
            </wp:positionV>
            <wp:extent cx="1166495" cy="3232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232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39"/>
          <w:szCs w:val="39"/>
          <w:b w:val="1"/>
          <w:bCs w:val="1"/>
          <w:color w:val="0E1020"/>
        </w:rPr>
        <w:t>PROPOSAL 5</w:t>
      </w:r>
    </w:p>
    <w:p>
      <w:pPr>
        <w:spacing w:after="0" w:line="132"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30"/>
          <w:szCs w:val="30"/>
          <w:color w:val="0E1020"/>
        </w:rPr>
        <w:t>APPROVAL OF TERM EXTENSION AND AN INCREASE IN THE NUMBER OF SHARES AVAILABLE UNDER AMENDED AND RESTATED DXC TECHNOLOGY COMPANY 2017 NON-EMPLOYEE DIRECTOR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265430</wp:posOffset>
            </wp:positionV>
            <wp:extent cx="7133590" cy="6216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3590" cy="62166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b w:val="1"/>
          <w:bCs w:val="1"/>
          <w:color w:val="0E1020"/>
        </w:rPr>
        <w:t>BOARD RECOMMENDATION</w:t>
      </w:r>
    </w:p>
    <w:p>
      <w:pPr>
        <w:spacing w:after="0" w:line="42" w:lineRule="exact"/>
        <w:rPr>
          <w:sz w:val="20"/>
          <w:szCs w:val="20"/>
          <w:color w:val="auto"/>
        </w:rPr>
      </w:pPr>
    </w:p>
    <w:p>
      <w:pPr>
        <w:ind w:left="1460" w:right="620"/>
        <w:spacing w:after="0" w:line="272" w:lineRule="auto"/>
        <w:rPr>
          <w:sz w:val="20"/>
          <w:szCs w:val="20"/>
          <w:color w:val="auto"/>
        </w:rPr>
      </w:pPr>
      <w:r>
        <w:rPr>
          <w:rFonts w:ascii="Arial" w:cs="Arial" w:eastAsia="Arial" w:hAnsi="Arial"/>
          <w:sz w:val="14"/>
          <w:szCs w:val="14"/>
          <w:color w:val="0E1020"/>
        </w:rPr>
        <w:t xml:space="preserve">The Board of Directors recommends a vote </w:t>
      </w:r>
      <w:r>
        <w:rPr>
          <w:rFonts w:ascii="Arial" w:cs="Arial" w:eastAsia="Arial" w:hAnsi="Arial"/>
          <w:sz w:val="14"/>
          <w:szCs w:val="14"/>
          <w:b w:val="1"/>
          <w:bCs w:val="1"/>
          <w:color w:val="0E1020"/>
        </w:rPr>
        <w:t>FOR</w:t>
      </w:r>
      <w:r>
        <w:rPr>
          <w:rFonts w:ascii="Arial" w:cs="Arial" w:eastAsia="Arial" w:hAnsi="Arial"/>
          <w:sz w:val="14"/>
          <w:szCs w:val="14"/>
          <w:color w:val="0E1020"/>
        </w:rPr>
        <w:t xml:space="preserve"> the approval of the term extension and the increase in the number of shares available under the Amended and Restated DXC Technology Company 2017 Non-Employee Director Incentive Plan.</w:t>
      </w:r>
    </w:p>
    <w:p>
      <w:pPr>
        <w:spacing w:after="0" w:line="200" w:lineRule="exact"/>
        <w:rPr>
          <w:sz w:val="20"/>
          <w:szCs w:val="20"/>
          <w:color w:val="auto"/>
        </w:rPr>
      </w:pPr>
    </w:p>
    <w:p>
      <w:pPr>
        <w:spacing w:after="0" w:line="227" w:lineRule="exact"/>
        <w:rPr>
          <w:sz w:val="20"/>
          <w:szCs w:val="20"/>
          <w:color w:val="auto"/>
        </w:rPr>
      </w:pPr>
    </w:p>
    <w:p>
      <w:pPr>
        <w:ind w:right="20"/>
        <w:spacing w:after="0" w:line="346" w:lineRule="auto"/>
        <w:rPr>
          <w:sz w:val="20"/>
          <w:szCs w:val="20"/>
          <w:color w:val="auto"/>
        </w:rPr>
      </w:pPr>
      <w:r>
        <w:rPr>
          <w:rFonts w:ascii="Arial" w:cs="Arial" w:eastAsia="Arial" w:hAnsi="Arial"/>
          <w:sz w:val="21"/>
          <w:szCs w:val="21"/>
          <w:b w:val="1"/>
          <w:bCs w:val="1"/>
          <w:color w:val="0E1020"/>
        </w:rPr>
        <w:t>Key Changes to the Amended and Restated DXC Technology Company 2017 Non-Employee Director Incentive Plan, as amended as proposed herein (the “2017 DIP”)</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0E1020"/>
        </w:rPr>
        <w:t>We are requesting that stockholders approve the Amended and Restated 2017 DIP, which includes approval of the following:</w:t>
      </w:r>
    </w:p>
    <w:p>
      <w:pPr>
        <w:spacing w:after="0" w:line="124" w:lineRule="exact"/>
        <w:rPr>
          <w:sz w:val="20"/>
          <w:szCs w:val="20"/>
          <w:color w:val="auto"/>
        </w:rPr>
      </w:pPr>
    </w:p>
    <w:p>
      <w:pPr>
        <w:ind w:left="320" w:right="240" w:hanging="313"/>
        <w:spacing w:after="0" w:line="318" w:lineRule="auto"/>
        <w:tabs>
          <w:tab w:leader="none" w:pos="282" w:val="left"/>
        </w:tabs>
        <w:numPr>
          <w:ilvl w:val="0"/>
          <w:numId w:val="24"/>
        </w:numPr>
        <w:rPr>
          <w:rFonts w:ascii="Arial" w:cs="Arial" w:eastAsia="Arial" w:hAnsi="Arial"/>
          <w:sz w:val="16"/>
          <w:szCs w:val="16"/>
          <w:color w:val="0E1020"/>
        </w:rPr>
      </w:pPr>
      <w:r>
        <w:rPr>
          <w:rFonts w:ascii="Arial" w:cs="Arial" w:eastAsia="Arial" w:hAnsi="Arial"/>
          <w:sz w:val="16"/>
          <w:szCs w:val="16"/>
          <w:b w:val="1"/>
          <w:bCs w:val="1"/>
          <w:color w:val="0E1020"/>
        </w:rPr>
        <w:t>Addition of 1 million shares</w:t>
      </w:r>
      <w:r>
        <w:rPr>
          <w:rFonts w:ascii="Arial" w:cs="Arial" w:eastAsia="Arial" w:hAnsi="Arial"/>
          <w:sz w:val="16"/>
          <w:szCs w:val="16"/>
          <w:color w:val="0E1020"/>
        </w:rPr>
        <w:t>. We are asking stockholders to approve an increase in the number of shares of our common stock available for issuance</w:t>
      </w:r>
      <w:r>
        <w:rPr>
          <w:rFonts w:ascii="Arial" w:cs="Arial" w:eastAsia="Arial" w:hAnsi="Arial"/>
          <w:sz w:val="16"/>
          <w:szCs w:val="16"/>
          <w:b w:val="1"/>
          <w:bCs w:val="1"/>
          <w:color w:val="0E1020"/>
        </w:rPr>
        <w:t xml:space="preserve"> </w:t>
      </w:r>
      <w:r>
        <w:rPr>
          <w:rFonts w:ascii="Arial" w:cs="Arial" w:eastAsia="Arial" w:hAnsi="Arial"/>
          <w:sz w:val="16"/>
          <w:szCs w:val="16"/>
          <w:color w:val="0E1020"/>
        </w:rPr>
        <w:t>under the 2017 DIP, by 1,000,000 shares, from 1,245,000 to 2,245,000 shares.</w:t>
      </w:r>
    </w:p>
    <w:p>
      <w:pPr>
        <w:spacing w:after="0" w:line="35" w:lineRule="exact"/>
        <w:rPr>
          <w:sz w:val="20"/>
          <w:szCs w:val="20"/>
          <w:color w:val="auto"/>
        </w:rPr>
      </w:pPr>
    </w:p>
    <w:p>
      <w:pPr>
        <w:ind w:left="320" w:right="280"/>
        <w:spacing w:after="0" w:line="318" w:lineRule="auto"/>
        <w:rPr>
          <w:sz w:val="20"/>
          <w:szCs w:val="20"/>
          <w:color w:val="auto"/>
        </w:rPr>
      </w:pPr>
      <w:r>
        <w:rPr>
          <w:rFonts w:ascii="Arial" w:cs="Arial" w:eastAsia="Arial" w:hAnsi="Arial"/>
          <w:sz w:val="16"/>
          <w:szCs w:val="16"/>
          <w:color w:val="0E1020"/>
        </w:rPr>
        <w:t>As of March 31, 2026, 358,356 shares of the current 1,245,000 share pool remain available for issuance. If approved, the additional 1,000,000 shares would increase the total number of shares available under the 2017 DIP to 1,358,356 shares.</w:t>
      </w:r>
    </w:p>
    <w:p>
      <w:pPr>
        <w:spacing w:after="0" w:line="35" w:lineRule="exact"/>
        <w:rPr>
          <w:sz w:val="20"/>
          <w:szCs w:val="20"/>
          <w:color w:val="auto"/>
        </w:rPr>
      </w:pPr>
    </w:p>
    <w:p>
      <w:pPr>
        <w:ind w:left="320" w:right="180" w:hanging="313"/>
        <w:spacing w:after="0" w:line="292" w:lineRule="auto"/>
        <w:tabs>
          <w:tab w:leader="none" w:pos="282" w:val="left"/>
        </w:tabs>
        <w:numPr>
          <w:ilvl w:val="0"/>
          <w:numId w:val="25"/>
        </w:numPr>
        <w:rPr>
          <w:rFonts w:ascii="Arial" w:cs="Arial" w:eastAsia="Arial" w:hAnsi="Arial"/>
          <w:sz w:val="16"/>
          <w:szCs w:val="16"/>
          <w:color w:val="0E1020"/>
        </w:rPr>
      </w:pPr>
      <w:r>
        <w:rPr>
          <w:rFonts w:ascii="Arial" w:cs="Arial" w:eastAsia="Arial" w:hAnsi="Arial"/>
          <w:sz w:val="16"/>
          <w:szCs w:val="16"/>
          <w:b w:val="1"/>
          <w:bCs w:val="1"/>
          <w:color w:val="0E1020"/>
        </w:rPr>
        <w:t>Extension of the expiration date of the 2017 DIP to March 30, 2037</w:t>
      </w:r>
      <w:r>
        <w:rPr>
          <w:rFonts w:ascii="Arial" w:cs="Arial" w:eastAsia="Arial" w:hAnsi="Arial"/>
          <w:sz w:val="16"/>
          <w:szCs w:val="16"/>
          <w:color w:val="0E1020"/>
        </w:rPr>
        <w:t>. The 2017 DIP is currently scheduled to expire on March 30, 2027, and we are</w:t>
      </w:r>
      <w:r>
        <w:rPr>
          <w:rFonts w:ascii="Arial" w:cs="Arial" w:eastAsia="Arial" w:hAnsi="Arial"/>
          <w:sz w:val="16"/>
          <w:szCs w:val="16"/>
          <w:b w:val="1"/>
          <w:bCs w:val="1"/>
          <w:color w:val="0E1020"/>
        </w:rPr>
        <w:t xml:space="preserve"> </w:t>
      </w:r>
      <w:r>
        <w:rPr>
          <w:rFonts w:ascii="Arial" w:cs="Arial" w:eastAsia="Arial" w:hAnsi="Arial"/>
          <w:sz w:val="16"/>
          <w:szCs w:val="16"/>
          <w:color w:val="0E1020"/>
        </w:rPr>
        <w:t>requesting an extension of the expiration of the plan to March 30, 2037. We are requesting an additional ten-year extension as this is consistent with standard market and peer practice, and provides stability to help ensure the Board, the Compensation Committee, and Management efficiently execute our long-term incentive plan goals.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0E1020"/>
        </w:rPr>
        <w:t>The resolution adopting the amendments to the 2017 DIP described in this Proposal is attached as Appendix C to this Proxy Statement.</w:t>
      </w:r>
    </w:p>
    <w:p>
      <w:pPr>
        <w:spacing w:after="0" w:line="124" w:lineRule="exact"/>
        <w:rPr>
          <w:sz w:val="20"/>
          <w:szCs w:val="20"/>
          <w:color w:val="auto"/>
        </w:rPr>
      </w:pPr>
    </w:p>
    <w:p>
      <w:pPr>
        <w:spacing w:after="0" w:line="318" w:lineRule="auto"/>
        <w:rPr>
          <w:sz w:val="20"/>
          <w:szCs w:val="20"/>
          <w:color w:val="auto"/>
        </w:rPr>
      </w:pPr>
      <w:r>
        <w:rPr>
          <w:rFonts w:ascii="Arial" w:cs="Arial" w:eastAsia="Arial" w:hAnsi="Arial"/>
          <w:sz w:val="16"/>
          <w:szCs w:val="16"/>
          <w:color w:val="0E1020"/>
        </w:rPr>
        <w:t>The information required by this item regarding equity compensation plans is incorporated by reference to the information set forth in Part III, Item 12 of DXC’s Annual Report on Form 10-K for the fiscal year ended March 31, 2026.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Factors Regarding Our Equity Usage and Needs under the 2017 DIP</w:t>
      </w:r>
    </w:p>
    <w:p>
      <w:pPr>
        <w:spacing w:after="0" w:line="133" w:lineRule="exact"/>
        <w:rPr>
          <w:sz w:val="20"/>
          <w:szCs w:val="20"/>
          <w:color w:val="auto"/>
        </w:rPr>
      </w:pPr>
    </w:p>
    <w:p>
      <w:pPr>
        <w:ind w:left="320" w:right="100" w:hanging="313"/>
        <w:spacing w:after="0" w:line="290" w:lineRule="auto"/>
        <w:tabs>
          <w:tab w:leader="none" w:pos="282" w:val="left"/>
        </w:tabs>
        <w:numPr>
          <w:ilvl w:val="0"/>
          <w:numId w:val="26"/>
        </w:numPr>
        <w:rPr>
          <w:rFonts w:ascii="Arial" w:cs="Arial" w:eastAsia="Arial" w:hAnsi="Arial"/>
          <w:sz w:val="16"/>
          <w:szCs w:val="16"/>
          <w:color w:val="0E1020"/>
        </w:rPr>
      </w:pPr>
      <w:r>
        <w:rPr>
          <w:rFonts w:ascii="Arial" w:cs="Arial" w:eastAsia="Arial" w:hAnsi="Arial"/>
          <w:sz w:val="16"/>
          <w:szCs w:val="16"/>
          <w:b w:val="1"/>
          <w:bCs w:val="1"/>
          <w:color w:val="0E1020"/>
        </w:rPr>
        <w:t>Increased Market Volatility Driving Need for More Shares</w:t>
      </w:r>
      <w:r>
        <w:rPr>
          <w:rFonts w:ascii="Arial" w:cs="Arial" w:eastAsia="Arial" w:hAnsi="Arial"/>
          <w:sz w:val="16"/>
          <w:szCs w:val="16"/>
          <w:color w:val="0E1020"/>
        </w:rPr>
        <w:t>: As we realigned the Company with our new strategic priorities, our stock price was</w:t>
      </w:r>
      <w:r>
        <w:rPr>
          <w:rFonts w:ascii="Arial" w:cs="Arial" w:eastAsia="Arial" w:hAnsi="Arial"/>
          <w:sz w:val="16"/>
          <w:szCs w:val="16"/>
          <w:b w:val="1"/>
          <w:bCs w:val="1"/>
          <w:color w:val="0E1020"/>
        </w:rPr>
        <w:t xml:space="preserve"> </w:t>
      </w:r>
      <w:r>
        <w:rPr>
          <w:rFonts w:ascii="Arial" w:cs="Arial" w:eastAsia="Arial" w:hAnsi="Arial"/>
          <w:sz w:val="16"/>
          <w:szCs w:val="16"/>
          <w:color w:val="0E1020"/>
        </w:rPr>
        <w:t>negatively impacted. This impact contributed to a sooner-than-expected need for additional shares in our 2017 DIP. As of March 31, 2026, we had 358,356 shares remaining available for issuance under the 2017 DIP, and this pool is no longer sufficient for our expected annual non-employee director grants after the current expiration of the 2017 DIP on March 30, 2027. In order to continue to attract and retain non-employee directors and align their interests with those of our stockholders, we are seeking stockholder approval to make an additional 1,000,000 shares available for issuance under the 2017 DIP, which would increase the number of available shares under the 2017 DIP to 1,358,356 shares in total.</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30</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38" w:name="page39"/>
    <w:bookmarkEnd w:id="38"/>
    <w:p>
      <w:pPr>
        <w:ind w:left="20"/>
        <w:spacing w:after="0"/>
        <w:tabs>
          <w:tab w:leader="none" w:pos="1052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0E1020"/>
        </w:rPr>
        <w:t>Proposal 5</w:t>
      </w:r>
    </w:p>
    <w:p>
      <w:pPr>
        <w:spacing w:after="0" w:line="200" w:lineRule="exact"/>
        <w:rPr>
          <w:sz w:val="20"/>
          <w:szCs w:val="20"/>
          <w:color w:val="auto"/>
        </w:rPr>
      </w:pPr>
    </w:p>
    <w:p>
      <w:pPr>
        <w:spacing w:after="0" w:line="358" w:lineRule="exact"/>
        <w:rPr>
          <w:sz w:val="20"/>
          <w:szCs w:val="20"/>
          <w:color w:val="auto"/>
        </w:rPr>
      </w:pPr>
    </w:p>
    <w:p>
      <w:pPr>
        <w:ind w:left="320" w:right="20" w:hanging="313"/>
        <w:spacing w:after="0" w:line="304" w:lineRule="auto"/>
        <w:tabs>
          <w:tab w:leader="none" w:pos="282" w:val="left"/>
        </w:tabs>
        <w:numPr>
          <w:ilvl w:val="0"/>
          <w:numId w:val="27"/>
        </w:numPr>
        <w:rPr>
          <w:rFonts w:ascii="Arial" w:cs="Arial" w:eastAsia="Arial" w:hAnsi="Arial"/>
          <w:sz w:val="16"/>
          <w:szCs w:val="16"/>
          <w:color w:val="0E1020"/>
        </w:rPr>
      </w:pPr>
      <w:r>
        <w:rPr>
          <w:rFonts w:ascii="Arial" w:cs="Arial" w:eastAsia="Arial" w:hAnsi="Arial"/>
          <w:sz w:val="16"/>
          <w:szCs w:val="16"/>
          <w:b w:val="1"/>
          <w:bCs w:val="1"/>
          <w:color w:val="0E1020"/>
        </w:rPr>
        <w:t>Reasonable Amount of Dilution for Market Competitive Grant Capabilities</w:t>
      </w:r>
      <w:r>
        <w:rPr>
          <w:rFonts w:ascii="Arial" w:cs="Arial" w:eastAsia="Arial" w:hAnsi="Arial"/>
          <w:sz w:val="16"/>
          <w:szCs w:val="16"/>
          <w:color w:val="0E1020"/>
        </w:rPr>
        <w:t>: If approved by our stockholders, the dilution represented by the total</w:t>
      </w:r>
      <w:r>
        <w:rPr>
          <w:rFonts w:ascii="Arial" w:cs="Arial" w:eastAsia="Arial" w:hAnsi="Arial"/>
          <w:sz w:val="16"/>
          <w:szCs w:val="16"/>
          <w:b w:val="1"/>
          <w:bCs w:val="1"/>
          <w:color w:val="0E1020"/>
        </w:rPr>
        <w:t xml:space="preserve"> </w:t>
      </w:r>
      <w:r>
        <w:rPr>
          <w:rFonts w:ascii="Arial" w:cs="Arial" w:eastAsia="Arial" w:hAnsi="Arial"/>
          <w:sz w:val="16"/>
          <w:szCs w:val="16"/>
          <w:color w:val="0E1020"/>
        </w:rPr>
        <w:t>shares available under the 2017 DIP (and the 2017 OIP), including the proposed increase to the shares available for issuance under both plans and the currently outstanding awards under both plans, would be 29.7%, based on our outstanding shares as of March 31, 2026. Our average historical burn rate under both plans combined for the past three years has been 4.3%.</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Vote Required</w:t>
      </w:r>
    </w:p>
    <w:p>
      <w:pPr>
        <w:spacing w:after="0" w:line="148" w:lineRule="exact"/>
        <w:rPr>
          <w:sz w:val="20"/>
          <w:szCs w:val="20"/>
          <w:color w:val="auto"/>
        </w:rPr>
      </w:pPr>
    </w:p>
    <w:p>
      <w:pPr>
        <w:ind w:right="400"/>
        <w:spacing w:after="0" w:line="318" w:lineRule="auto"/>
        <w:rPr>
          <w:sz w:val="20"/>
          <w:szCs w:val="20"/>
          <w:color w:val="auto"/>
        </w:rPr>
      </w:pPr>
      <w:r>
        <w:rPr>
          <w:rFonts w:ascii="Arial" w:cs="Arial" w:eastAsia="Arial" w:hAnsi="Arial"/>
          <w:sz w:val="16"/>
          <w:szCs w:val="16"/>
          <w:color w:val="0E1020"/>
        </w:rPr>
        <w:t>The affirmative vote of holders of a majority of the shares of common stock present in person (virtually) or represented by proxy and voting is required to approve this proposal. Abstentions and broker non-votes, if any, will have no effect on the vote for this proposal.</w:t>
      </w:r>
    </w:p>
    <w:p>
      <w:pPr>
        <w:spacing w:after="0" w:line="49" w:lineRule="exact"/>
        <w:rPr>
          <w:sz w:val="20"/>
          <w:szCs w:val="20"/>
          <w:color w:val="auto"/>
        </w:rPr>
      </w:pPr>
    </w:p>
    <w:p>
      <w:pPr>
        <w:ind w:right="460"/>
        <w:spacing w:after="0" w:line="346" w:lineRule="auto"/>
        <w:rPr>
          <w:sz w:val="20"/>
          <w:szCs w:val="20"/>
          <w:color w:val="auto"/>
        </w:rPr>
      </w:pPr>
      <w:r>
        <w:rPr>
          <w:rFonts w:ascii="Arial" w:cs="Arial" w:eastAsia="Arial" w:hAnsi="Arial"/>
          <w:sz w:val="16"/>
          <w:szCs w:val="16"/>
          <w:b w:val="1"/>
          <w:bCs w:val="1"/>
          <w:color w:val="0E1020"/>
        </w:rPr>
        <w:t>The Board of Directors recommends a vote FOR the approval of the term extension and increase in the number of shares available under the Amended and Restated DXC Technology Company 2017 Non-Employee Director Incentive Plan.</w:t>
      </w:r>
    </w:p>
    <w:p>
      <w:pPr>
        <w:spacing w:after="0" w:line="99"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Summary of Proposed 2017 DIP</w:t>
      </w:r>
    </w:p>
    <w:p>
      <w:pPr>
        <w:spacing w:after="0" w:line="148" w:lineRule="exact"/>
        <w:rPr>
          <w:sz w:val="20"/>
          <w:szCs w:val="20"/>
          <w:color w:val="auto"/>
        </w:rPr>
      </w:pPr>
    </w:p>
    <w:p>
      <w:pPr>
        <w:ind w:right="100"/>
        <w:spacing w:after="0" w:line="307" w:lineRule="auto"/>
        <w:rPr>
          <w:sz w:val="20"/>
          <w:szCs w:val="20"/>
          <w:color w:val="auto"/>
        </w:rPr>
      </w:pPr>
      <w:r>
        <w:rPr>
          <w:rFonts w:ascii="Arial" w:cs="Arial" w:eastAsia="Arial" w:hAnsi="Arial"/>
          <w:sz w:val="16"/>
          <w:szCs w:val="16"/>
          <w:color w:val="0E1020"/>
        </w:rPr>
        <w:t>The following summary is qualified in its entirety by reference to the 2017 DIP. The 2017 DIP was filed as Exhibits 10.18 and 10.19 to the Company's Annual Report on Form 10-K for the fiscal year ended March 31, 2026. The resolution adopting the amendments to the 2017 DIP described in this Proposal is attached as Appendix C to this Proxy Statement.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Shares Available for Issuance</w:t>
      </w:r>
    </w:p>
    <w:p>
      <w:pPr>
        <w:spacing w:after="0" w:line="133" w:lineRule="exact"/>
        <w:rPr>
          <w:sz w:val="20"/>
          <w:szCs w:val="20"/>
          <w:color w:val="auto"/>
        </w:rPr>
      </w:pPr>
    </w:p>
    <w:p>
      <w:pPr>
        <w:spacing w:after="0" w:line="301" w:lineRule="auto"/>
        <w:rPr>
          <w:sz w:val="20"/>
          <w:szCs w:val="20"/>
          <w:color w:val="auto"/>
        </w:rPr>
      </w:pPr>
      <w:r>
        <w:rPr>
          <w:rFonts w:ascii="Arial" w:cs="Arial" w:eastAsia="Arial" w:hAnsi="Arial"/>
          <w:sz w:val="16"/>
          <w:szCs w:val="16"/>
          <w:color w:val="0E1020"/>
        </w:rPr>
        <w:t>If the stockholders approve this proposal, the maximum number of shares of our common stock that may be issued pursuant to awards granted under the 2017 DIP will increase by 1,000,000 shares to 2,245,000 shares in total, subject to certain adjustments for corporate transactions, as described in “Adjustments” below. Shares of our common stock issued under the 2017 DIP may consist of newly issued shares, treasury shares and/or shares purchased in the open market or otherwise. Only shares of our common stock actually issued pursuant to awards granted under the 2017 DIP will be counted against the authorized shares. If an award is settled or terminates by expiration, forfeiture, cancellation or otherwise without the issuance of all shares originally covered by the award, then the shares not issued will again be available for use under the 2017 DIP.</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Eligibility</w:t>
      </w:r>
    </w:p>
    <w:p>
      <w:pPr>
        <w:spacing w:after="0" w:line="133" w:lineRule="exact"/>
        <w:rPr>
          <w:sz w:val="20"/>
          <w:szCs w:val="20"/>
          <w:color w:val="auto"/>
        </w:rPr>
      </w:pPr>
    </w:p>
    <w:p>
      <w:pPr>
        <w:ind w:right="200"/>
        <w:spacing w:after="0" w:line="335" w:lineRule="auto"/>
        <w:rPr>
          <w:sz w:val="20"/>
          <w:szCs w:val="20"/>
          <w:color w:val="auto"/>
        </w:rPr>
      </w:pPr>
      <w:r>
        <w:rPr>
          <w:rFonts w:ascii="Arial" w:cs="Arial" w:eastAsia="Arial" w:hAnsi="Arial"/>
          <w:sz w:val="16"/>
          <w:szCs w:val="16"/>
          <w:color w:val="0E1020"/>
        </w:rPr>
        <w:t>Each member of the Board of Directors of the Company who is not an employee of the Company or any of its subsidiaries is eligible for the grant of awards under the 2017 DIP. As of March 31, 2026, there were 9 non-employee directors who were eligible to receive awards under the 2017 DIP.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Award Limits</w:t>
      </w:r>
    </w:p>
    <w:p>
      <w:pPr>
        <w:spacing w:after="0" w:line="133" w:lineRule="exact"/>
        <w:rPr>
          <w:sz w:val="20"/>
          <w:szCs w:val="20"/>
          <w:color w:val="auto"/>
        </w:rPr>
      </w:pPr>
    </w:p>
    <w:p>
      <w:pPr>
        <w:jc w:val="both"/>
        <w:ind w:right="280"/>
        <w:spacing w:after="0" w:line="316" w:lineRule="auto"/>
        <w:rPr>
          <w:sz w:val="20"/>
          <w:szCs w:val="20"/>
          <w:color w:val="auto"/>
        </w:rPr>
      </w:pPr>
      <w:r>
        <w:rPr>
          <w:rFonts w:ascii="Arial" w:cs="Arial" w:eastAsia="Arial" w:hAnsi="Arial"/>
          <w:sz w:val="16"/>
          <w:szCs w:val="16"/>
          <w:color w:val="0E1020"/>
        </w:rPr>
        <w:t>The maximum dollar value of all awards that may be granted under the 2017 DIP to our Independent Chairman during any calendar year may not exceed $900,000 and for any other single non-employee director during any calendar year may not exceed $500,000 based on the fair market value of the shares subject to such award as of the grant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Administration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0E1020"/>
        </w:rPr>
        <w:t>The 2017 DIP will be administered by the Board or, in the Board’s discretion, a committee of the Board consisting of three or more directors, each of whom is:</w:t>
      </w:r>
    </w:p>
    <w:p>
      <w:pPr>
        <w:spacing w:after="0" w:line="124" w:lineRule="exact"/>
        <w:rPr>
          <w:sz w:val="20"/>
          <w:szCs w:val="20"/>
          <w:color w:val="auto"/>
        </w:rPr>
      </w:pPr>
    </w:p>
    <w:p>
      <w:pPr>
        <w:ind w:left="300" w:hanging="293"/>
        <w:spacing w:after="0"/>
        <w:tabs>
          <w:tab w:leader="none" w:pos="300" w:val="left"/>
        </w:tabs>
        <w:numPr>
          <w:ilvl w:val="0"/>
          <w:numId w:val="28"/>
        </w:numPr>
        <w:rPr>
          <w:rFonts w:ascii="Arial" w:cs="Arial" w:eastAsia="Arial" w:hAnsi="Arial"/>
          <w:sz w:val="16"/>
          <w:szCs w:val="16"/>
          <w:color w:val="0E1020"/>
        </w:rPr>
      </w:pPr>
      <w:r>
        <w:rPr>
          <w:rFonts w:ascii="Arial" w:cs="Arial" w:eastAsia="Arial" w:hAnsi="Arial"/>
          <w:sz w:val="16"/>
          <w:szCs w:val="16"/>
          <w:color w:val="0E1020"/>
        </w:rPr>
        <w:t>“independent” for purposes of our Corporate Governance Guidelines; and</w:t>
      </w:r>
    </w:p>
    <w:p>
      <w:pPr>
        <w:spacing w:after="0" w:line="124" w:lineRule="exact"/>
        <w:rPr>
          <w:rFonts w:ascii="Arial" w:cs="Arial" w:eastAsia="Arial" w:hAnsi="Arial"/>
          <w:sz w:val="16"/>
          <w:szCs w:val="16"/>
          <w:color w:val="0E1020"/>
        </w:rPr>
      </w:pPr>
    </w:p>
    <w:p>
      <w:pPr>
        <w:ind w:left="300" w:hanging="293"/>
        <w:spacing w:after="0"/>
        <w:tabs>
          <w:tab w:leader="none" w:pos="300" w:val="left"/>
        </w:tabs>
        <w:numPr>
          <w:ilvl w:val="0"/>
          <w:numId w:val="28"/>
        </w:numPr>
        <w:rPr>
          <w:rFonts w:ascii="Arial" w:cs="Arial" w:eastAsia="Arial" w:hAnsi="Arial"/>
          <w:sz w:val="16"/>
          <w:szCs w:val="16"/>
          <w:color w:val="0E1020"/>
        </w:rPr>
      </w:pPr>
      <w:r>
        <w:rPr>
          <w:rFonts w:ascii="Arial" w:cs="Arial" w:eastAsia="Arial" w:hAnsi="Arial"/>
          <w:sz w:val="16"/>
          <w:szCs w:val="16"/>
          <w:color w:val="0E1020"/>
        </w:rPr>
        <w:t>a “non-employee director” for purposes of SEC Rule 16b-3(b)(3).</w:t>
      </w:r>
    </w:p>
    <w:p>
      <w:pPr>
        <w:spacing w:after="0" w:line="232" w:lineRule="exact"/>
        <w:rPr>
          <w:sz w:val="20"/>
          <w:szCs w:val="20"/>
          <w:color w:val="auto"/>
        </w:rPr>
      </w:pPr>
    </w:p>
    <w:p>
      <w:pPr>
        <w:ind w:right="160"/>
        <w:spacing w:after="0" w:line="318" w:lineRule="auto"/>
        <w:rPr>
          <w:sz w:val="20"/>
          <w:szCs w:val="20"/>
          <w:color w:val="auto"/>
        </w:rPr>
      </w:pPr>
      <w:r>
        <w:rPr>
          <w:rFonts w:ascii="Arial" w:cs="Arial" w:eastAsia="Arial" w:hAnsi="Arial"/>
          <w:sz w:val="16"/>
          <w:szCs w:val="16"/>
          <w:color w:val="0E1020"/>
        </w:rPr>
        <w:t>The administrator of the 2017 DIP (the “Administrator”) will have full and final authority to select the non-employee directors to whom awards will be granted under the 2017 DIP, to grant awards and to determine the terms and conditions of those awards.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31</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39" w:name="page40"/>
    <w:bookmarkEnd w:id="39"/>
    <w:p>
      <w:pPr>
        <w:ind w:left="20"/>
        <w:spacing w:after="0"/>
        <w:tabs>
          <w:tab w:leader="none" w:pos="10100" w:val="left"/>
        </w:tabs>
        <w:rPr>
          <w:sz w:val="20"/>
          <w:szCs w:val="20"/>
          <w:color w:val="auto"/>
        </w:rPr>
      </w:pPr>
      <w:r>
        <w:rPr>
          <w:rFonts w:ascii="Arial" w:cs="Arial" w:eastAsia="Arial" w:hAnsi="Arial"/>
          <w:sz w:val="14"/>
          <w:szCs w:val="14"/>
          <w:color w:val="auto"/>
        </w:rPr>
        <w:t>Proposal 5</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Types of Awards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0E1020"/>
        </w:rPr>
        <w:t>The 2017 DIP provides for the grant of:</w:t>
      </w:r>
    </w:p>
    <w:p>
      <w:pPr>
        <w:spacing w:after="0" w:line="124" w:lineRule="exact"/>
        <w:rPr>
          <w:sz w:val="20"/>
          <w:szCs w:val="20"/>
          <w:color w:val="auto"/>
        </w:rPr>
      </w:pPr>
    </w:p>
    <w:p>
      <w:pPr>
        <w:ind w:left="300" w:hanging="293"/>
        <w:spacing w:after="0"/>
        <w:tabs>
          <w:tab w:leader="none" w:pos="300" w:val="left"/>
        </w:tabs>
        <w:numPr>
          <w:ilvl w:val="0"/>
          <w:numId w:val="29"/>
        </w:numPr>
        <w:rPr>
          <w:rFonts w:ascii="Arial" w:cs="Arial" w:eastAsia="Arial" w:hAnsi="Arial"/>
          <w:sz w:val="16"/>
          <w:szCs w:val="16"/>
          <w:color w:val="0E1020"/>
        </w:rPr>
      </w:pPr>
      <w:r>
        <w:rPr>
          <w:rFonts w:ascii="Arial" w:cs="Arial" w:eastAsia="Arial" w:hAnsi="Arial"/>
          <w:sz w:val="16"/>
          <w:szCs w:val="16"/>
          <w:color w:val="0E1020"/>
        </w:rPr>
        <w:t>restricted stock; and</w:t>
      </w:r>
    </w:p>
    <w:p>
      <w:pPr>
        <w:spacing w:after="0" w:line="137" w:lineRule="exact"/>
        <w:rPr>
          <w:rFonts w:ascii="Arial" w:cs="Arial" w:eastAsia="Arial" w:hAnsi="Arial"/>
          <w:sz w:val="16"/>
          <w:szCs w:val="16"/>
          <w:color w:val="0E1020"/>
        </w:rPr>
      </w:pPr>
    </w:p>
    <w:p>
      <w:pPr>
        <w:ind w:left="300" w:hanging="293"/>
        <w:spacing w:after="0"/>
        <w:tabs>
          <w:tab w:leader="none" w:pos="300" w:val="left"/>
        </w:tabs>
        <w:numPr>
          <w:ilvl w:val="0"/>
          <w:numId w:val="29"/>
        </w:numPr>
        <w:rPr>
          <w:rFonts w:ascii="Arial" w:cs="Arial" w:eastAsia="Arial" w:hAnsi="Arial"/>
          <w:sz w:val="16"/>
          <w:szCs w:val="16"/>
          <w:color w:val="0E1020"/>
        </w:rPr>
      </w:pPr>
      <w:r>
        <w:rPr>
          <w:rFonts w:ascii="Arial" w:cs="Arial" w:eastAsia="Arial" w:hAnsi="Arial"/>
          <w:sz w:val="16"/>
          <w:szCs w:val="16"/>
          <w:color w:val="0E1020"/>
        </w:rPr>
        <w:t>RSUs</w:t>
      </w:r>
    </w:p>
    <w:p>
      <w:pPr>
        <w:spacing w:after="0" w:line="21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0E1020"/>
        </w:rPr>
        <w:t>Subject to the 2017 DIP, the Administrator will determine the terms and conditions of each award, which will be set forth in an award agreement executed by the Company and the participant. The 2017 DIP authorizes the Administrator to grant awards of restricted stock and RSUs with time-based vesting. An RSU represents the right to receive a specified number of shares of our common stock, or cash based on the market value of those shares, upon vesting or at a later date permitted in the award agreement. The terms and conditions of the restricted stock and RSUs will be determined by the Administrator, subject to the requirements of the 2017 DIP. Among those requirements are the following:</w:t>
      </w:r>
    </w:p>
    <w:p>
      <w:pPr>
        <w:spacing w:after="0" w:line="49" w:lineRule="exact"/>
        <w:rPr>
          <w:sz w:val="20"/>
          <w:szCs w:val="20"/>
          <w:color w:val="auto"/>
        </w:rPr>
      </w:pPr>
    </w:p>
    <w:p>
      <w:pPr>
        <w:ind w:left="300" w:hanging="293"/>
        <w:spacing w:after="0"/>
        <w:tabs>
          <w:tab w:leader="none" w:pos="300" w:val="left"/>
        </w:tabs>
        <w:numPr>
          <w:ilvl w:val="0"/>
          <w:numId w:val="30"/>
        </w:numPr>
        <w:rPr>
          <w:rFonts w:ascii="Arial" w:cs="Arial" w:eastAsia="Arial" w:hAnsi="Arial"/>
          <w:sz w:val="16"/>
          <w:szCs w:val="16"/>
          <w:color w:val="0E1020"/>
        </w:rPr>
      </w:pPr>
      <w:r>
        <w:rPr>
          <w:rFonts w:ascii="Arial" w:cs="Arial" w:eastAsia="Arial" w:hAnsi="Arial"/>
          <w:sz w:val="16"/>
          <w:szCs w:val="16"/>
          <w:color w:val="0E1020"/>
        </w:rPr>
        <w:t>Unless the Administrator determines otherwise, all restricted stock will have full voting rights;</w:t>
      </w:r>
    </w:p>
    <w:p>
      <w:pPr>
        <w:spacing w:after="0" w:line="137" w:lineRule="exact"/>
        <w:rPr>
          <w:rFonts w:ascii="Arial" w:cs="Arial" w:eastAsia="Arial" w:hAnsi="Arial"/>
          <w:sz w:val="16"/>
          <w:szCs w:val="16"/>
          <w:color w:val="0E1020"/>
        </w:rPr>
      </w:pPr>
    </w:p>
    <w:p>
      <w:pPr>
        <w:ind w:left="320" w:right="20" w:hanging="313"/>
        <w:spacing w:after="0" w:line="335" w:lineRule="auto"/>
        <w:tabs>
          <w:tab w:leader="none" w:pos="282" w:val="left"/>
        </w:tabs>
        <w:numPr>
          <w:ilvl w:val="0"/>
          <w:numId w:val="30"/>
        </w:numPr>
        <w:rPr>
          <w:rFonts w:ascii="Arial" w:cs="Arial" w:eastAsia="Arial" w:hAnsi="Arial"/>
          <w:sz w:val="16"/>
          <w:szCs w:val="16"/>
          <w:color w:val="0E1020"/>
        </w:rPr>
      </w:pPr>
      <w:r>
        <w:rPr>
          <w:rFonts w:ascii="Arial" w:cs="Arial" w:eastAsia="Arial" w:hAnsi="Arial"/>
          <w:sz w:val="16"/>
          <w:szCs w:val="16"/>
          <w:color w:val="0E1020"/>
        </w:rPr>
        <w:t>Rights to dividends or dividend equivalents may be extended to and made part of any award of restricted stock or RSUs, subject to such terms, conditions and restrictions as the Administrator may establish; and</w:t>
      </w:r>
    </w:p>
    <w:p>
      <w:pPr>
        <w:spacing w:after="0" w:line="22" w:lineRule="exact"/>
        <w:rPr>
          <w:rFonts w:ascii="Arial" w:cs="Arial" w:eastAsia="Arial" w:hAnsi="Arial"/>
          <w:sz w:val="16"/>
          <w:szCs w:val="16"/>
          <w:color w:val="0E1020"/>
        </w:rPr>
      </w:pPr>
    </w:p>
    <w:p>
      <w:pPr>
        <w:ind w:left="300" w:hanging="293"/>
        <w:spacing w:after="0"/>
        <w:tabs>
          <w:tab w:leader="none" w:pos="300" w:val="left"/>
        </w:tabs>
        <w:numPr>
          <w:ilvl w:val="0"/>
          <w:numId w:val="30"/>
        </w:numPr>
        <w:rPr>
          <w:rFonts w:ascii="Arial" w:cs="Arial" w:eastAsia="Arial" w:hAnsi="Arial"/>
          <w:sz w:val="16"/>
          <w:szCs w:val="16"/>
          <w:color w:val="0E1020"/>
        </w:rPr>
      </w:pPr>
      <w:r>
        <w:rPr>
          <w:rFonts w:ascii="Arial" w:cs="Arial" w:eastAsia="Arial" w:hAnsi="Arial"/>
          <w:sz w:val="16"/>
          <w:szCs w:val="16"/>
          <w:color w:val="0E1020"/>
        </w:rPr>
        <w:t>The Administrator may also establish rules and procedures for the crediting of interest on deferred cash payments.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Transferability</w:t>
      </w:r>
    </w:p>
    <w:p>
      <w:pPr>
        <w:spacing w:after="0" w:line="133" w:lineRule="exact"/>
        <w:rPr>
          <w:sz w:val="20"/>
          <w:szCs w:val="20"/>
          <w:color w:val="auto"/>
        </w:rPr>
      </w:pPr>
    </w:p>
    <w:p>
      <w:pPr>
        <w:ind w:right="280"/>
        <w:spacing w:after="0" w:line="335" w:lineRule="auto"/>
        <w:rPr>
          <w:sz w:val="20"/>
          <w:szCs w:val="20"/>
          <w:color w:val="auto"/>
        </w:rPr>
      </w:pPr>
      <w:r>
        <w:rPr>
          <w:rFonts w:ascii="Arial" w:cs="Arial" w:eastAsia="Arial" w:hAnsi="Arial"/>
          <w:sz w:val="16"/>
          <w:szCs w:val="16"/>
          <w:color w:val="0E1020"/>
        </w:rPr>
        <w:t>Unless the Administrator determines otherwise, no award, and no shares of our common stock subject to an outstanding award as to which any applicable restriction or deferral period has not lapsed, may be sold or transferred except by will or the laws of descent and distribution.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Change in Control</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0E1020"/>
        </w:rPr>
        <w:t>Unless an award agreement specifies otherwise, upon the date of a change in control of the Company (as such term is defined under Section 409A of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0E1020"/>
        </w:rPr>
        <w:t>Internal Revenue Code):</w:t>
      </w:r>
    </w:p>
    <w:p>
      <w:pPr>
        <w:spacing w:after="0" w:line="138" w:lineRule="exact"/>
        <w:rPr>
          <w:sz w:val="20"/>
          <w:szCs w:val="20"/>
          <w:color w:val="auto"/>
        </w:rPr>
      </w:pPr>
    </w:p>
    <w:p>
      <w:pPr>
        <w:ind w:left="300" w:hanging="293"/>
        <w:spacing w:after="0"/>
        <w:tabs>
          <w:tab w:leader="none" w:pos="300" w:val="left"/>
        </w:tabs>
        <w:numPr>
          <w:ilvl w:val="0"/>
          <w:numId w:val="31"/>
        </w:numPr>
        <w:rPr>
          <w:rFonts w:ascii="Arial" w:cs="Arial" w:eastAsia="Arial" w:hAnsi="Arial"/>
          <w:sz w:val="16"/>
          <w:szCs w:val="16"/>
          <w:color w:val="0E1020"/>
        </w:rPr>
      </w:pPr>
      <w:r>
        <w:rPr>
          <w:rFonts w:ascii="Arial" w:cs="Arial" w:eastAsia="Arial" w:hAnsi="Arial"/>
          <w:sz w:val="16"/>
          <w:szCs w:val="16"/>
          <w:color w:val="0E1020"/>
        </w:rPr>
        <w:t>all restrictions applicable to outstanding restricted stock will lapse in full; and</w:t>
      </w:r>
    </w:p>
    <w:p>
      <w:pPr>
        <w:spacing w:after="0" w:line="124" w:lineRule="exact"/>
        <w:rPr>
          <w:rFonts w:ascii="Arial" w:cs="Arial" w:eastAsia="Arial" w:hAnsi="Arial"/>
          <w:sz w:val="16"/>
          <w:szCs w:val="16"/>
          <w:color w:val="0E1020"/>
        </w:rPr>
      </w:pPr>
    </w:p>
    <w:p>
      <w:pPr>
        <w:ind w:left="300" w:hanging="293"/>
        <w:spacing w:after="0"/>
        <w:tabs>
          <w:tab w:leader="none" w:pos="300" w:val="left"/>
        </w:tabs>
        <w:numPr>
          <w:ilvl w:val="0"/>
          <w:numId w:val="31"/>
        </w:numPr>
        <w:rPr>
          <w:rFonts w:ascii="Arial" w:cs="Arial" w:eastAsia="Arial" w:hAnsi="Arial"/>
          <w:sz w:val="16"/>
          <w:szCs w:val="16"/>
          <w:color w:val="0E1020"/>
        </w:rPr>
      </w:pPr>
      <w:r>
        <w:rPr>
          <w:rFonts w:ascii="Arial" w:cs="Arial" w:eastAsia="Arial" w:hAnsi="Arial"/>
          <w:sz w:val="16"/>
          <w:szCs w:val="16"/>
          <w:color w:val="0E1020"/>
        </w:rPr>
        <w:t>all outstanding RSUs will become fully vested.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Adjustments</w:t>
      </w:r>
    </w:p>
    <w:p>
      <w:pPr>
        <w:spacing w:after="0" w:line="133"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0E1020"/>
        </w:rPr>
        <w:t>If there is a reorganization, merger, consolidation, recapitalization, restructuring, reclassification, dividend (other than a regular, quarterly cash dividend) or other distribution, stock split, reverse stock split or similar transaction, or a sale of substantially all of our assets, then, unless the terms of the transaction provide otherwise and the outstanding shares of our common stock are increased, decreased or exchanged for or converted into cash, property and/or a different number or kind of securities (or if cash, property, and/or securities are distributed in respect of such shares), the Administrator will make such adjustments as it deems appropriate and proportionate in:</w:t>
      </w:r>
    </w:p>
    <w:p>
      <w:pPr>
        <w:spacing w:after="0" w:line="49" w:lineRule="exact"/>
        <w:rPr>
          <w:sz w:val="20"/>
          <w:szCs w:val="20"/>
          <w:color w:val="auto"/>
        </w:rPr>
      </w:pPr>
    </w:p>
    <w:p>
      <w:pPr>
        <w:ind w:left="320" w:hanging="313"/>
        <w:spacing w:after="0" w:line="335" w:lineRule="auto"/>
        <w:tabs>
          <w:tab w:leader="none" w:pos="282" w:val="left"/>
        </w:tabs>
        <w:numPr>
          <w:ilvl w:val="0"/>
          <w:numId w:val="32"/>
        </w:numPr>
        <w:rPr>
          <w:rFonts w:ascii="Arial" w:cs="Arial" w:eastAsia="Arial" w:hAnsi="Arial"/>
          <w:sz w:val="16"/>
          <w:szCs w:val="16"/>
          <w:color w:val="0E1020"/>
        </w:rPr>
      </w:pPr>
      <w:r>
        <w:rPr>
          <w:rFonts w:ascii="Arial" w:cs="Arial" w:eastAsia="Arial" w:hAnsi="Arial"/>
          <w:sz w:val="16"/>
          <w:szCs w:val="16"/>
          <w:color w:val="0E1020"/>
        </w:rPr>
        <w:t>the number and type of shares, cash or property subject to outstanding awards granted under the 2017 DIP, and the exercise or purchase price per share; and</w:t>
      </w:r>
    </w:p>
    <w:p>
      <w:pPr>
        <w:spacing w:after="0" w:line="35" w:lineRule="exact"/>
        <w:rPr>
          <w:rFonts w:ascii="Arial" w:cs="Arial" w:eastAsia="Arial" w:hAnsi="Arial"/>
          <w:sz w:val="16"/>
          <w:szCs w:val="16"/>
          <w:color w:val="0E1020"/>
        </w:rPr>
      </w:pPr>
    </w:p>
    <w:p>
      <w:pPr>
        <w:ind w:left="300" w:hanging="293"/>
        <w:spacing w:after="0"/>
        <w:tabs>
          <w:tab w:leader="none" w:pos="300" w:val="left"/>
        </w:tabs>
        <w:numPr>
          <w:ilvl w:val="0"/>
          <w:numId w:val="32"/>
        </w:numPr>
        <w:rPr>
          <w:rFonts w:ascii="Arial" w:cs="Arial" w:eastAsia="Arial" w:hAnsi="Arial"/>
          <w:sz w:val="16"/>
          <w:szCs w:val="16"/>
          <w:color w:val="0E1020"/>
        </w:rPr>
      </w:pPr>
      <w:r>
        <w:rPr>
          <w:rFonts w:ascii="Arial" w:cs="Arial" w:eastAsia="Arial" w:hAnsi="Arial"/>
          <w:sz w:val="16"/>
          <w:szCs w:val="16"/>
          <w:color w:val="0E1020"/>
        </w:rPr>
        <w:t>the maximum number and type of shares authorized for issuance under the 2017 DIP.</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Plan Amendments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0E1020"/>
        </w:rPr>
        <w:t>The Board may amend or terminate all or any part of the 2017 DIP at any time and in any manner, subject to the following:</w:t>
      </w:r>
    </w:p>
    <w:p>
      <w:pPr>
        <w:spacing w:after="0" w:line="138" w:lineRule="exact"/>
        <w:rPr>
          <w:sz w:val="20"/>
          <w:szCs w:val="20"/>
          <w:color w:val="auto"/>
        </w:rPr>
      </w:pPr>
    </w:p>
    <w:p>
      <w:pPr>
        <w:ind w:left="320" w:right="120" w:hanging="313"/>
        <w:spacing w:after="0" w:line="307" w:lineRule="auto"/>
        <w:tabs>
          <w:tab w:leader="none" w:pos="282" w:val="left"/>
        </w:tabs>
        <w:numPr>
          <w:ilvl w:val="0"/>
          <w:numId w:val="33"/>
        </w:numPr>
        <w:rPr>
          <w:rFonts w:ascii="Arial" w:cs="Arial" w:eastAsia="Arial" w:hAnsi="Arial"/>
          <w:sz w:val="16"/>
          <w:szCs w:val="16"/>
          <w:color w:val="0E1020"/>
        </w:rPr>
      </w:pPr>
      <w:r>
        <w:rPr>
          <w:rFonts w:ascii="Arial" w:cs="Arial" w:eastAsia="Arial" w:hAnsi="Arial"/>
          <w:sz w:val="16"/>
          <w:szCs w:val="16"/>
          <w:color w:val="0E1020"/>
        </w:rPr>
        <w:t>Our stockholders must approve any amendment or termination if (i) stockholder approval is required by the SEC, NYSE or any taxing authority, or (ii) the amendment or termination would materially increase the benefits accruing to non-employee directors or the maximum number of shares which may be issued under the 2017 DIP, or materially modify the 2017 DIP’s eligibility requirements; and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32</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40" w:name="page41"/>
    <w:bookmarkEnd w:id="40"/>
    <w:p>
      <w:pPr>
        <w:ind w:left="20"/>
        <w:spacing w:after="0"/>
        <w:tabs>
          <w:tab w:leader="none" w:pos="1052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0E1020"/>
        </w:rPr>
        <w:t>Proposal 5</w:t>
      </w:r>
    </w:p>
    <w:p>
      <w:pPr>
        <w:spacing w:after="0" w:line="200" w:lineRule="exact"/>
        <w:rPr>
          <w:sz w:val="20"/>
          <w:szCs w:val="20"/>
          <w:color w:val="auto"/>
        </w:rPr>
      </w:pPr>
    </w:p>
    <w:p>
      <w:pPr>
        <w:spacing w:after="0" w:line="358" w:lineRule="exact"/>
        <w:rPr>
          <w:sz w:val="20"/>
          <w:szCs w:val="20"/>
          <w:color w:val="auto"/>
        </w:rPr>
      </w:pPr>
    </w:p>
    <w:p>
      <w:pPr>
        <w:ind w:left="300" w:hanging="293"/>
        <w:spacing w:after="0"/>
        <w:tabs>
          <w:tab w:leader="none" w:pos="300" w:val="left"/>
        </w:tabs>
        <w:numPr>
          <w:ilvl w:val="0"/>
          <w:numId w:val="34"/>
        </w:numPr>
        <w:rPr>
          <w:rFonts w:ascii="Arial" w:cs="Arial" w:eastAsia="Arial" w:hAnsi="Arial"/>
          <w:sz w:val="16"/>
          <w:szCs w:val="16"/>
          <w:color w:val="0E1020"/>
        </w:rPr>
      </w:pPr>
      <w:r>
        <w:rPr>
          <w:rFonts w:ascii="Arial" w:cs="Arial" w:eastAsia="Arial" w:hAnsi="Arial"/>
          <w:sz w:val="16"/>
          <w:szCs w:val="16"/>
          <w:color w:val="0E1020"/>
        </w:rPr>
        <w:t>Non-employee directors must consent to any amendment or termination that would impair their rights under outstanding awards.</w:t>
      </w:r>
    </w:p>
    <w:p>
      <w:pPr>
        <w:spacing w:after="0" w:line="218" w:lineRule="exact"/>
        <w:rPr>
          <w:sz w:val="20"/>
          <w:szCs w:val="20"/>
          <w:color w:val="auto"/>
        </w:rPr>
      </w:pPr>
    </w:p>
    <w:p>
      <w:pPr>
        <w:ind w:right="20"/>
        <w:spacing w:after="0" w:line="335" w:lineRule="auto"/>
        <w:rPr>
          <w:sz w:val="20"/>
          <w:szCs w:val="20"/>
          <w:color w:val="auto"/>
        </w:rPr>
      </w:pPr>
      <w:r>
        <w:rPr>
          <w:rFonts w:ascii="Arial" w:cs="Arial" w:eastAsia="Arial" w:hAnsi="Arial"/>
          <w:sz w:val="16"/>
          <w:szCs w:val="16"/>
          <w:color w:val="0E1020"/>
        </w:rPr>
        <w:t>The Administrator may amend the terms of any outstanding award, but no such amendment may impair the rights of any non-employee director without his or her consent.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Plan Duration</w:t>
      </w:r>
    </w:p>
    <w:p>
      <w:pPr>
        <w:spacing w:after="0" w:line="133" w:lineRule="exact"/>
        <w:rPr>
          <w:sz w:val="20"/>
          <w:szCs w:val="20"/>
          <w:color w:val="auto"/>
        </w:rPr>
      </w:pPr>
    </w:p>
    <w:p>
      <w:pPr>
        <w:jc w:val="both"/>
        <w:ind w:right="220"/>
        <w:spacing w:after="0" w:line="316" w:lineRule="auto"/>
        <w:rPr>
          <w:sz w:val="20"/>
          <w:szCs w:val="20"/>
          <w:color w:val="auto"/>
        </w:rPr>
      </w:pPr>
      <w:r>
        <w:rPr>
          <w:rFonts w:ascii="Arial" w:cs="Arial" w:eastAsia="Arial" w:hAnsi="Arial"/>
          <w:sz w:val="16"/>
          <w:szCs w:val="16"/>
          <w:color w:val="0E1020"/>
        </w:rPr>
        <w:t>Currently, no award may be granted under the 2017 DIP after March 30, 2027, but any award granted prior to that date may extend beyond that date. If the stockholders approve this proposal, then no award may be granted under the 2017 DIP after March 30, 2037, but any award granted prior to that date may extend beyond that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Material Federal Income Tax Treatment</w:t>
      </w:r>
    </w:p>
    <w:p>
      <w:pPr>
        <w:spacing w:after="0" w:line="133" w:lineRule="exact"/>
        <w:rPr>
          <w:sz w:val="20"/>
          <w:szCs w:val="20"/>
          <w:color w:val="auto"/>
        </w:rPr>
      </w:pPr>
    </w:p>
    <w:p>
      <w:pPr>
        <w:jc w:val="both"/>
        <w:ind w:right="40"/>
        <w:spacing w:after="0" w:line="310" w:lineRule="auto"/>
        <w:rPr>
          <w:sz w:val="20"/>
          <w:szCs w:val="20"/>
          <w:color w:val="auto"/>
        </w:rPr>
      </w:pPr>
      <w:r>
        <w:rPr>
          <w:rFonts w:ascii="Arial" w:cs="Arial" w:eastAsia="Arial" w:hAnsi="Arial"/>
          <w:sz w:val="16"/>
          <w:szCs w:val="16"/>
          <w:color w:val="0E1020"/>
        </w:rPr>
        <w:t>The following is a brief description of the principal effect of U.S. federal income taxation upon a non-employee director and the Company with respect to the grant and settlement of awards under the 2017 DIP, based on U.S. federal income tax laws in effect on the date hereof. The following is only a summary and therefore is not complete, does not discuss the income tax laws of any state or foreign country in which a non-employee director may reside, and is subject to change.</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Restricted Stock</w:t>
      </w:r>
    </w:p>
    <w:p>
      <w:pPr>
        <w:spacing w:after="0" w:line="9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0E1020"/>
        </w:rPr>
        <w:t>Pursuant to the 2017 DIP, non-employee directors may be granted restricted stock. Unless the non-employee director makes a timely election under Section 83(b) of the Internal Revenue Code, he or she will generally not recognize any taxable income until the restrictions on the shares expire or are removed, at which time the non-employee director will recognize ordinary income in an amount equal to the excess of the fair market value of the shares at that time over the purchase price for the restricted shares, if any. If the non-employee director makes an election under Section 83(b) within 30 days after the date of grant of the restricted stock, he or she will recognize ordinary income on the date of grant equal to the fair market value of the shares on the date of grant. We will generally be entitled to a deduction equal to the amount of ordinary income recognized by the non-employee director.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Restricted Stock Units</w:t>
      </w:r>
    </w:p>
    <w:p>
      <w:pPr>
        <w:spacing w:after="0" w:line="9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0E1020"/>
        </w:rPr>
        <w:t>Pursuant to the 2017 DIP, non-employee directors may be granted RSUs. The grant of an RSU is generally not a taxable event for the non-employee director. In general, the non-employee director will not recognize any taxable income until the shares of our common stock subject to the RSU (or cash equal to the value of such shares) are distributed to him or her without any restrictions, at which time the non-employee director will recognize ordinary income equal to the fair market value of the shares (or cash) at that time. We will generally be entitled to a deduction equal to the amount of ordinary income recognized by the non-employee director.</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Section 409A</w:t>
      </w:r>
    </w:p>
    <w:p>
      <w:pPr>
        <w:spacing w:after="0" w:line="98" w:lineRule="exact"/>
        <w:rPr>
          <w:sz w:val="20"/>
          <w:szCs w:val="20"/>
          <w:color w:val="auto"/>
        </w:rPr>
      </w:pPr>
    </w:p>
    <w:p>
      <w:pPr>
        <w:spacing w:after="0" w:line="307" w:lineRule="auto"/>
        <w:rPr>
          <w:sz w:val="20"/>
          <w:szCs w:val="20"/>
          <w:color w:val="auto"/>
        </w:rPr>
      </w:pPr>
      <w:r>
        <w:rPr>
          <w:rFonts w:ascii="Arial" w:cs="Arial" w:eastAsia="Arial" w:hAnsi="Arial"/>
          <w:sz w:val="16"/>
          <w:szCs w:val="16"/>
          <w:color w:val="0E1020"/>
        </w:rPr>
        <w:t>Awards made under the 2017 DIP are intended to comply with or be exempt from Section 409A of the Internal Revenue Code. If any provision or award under the 2017 DIP would result in the imposition of an additional tax under Section 409A, that Plan provision or award will be reformed to avoid imposition of the additional tax and no action taken to comply with Section 409A shall be deemed to adversely affect the non-employee director’s rights to an award.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33</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41" w:name="page42"/>
    <w:bookmarkEnd w:id="41"/>
    <w:p>
      <w:pPr>
        <w:ind w:left="20"/>
        <w:spacing w:after="0"/>
        <w:tabs>
          <w:tab w:leader="none" w:pos="10100" w:val="left"/>
        </w:tabs>
        <w:rPr>
          <w:sz w:val="20"/>
          <w:szCs w:val="20"/>
          <w:color w:val="auto"/>
        </w:rPr>
      </w:pPr>
      <w:r>
        <w:rPr>
          <w:rFonts w:ascii="Arial" w:cs="Arial" w:eastAsia="Arial" w:hAnsi="Arial"/>
          <w:sz w:val="14"/>
          <w:szCs w:val="14"/>
          <w:color w:val="auto"/>
        </w:rPr>
        <w:t>Proposal 5</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New Plan Benefits</w:t>
      </w:r>
    </w:p>
    <w:p>
      <w:pPr>
        <w:spacing w:after="0" w:line="146"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0E1020"/>
        </w:rPr>
        <w:t>The number and type of awards that may be granted under the 2017 DIP in the future are not determinable at this time as the Board, as applicable, will make these determinations in its sole discretion. Pursuant to SEC rules, the Existing Plan Benefits table set forth above in “Proposal 4” of this Proxy Statement lists the number of RSUs granted under the 2017 DIP from March 30, 2017 (when the 2017 DIP was initially approved by stockholders) through March 31, 2026, whether or not outstanding, vested, or forfeited, as applicable.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Other information</w:t>
      </w:r>
    </w:p>
    <w:p>
      <w:pPr>
        <w:spacing w:after="0" w:line="133" w:lineRule="exact"/>
        <w:rPr>
          <w:sz w:val="20"/>
          <w:szCs w:val="20"/>
          <w:color w:val="auto"/>
        </w:rPr>
      </w:pPr>
    </w:p>
    <w:p>
      <w:pPr>
        <w:spacing w:after="0" w:line="335" w:lineRule="auto"/>
        <w:rPr>
          <w:sz w:val="20"/>
          <w:szCs w:val="20"/>
          <w:color w:val="auto"/>
        </w:rPr>
      </w:pPr>
      <w:r>
        <w:rPr>
          <w:rFonts w:ascii="Arial" w:cs="Arial" w:eastAsia="Arial" w:hAnsi="Arial"/>
          <w:sz w:val="16"/>
          <w:szCs w:val="16"/>
          <w:color w:val="0E1020"/>
        </w:rPr>
        <w:t>Since the inception of the 2017 DIP on March 30, 2017, we have not granted any stock options under the 2017 DIP to any of our non-employee directors or to any named executive officer, other executive, employee or other person, including any associate of the above.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0E1020"/>
        </w:rPr>
        <w:t>As of March 31, 2026, the closing price of a share of our common stock on the New York Stock Exchange was $12.57 per share.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34</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42" w:name="page43"/>
    <w:bookmarkEnd w:id="42"/>
    <w:p>
      <w:pPr>
        <w:ind w:left="2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6166485</wp:posOffset>
            </wp:positionH>
            <wp:positionV relativeFrom="page">
              <wp:posOffset>106045</wp:posOffset>
            </wp:positionV>
            <wp:extent cx="1166495" cy="3232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232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39"/>
          <w:szCs w:val="39"/>
          <w:b w:val="1"/>
          <w:bCs w:val="1"/>
          <w:color w:val="0E1020"/>
        </w:rPr>
        <w:t>CORPORATE GOVERNANCE</w:t>
      </w: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The Board</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E1020"/>
        </w:rPr>
        <w:t>DXC is committed to maintaining the highest standards of corporate governance. The Board’s responsibilities include, but are not limited to:</w:t>
      </w:r>
    </w:p>
    <w:p>
      <w:pPr>
        <w:spacing w:after="0" w:line="138" w:lineRule="exact"/>
        <w:rPr>
          <w:sz w:val="20"/>
          <w:szCs w:val="20"/>
          <w:color w:val="auto"/>
        </w:rPr>
      </w:pPr>
    </w:p>
    <w:p>
      <w:pPr>
        <w:ind w:left="300" w:hanging="293"/>
        <w:spacing w:after="0"/>
        <w:tabs>
          <w:tab w:leader="none" w:pos="300" w:val="left"/>
        </w:tabs>
        <w:numPr>
          <w:ilvl w:val="0"/>
          <w:numId w:val="35"/>
        </w:numPr>
        <w:rPr>
          <w:rFonts w:ascii="Arial" w:cs="Arial" w:eastAsia="Arial" w:hAnsi="Arial"/>
          <w:sz w:val="16"/>
          <w:szCs w:val="16"/>
          <w:color w:val="0E1020"/>
        </w:rPr>
      </w:pPr>
      <w:r>
        <w:rPr>
          <w:rFonts w:ascii="Arial" w:cs="Arial" w:eastAsia="Arial" w:hAnsi="Arial"/>
          <w:sz w:val="16"/>
          <w:szCs w:val="16"/>
          <w:color w:val="0E1020"/>
        </w:rPr>
        <w:t>overseeing the management of our business and the assessment of our business risks;</w:t>
      </w:r>
    </w:p>
    <w:p>
      <w:pPr>
        <w:spacing w:after="0" w:line="124" w:lineRule="exact"/>
        <w:rPr>
          <w:rFonts w:ascii="Arial" w:cs="Arial" w:eastAsia="Arial" w:hAnsi="Arial"/>
          <w:sz w:val="16"/>
          <w:szCs w:val="16"/>
          <w:color w:val="0E1020"/>
        </w:rPr>
      </w:pPr>
    </w:p>
    <w:p>
      <w:pPr>
        <w:ind w:left="320" w:right="440" w:hanging="313"/>
        <w:spacing w:after="0" w:line="335" w:lineRule="auto"/>
        <w:tabs>
          <w:tab w:leader="none" w:pos="282" w:val="left"/>
        </w:tabs>
        <w:numPr>
          <w:ilvl w:val="0"/>
          <w:numId w:val="35"/>
        </w:numPr>
        <w:rPr>
          <w:rFonts w:ascii="Arial" w:cs="Arial" w:eastAsia="Arial" w:hAnsi="Arial"/>
          <w:sz w:val="16"/>
          <w:szCs w:val="16"/>
          <w:color w:val="0E1020"/>
        </w:rPr>
      </w:pPr>
      <w:r>
        <w:rPr>
          <w:rFonts w:ascii="Arial" w:cs="Arial" w:eastAsia="Arial" w:hAnsi="Arial"/>
          <w:sz w:val="16"/>
          <w:szCs w:val="16"/>
          <w:color w:val="0E1020"/>
        </w:rPr>
        <w:t>overseeing the processes for maintaining integrity with regard to our financial statements and other public disclosures, and compliance with law and ethics;</w:t>
      </w:r>
    </w:p>
    <w:p>
      <w:pPr>
        <w:spacing w:after="0" w:line="22" w:lineRule="exact"/>
        <w:rPr>
          <w:rFonts w:ascii="Arial" w:cs="Arial" w:eastAsia="Arial" w:hAnsi="Arial"/>
          <w:sz w:val="16"/>
          <w:szCs w:val="16"/>
          <w:color w:val="0E1020"/>
        </w:rPr>
      </w:pPr>
    </w:p>
    <w:p>
      <w:pPr>
        <w:ind w:left="300" w:hanging="293"/>
        <w:spacing w:after="0"/>
        <w:tabs>
          <w:tab w:leader="none" w:pos="300" w:val="left"/>
        </w:tabs>
        <w:numPr>
          <w:ilvl w:val="0"/>
          <w:numId w:val="35"/>
        </w:numPr>
        <w:rPr>
          <w:rFonts w:ascii="Arial" w:cs="Arial" w:eastAsia="Arial" w:hAnsi="Arial"/>
          <w:sz w:val="16"/>
          <w:szCs w:val="16"/>
          <w:color w:val="0E1020"/>
        </w:rPr>
      </w:pPr>
      <w:r>
        <w:rPr>
          <w:rFonts w:ascii="Arial" w:cs="Arial" w:eastAsia="Arial" w:hAnsi="Arial"/>
          <w:sz w:val="16"/>
          <w:szCs w:val="16"/>
          <w:color w:val="0E1020"/>
        </w:rPr>
        <w:t>reviewing and approving our major financial objectives and strategic and operating plans, and other significant actions; and</w:t>
      </w:r>
    </w:p>
    <w:p>
      <w:pPr>
        <w:spacing w:after="0" w:line="137" w:lineRule="exact"/>
        <w:rPr>
          <w:rFonts w:ascii="Arial" w:cs="Arial" w:eastAsia="Arial" w:hAnsi="Arial"/>
          <w:sz w:val="16"/>
          <w:szCs w:val="16"/>
          <w:color w:val="0E1020"/>
        </w:rPr>
      </w:pPr>
    </w:p>
    <w:p>
      <w:pPr>
        <w:ind w:left="300" w:hanging="293"/>
        <w:spacing w:after="0"/>
        <w:tabs>
          <w:tab w:leader="none" w:pos="300" w:val="left"/>
        </w:tabs>
        <w:numPr>
          <w:ilvl w:val="0"/>
          <w:numId w:val="35"/>
        </w:numPr>
        <w:rPr>
          <w:rFonts w:ascii="Arial" w:cs="Arial" w:eastAsia="Arial" w:hAnsi="Arial"/>
          <w:sz w:val="16"/>
          <w:szCs w:val="16"/>
          <w:color w:val="0E1020"/>
        </w:rPr>
      </w:pPr>
      <w:r>
        <w:rPr>
          <w:rFonts w:ascii="Arial" w:cs="Arial" w:eastAsia="Arial" w:hAnsi="Arial"/>
          <w:sz w:val="16"/>
          <w:szCs w:val="16"/>
          <w:color w:val="0E1020"/>
        </w:rPr>
        <w:t>overseeing our talent management and succession planning.</w:t>
      </w:r>
    </w:p>
    <w:p>
      <w:pPr>
        <w:spacing w:after="0" w:line="218" w:lineRule="exact"/>
        <w:rPr>
          <w:sz w:val="20"/>
          <w:szCs w:val="20"/>
          <w:color w:val="auto"/>
        </w:rPr>
      </w:pPr>
    </w:p>
    <w:p>
      <w:pPr>
        <w:ind w:right="300"/>
        <w:spacing w:after="0" w:line="316" w:lineRule="auto"/>
        <w:rPr>
          <w:sz w:val="20"/>
          <w:szCs w:val="20"/>
          <w:color w:val="auto"/>
        </w:rPr>
      </w:pPr>
      <w:r>
        <w:rPr>
          <w:rFonts w:ascii="Arial" w:cs="Arial" w:eastAsia="Arial" w:hAnsi="Arial"/>
          <w:sz w:val="16"/>
          <w:szCs w:val="16"/>
          <w:color w:val="0E1020"/>
        </w:rPr>
        <w:t>The Board discharges its responsibilities through regularly scheduled in-person as well as telephonic meetings, action by written consent and other communications with management, as appropriate. DXC expects directors to attend all meetings of the Board and the Board committees upon which they serve, and all annual meetings of DXC’s stockholders at which they are standing for election or re-election as directors.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0E1020"/>
        </w:rPr>
        <w:t>In this section, we describe some of our key governance policies and practices.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Corporate Governance Guidelines</w:t>
      </w:r>
    </w:p>
    <w:p>
      <w:pPr>
        <w:spacing w:after="0" w:line="133" w:lineRule="exact"/>
        <w:rPr>
          <w:sz w:val="20"/>
          <w:szCs w:val="20"/>
          <w:color w:val="auto"/>
        </w:rPr>
      </w:pPr>
    </w:p>
    <w:p>
      <w:pPr>
        <w:jc w:val="both"/>
        <w:ind w:right="240"/>
        <w:spacing w:after="0" w:line="310" w:lineRule="auto"/>
        <w:rPr>
          <w:sz w:val="20"/>
          <w:szCs w:val="20"/>
          <w:color w:val="auto"/>
        </w:rPr>
      </w:pPr>
      <w:r>
        <w:rPr>
          <w:rFonts w:ascii="Arial" w:cs="Arial" w:eastAsia="Arial" w:hAnsi="Arial"/>
          <w:sz w:val="16"/>
          <w:szCs w:val="16"/>
          <w:color w:val="0E1020"/>
        </w:rPr>
        <w:t>The Board adheres to governance principles designed to ensure excellence in the execution of its duties and regularly reviews the Company’s governance policies and practices. These principles are outlined in DXC’s Guidelines, which, in conjunction with our Articles of Incorporation (Articles of Incorporation), Amended and Restated Bylaws (Bylaws), Code of Conduct (Code of Conduct), Board committee charters and related policies, form the framework for the effective governance of DXC.</w:t>
      </w:r>
    </w:p>
    <w:p>
      <w:pPr>
        <w:spacing w:after="0" w:line="41"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0E1020"/>
        </w:rPr>
        <w:t>The full text of the Guidelines, the charters for each of the Board committees and the Code of Conduct are available on DXC’s website, www.dxc.com, under About Us/Investor Relations/Governance/Governance Documents. These materials are also available in print to any person, without charge, upon request, by emailing investor.relations@dxc.com or writing to Investor Relations, DXC Technology Company, 20408 Bashan Drive, Suite 231, Ashburn, VA 20147.</w:t>
      </w:r>
    </w:p>
    <w:p>
      <w:pPr>
        <w:spacing w:after="0" w:line="1" w:lineRule="exact"/>
        <w:rPr>
          <w:sz w:val="20"/>
          <w:szCs w:val="20"/>
          <w:color w:val="auto"/>
        </w:rPr>
      </w:pPr>
    </w:p>
    <w:p>
      <w:pPr>
        <w:ind w:right="320"/>
        <w:spacing w:after="0" w:line="318" w:lineRule="auto"/>
        <w:rPr>
          <w:sz w:val="20"/>
          <w:szCs w:val="20"/>
          <w:color w:val="auto"/>
        </w:rPr>
      </w:pPr>
      <w:r>
        <w:rPr>
          <w:rFonts w:ascii="Arial" w:cs="Arial" w:eastAsia="Arial" w:hAnsi="Arial"/>
          <w:sz w:val="16"/>
          <w:szCs w:val="16"/>
          <w:color w:val="0E1020"/>
        </w:rPr>
        <w:t>Information on our website is not, and shall not be, deemed to be a part of this Proxy Statement or incorporated into any other filings DXC makes with the SEC.</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Board Leadership Structure</w:t>
      </w:r>
    </w:p>
    <w:p>
      <w:pPr>
        <w:spacing w:after="0" w:line="133" w:lineRule="exact"/>
        <w:rPr>
          <w:sz w:val="20"/>
          <w:szCs w:val="20"/>
          <w:color w:val="auto"/>
        </w:rPr>
      </w:pPr>
    </w:p>
    <w:p>
      <w:pPr>
        <w:ind w:right="240"/>
        <w:spacing w:after="0" w:line="335" w:lineRule="auto"/>
        <w:rPr>
          <w:sz w:val="20"/>
          <w:szCs w:val="20"/>
          <w:color w:val="auto"/>
        </w:rPr>
      </w:pPr>
      <w:r>
        <w:rPr>
          <w:rFonts w:ascii="Arial" w:cs="Arial" w:eastAsia="Arial" w:hAnsi="Arial"/>
          <w:sz w:val="16"/>
          <w:szCs w:val="16"/>
          <w:color w:val="0E1020"/>
        </w:rPr>
        <w:t>Our Board leadership structure consists of an independent Chairman of the Board, a President and Chief Executive Officer, and independent chairs for our Audit Committee, Compensation Committee, and Nominating/Corporate Governance Committee.</w:t>
      </w:r>
    </w:p>
    <w:p>
      <w:pPr>
        <w:spacing w:after="0" w:line="23" w:lineRule="exact"/>
        <w:rPr>
          <w:sz w:val="20"/>
          <w:szCs w:val="20"/>
          <w:color w:val="auto"/>
        </w:rPr>
      </w:pPr>
    </w:p>
    <w:p>
      <w:pPr>
        <w:ind w:right="160"/>
        <w:spacing w:after="0" w:line="316" w:lineRule="auto"/>
        <w:rPr>
          <w:sz w:val="20"/>
          <w:szCs w:val="20"/>
          <w:color w:val="auto"/>
        </w:rPr>
      </w:pPr>
      <w:r>
        <w:rPr>
          <w:rFonts w:ascii="Arial" w:cs="Arial" w:eastAsia="Arial" w:hAnsi="Arial"/>
          <w:sz w:val="16"/>
          <w:szCs w:val="16"/>
          <w:color w:val="0E1020"/>
        </w:rPr>
        <w:t>David Herzog has served as independent Chairman of the Board since December 2023. Mr. Herzog has been a member of the Board since 2017 and previously served as Lead Independent Director. Raul J. Fernandez has served as President and Chief Executive Officer since February 2024, after serving as Interim President and CEO from December 2023. Mr. Fernandez has been a member of the Board since August 2020.</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35</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43" w:name="page44"/>
    <w:bookmarkEnd w:id="43"/>
    <w:p>
      <w:pPr>
        <w:ind w:left="20"/>
        <w:spacing w:after="0"/>
        <w:tabs>
          <w:tab w:leader="none" w:pos="10100" w:val="left"/>
        </w:tabs>
        <w:rPr>
          <w:sz w:val="20"/>
          <w:szCs w:val="20"/>
          <w:color w:val="auto"/>
        </w:rPr>
      </w:pPr>
      <w:r>
        <w:rPr>
          <w:rFonts w:ascii="Arial" w:cs="Arial" w:eastAsia="Arial" w:hAnsi="Arial"/>
          <w:sz w:val="14"/>
          <w:szCs w:val="14"/>
          <w:color w:val="auto"/>
        </w:rPr>
        <w:t>Corporate Governance</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Separation of CEO and Board Chairman Positions</w:t>
      </w:r>
    </w:p>
    <w:p>
      <w:pPr>
        <w:spacing w:after="0" w:line="14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0E1020"/>
        </w:rPr>
        <w:t>The Board has determined that separating the Chairman and Chief Executive Officer roles provides the most effective leadership structure for the Company, considering the evolution of DXC's business strategy and operating environment. In particular, the Board believes that this structure clarifies the individual roles and responsibilities of the Chief Executive Officer and the Chairman and enhances accountability. The separation of roles allows our Chairman to focus on setting Board and committee agendas and ensuring the proper flow of information to the Board by maintaining close contact with the Chief Executive Officer and other members of senior management, while our Chief Executive Officer focuses on execution of our strategy and management of the Company's day-to-day operations. The Board regularly reviews its leadership structure to determine the most beneficial arrangement based on the Company's circumstances.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Independent Board Chairman Duties and Responsibilities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0E1020"/>
        </w:rPr>
        <w:t>In accordance with the Guidelines, as Chairman of the Board, Mr. Herzog has the following duties and responsibilities:</w:t>
      </w:r>
    </w:p>
    <w:p>
      <w:pPr>
        <w:spacing w:after="0" w:line="124" w:lineRule="exact"/>
        <w:rPr>
          <w:sz w:val="20"/>
          <w:szCs w:val="20"/>
          <w:color w:val="auto"/>
        </w:rPr>
      </w:pPr>
    </w:p>
    <w:p>
      <w:pPr>
        <w:ind w:left="300" w:hanging="293"/>
        <w:spacing w:after="0"/>
        <w:tabs>
          <w:tab w:leader="none" w:pos="300" w:val="left"/>
        </w:tabs>
        <w:numPr>
          <w:ilvl w:val="0"/>
          <w:numId w:val="36"/>
        </w:numPr>
        <w:rPr>
          <w:rFonts w:ascii="Arial" w:cs="Arial" w:eastAsia="Arial" w:hAnsi="Arial"/>
          <w:sz w:val="16"/>
          <w:szCs w:val="16"/>
          <w:color w:val="0E1020"/>
        </w:rPr>
      </w:pPr>
      <w:r>
        <w:rPr>
          <w:rFonts w:ascii="Arial" w:cs="Arial" w:eastAsia="Arial" w:hAnsi="Arial"/>
          <w:sz w:val="16"/>
          <w:szCs w:val="16"/>
          <w:color w:val="0E1020"/>
        </w:rPr>
        <w:t>Presiding at annual and special meetings of the stockholders.</w:t>
      </w:r>
    </w:p>
    <w:p>
      <w:pPr>
        <w:spacing w:after="0" w:line="137" w:lineRule="exact"/>
        <w:rPr>
          <w:rFonts w:ascii="Arial" w:cs="Arial" w:eastAsia="Arial" w:hAnsi="Arial"/>
          <w:sz w:val="16"/>
          <w:szCs w:val="16"/>
          <w:color w:val="0E1020"/>
        </w:rPr>
      </w:pPr>
    </w:p>
    <w:p>
      <w:pPr>
        <w:ind w:left="300" w:hanging="293"/>
        <w:spacing w:after="0"/>
        <w:tabs>
          <w:tab w:leader="none" w:pos="300" w:val="left"/>
        </w:tabs>
        <w:numPr>
          <w:ilvl w:val="0"/>
          <w:numId w:val="36"/>
        </w:numPr>
        <w:rPr>
          <w:rFonts w:ascii="Arial" w:cs="Arial" w:eastAsia="Arial" w:hAnsi="Arial"/>
          <w:sz w:val="16"/>
          <w:szCs w:val="16"/>
          <w:color w:val="0E1020"/>
        </w:rPr>
      </w:pPr>
      <w:r>
        <w:rPr>
          <w:rFonts w:ascii="Arial" w:cs="Arial" w:eastAsia="Arial" w:hAnsi="Arial"/>
          <w:sz w:val="16"/>
          <w:szCs w:val="16"/>
          <w:color w:val="0E1020"/>
        </w:rPr>
        <w:t>Presiding at Board meetings, including executive sessions of independent directors.</w:t>
      </w:r>
    </w:p>
    <w:p>
      <w:pPr>
        <w:spacing w:after="0" w:line="124" w:lineRule="exact"/>
        <w:rPr>
          <w:rFonts w:ascii="Arial" w:cs="Arial" w:eastAsia="Arial" w:hAnsi="Arial"/>
          <w:sz w:val="16"/>
          <w:szCs w:val="16"/>
          <w:color w:val="0E1020"/>
        </w:rPr>
      </w:pPr>
    </w:p>
    <w:p>
      <w:pPr>
        <w:ind w:left="300" w:hanging="293"/>
        <w:spacing w:after="0"/>
        <w:tabs>
          <w:tab w:leader="none" w:pos="300" w:val="left"/>
        </w:tabs>
        <w:numPr>
          <w:ilvl w:val="0"/>
          <w:numId w:val="36"/>
        </w:numPr>
        <w:rPr>
          <w:rFonts w:ascii="Arial" w:cs="Arial" w:eastAsia="Arial" w:hAnsi="Arial"/>
          <w:sz w:val="16"/>
          <w:szCs w:val="16"/>
          <w:color w:val="0E1020"/>
        </w:rPr>
      </w:pPr>
      <w:r>
        <w:rPr>
          <w:rFonts w:ascii="Arial" w:cs="Arial" w:eastAsia="Arial" w:hAnsi="Arial"/>
          <w:sz w:val="16"/>
          <w:szCs w:val="16"/>
          <w:color w:val="0E1020"/>
        </w:rPr>
        <w:t>Organizing and presenting the agenda for regular and special Board meetings in consultation with the Chief Executive Officer and other directors.</w:t>
      </w:r>
    </w:p>
    <w:p>
      <w:pPr>
        <w:spacing w:after="0" w:line="137" w:lineRule="exact"/>
        <w:rPr>
          <w:rFonts w:ascii="Arial" w:cs="Arial" w:eastAsia="Arial" w:hAnsi="Arial"/>
          <w:sz w:val="16"/>
          <w:szCs w:val="16"/>
          <w:color w:val="0E1020"/>
        </w:rPr>
      </w:pPr>
    </w:p>
    <w:p>
      <w:pPr>
        <w:ind w:left="320" w:right="220" w:hanging="313"/>
        <w:spacing w:after="0" w:line="318" w:lineRule="auto"/>
        <w:tabs>
          <w:tab w:leader="none" w:pos="282" w:val="left"/>
        </w:tabs>
        <w:numPr>
          <w:ilvl w:val="0"/>
          <w:numId w:val="36"/>
        </w:numPr>
        <w:rPr>
          <w:rFonts w:ascii="Arial" w:cs="Arial" w:eastAsia="Arial" w:hAnsi="Arial"/>
          <w:sz w:val="16"/>
          <w:szCs w:val="16"/>
          <w:color w:val="0E1020"/>
        </w:rPr>
      </w:pPr>
      <w:r>
        <w:rPr>
          <w:rFonts w:ascii="Arial" w:cs="Arial" w:eastAsia="Arial" w:hAnsi="Arial"/>
          <w:sz w:val="16"/>
          <w:szCs w:val="16"/>
          <w:color w:val="0E1020"/>
        </w:rPr>
        <w:t>Serving as a focal point for management to inform the Board, ensuring the proper flow of information to the Board by maintaining close contact with the Chief Executive Officer and other members of senior management.</w:t>
      </w:r>
    </w:p>
    <w:p>
      <w:pPr>
        <w:spacing w:after="0" w:line="48" w:lineRule="exact"/>
        <w:rPr>
          <w:rFonts w:ascii="Arial" w:cs="Arial" w:eastAsia="Arial" w:hAnsi="Arial"/>
          <w:sz w:val="16"/>
          <w:szCs w:val="16"/>
          <w:color w:val="0E1020"/>
        </w:rPr>
      </w:pPr>
    </w:p>
    <w:p>
      <w:pPr>
        <w:ind w:left="300" w:hanging="293"/>
        <w:spacing w:after="0"/>
        <w:tabs>
          <w:tab w:leader="none" w:pos="300" w:val="left"/>
        </w:tabs>
        <w:numPr>
          <w:ilvl w:val="0"/>
          <w:numId w:val="36"/>
        </w:numPr>
        <w:rPr>
          <w:rFonts w:ascii="Arial" w:cs="Arial" w:eastAsia="Arial" w:hAnsi="Arial"/>
          <w:sz w:val="16"/>
          <w:szCs w:val="16"/>
          <w:color w:val="0E1020"/>
        </w:rPr>
      </w:pPr>
      <w:r>
        <w:rPr>
          <w:rFonts w:ascii="Arial" w:cs="Arial" w:eastAsia="Arial" w:hAnsi="Arial"/>
          <w:sz w:val="16"/>
          <w:szCs w:val="16"/>
          <w:color w:val="0E1020"/>
        </w:rPr>
        <w:t>Leading Board reviews of the performance of the Chief Executive Officer and other key senior managers.</w:t>
      </w:r>
    </w:p>
    <w:p>
      <w:pPr>
        <w:spacing w:after="0" w:line="124" w:lineRule="exact"/>
        <w:rPr>
          <w:rFonts w:ascii="Arial" w:cs="Arial" w:eastAsia="Arial" w:hAnsi="Arial"/>
          <w:sz w:val="16"/>
          <w:szCs w:val="16"/>
          <w:color w:val="0E1020"/>
        </w:rPr>
      </w:pPr>
    </w:p>
    <w:p>
      <w:pPr>
        <w:ind w:left="320" w:right="1160" w:hanging="313"/>
        <w:spacing w:after="0" w:line="335" w:lineRule="auto"/>
        <w:tabs>
          <w:tab w:leader="none" w:pos="282" w:val="left"/>
        </w:tabs>
        <w:numPr>
          <w:ilvl w:val="0"/>
          <w:numId w:val="36"/>
        </w:numPr>
        <w:rPr>
          <w:rFonts w:ascii="Arial" w:cs="Arial" w:eastAsia="Arial" w:hAnsi="Arial"/>
          <w:sz w:val="16"/>
          <w:szCs w:val="16"/>
          <w:color w:val="0E1020"/>
        </w:rPr>
      </w:pPr>
      <w:r>
        <w:rPr>
          <w:rFonts w:ascii="Arial" w:cs="Arial" w:eastAsia="Arial" w:hAnsi="Arial"/>
          <w:sz w:val="16"/>
          <w:szCs w:val="16"/>
          <w:color w:val="0E1020"/>
        </w:rPr>
        <w:t>Working with the Nominating/Corporate Governance Committee to develop guidelines for the conduct of directors and to advise in making recommendations to the Board regarding director candidates.</w:t>
      </w:r>
    </w:p>
    <w:p>
      <w:pPr>
        <w:spacing w:after="0" w:line="35" w:lineRule="exact"/>
        <w:rPr>
          <w:rFonts w:ascii="Arial" w:cs="Arial" w:eastAsia="Arial" w:hAnsi="Arial"/>
          <w:sz w:val="16"/>
          <w:szCs w:val="16"/>
          <w:color w:val="0E1020"/>
        </w:rPr>
      </w:pPr>
    </w:p>
    <w:p>
      <w:pPr>
        <w:ind w:left="320" w:right="620" w:hanging="313"/>
        <w:spacing w:after="0" w:line="318" w:lineRule="auto"/>
        <w:tabs>
          <w:tab w:leader="none" w:pos="282" w:val="left"/>
        </w:tabs>
        <w:numPr>
          <w:ilvl w:val="0"/>
          <w:numId w:val="36"/>
        </w:numPr>
        <w:rPr>
          <w:rFonts w:ascii="Arial" w:cs="Arial" w:eastAsia="Arial" w:hAnsi="Arial"/>
          <w:sz w:val="16"/>
          <w:szCs w:val="16"/>
          <w:color w:val="0E1020"/>
        </w:rPr>
      </w:pPr>
      <w:r>
        <w:rPr>
          <w:rFonts w:ascii="Arial" w:cs="Arial" w:eastAsia="Arial" w:hAnsi="Arial"/>
          <w:sz w:val="16"/>
          <w:szCs w:val="16"/>
          <w:color w:val="0E1020"/>
        </w:rPr>
        <w:t>Working with the Nominating/Corporate Governance Committee to determine standing and ad hoc committees, committee structure and charters, committee assignments and committee chairpersons.</w:t>
      </w:r>
    </w:p>
    <w:p>
      <w:pPr>
        <w:spacing w:after="0" w:line="48" w:lineRule="exact"/>
        <w:rPr>
          <w:rFonts w:ascii="Arial" w:cs="Arial" w:eastAsia="Arial" w:hAnsi="Arial"/>
          <w:sz w:val="16"/>
          <w:szCs w:val="16"/>
          <w:color w:val="0E1020"/>
        </w:rPr>
      </w:pPr>
    </w:p>
    <w:p>
      <w:pPr>
        <w:ind w:left="320" w:hanging="313"/>
        <w:spacing w:after="0" w:line="307" w:lineRule="auto"/>
        <w:tabs>
          <w:tab w:leader="none" w:pos="282" w:val="left"/>
        </w:tabs>
        <w:numPr>
          <w:ilvl w:val="0"/>
          <w:numId w:val="36"/>
        </w:numPr>
        <w:rPr>
          <w:rFonts w:ascii="Arial" w:cs="Arial" w:eastAsia="Arial" w:hAnsi="Arial"/>
          <w:sz w:val="16"/>
          <w:szCs w:val="16"/>
          <w:color w:val="0E1020"/>
        </w:rPr>
      </w:pPr>
      <w:r>
        <w:rPr>
          <w:rFonts w:ascii="Arial" w:cs="Arial" w:eastAsia="Arial" w:hAnsi="Arial"/>
          <w:sz w:val="16"/>
          <w:szCs w:val="16"/>
          <w:color w:val="0E1020"/>
        </w:rPr>
        <w:t>Serving as an ex-officio, non-voting member of each standing committee of the Board and attending committee meetings as deemed appropriate. However, the Board may appoint the non-executive Chair as a member of a standing committee of the Board, in which case the non-executive Chair shall have the same responsibilities as other committee members, as applicable.</w:t>
      </w:r>
    </w:p>
    <w:p>
      <w:pPr>
        <w:spacing w:after="0" w:line="58" w:lineRule="exact"/>
        <w:rPr>
          <w:rFonts w:ascii="Arial" w:cs="Arial" w:eastAsia="Arial" w:hAnsi="Arial"/>
          <w:sz w:val="16"/>
          <w:szCs w:val="16"/>
          <w:color w:val="0E1020"/>
        </w:rPr>
      </w:pPr>
    </w:p>
    <w:p>
      <w:pPr>
        <w:ind w:left="300" w:hanging="293"/>
        <w:spacing w:after="0"/>
        <w:tabs>
          <w:tab w:leader="none" w:pos="300" w:val="left"/>
        </w:tabs>
        <w:numPr>
          <w:ilvl w:val="0"/>
          <w:numId w:val="36"/>
        </w:numPr>
        <w:rPr>
          <w:rFonts w:ascii="Arial" w:cs="Arial" w:eastAsia="Arial" w:hAnsi="Arial"/>
          <w:sz w:val="16"/>
          <w:szCs w:val="16"/>
          <w:color w:val="0E1020"/>
        </w:rPr>
      </w:pPr>
      <w:r>
        <w:rPr>
          <w:rFonts w:ascii="Arial" w:cs="Arial" w:eastAsia="Arial" w:hAnsi="Arial"/>
          <w:sz w:val="16"/>
          <w:szCs w:val="16"/>
          <w:color w:val="0E1020"/>
        </w:rPr>
        <w:t>Assisting in representing the Company to external groups.</w:t>
      </w:r>
    </w:p>
    <w:p>
      <w:pPr>
        <w:spacing w:after="0" w:line="124" w:lineRule="exact"/>
        <w:rPr>
          <w:rFonts w:ascii="Arial" w:cs="Arial" w:eastAsia="Arial" w:hAnsi="Arial"/>
          <w:sz w:val="16"/>
          <w:szCs w:val="16"/>
          <w:color w:val="0E1020"/>
        </w:rPr>
      </w:pPr>
    </w:p>
    <w:p>
      <w:pPr>
        <w:ind w:left="300" w:hanging="293"/>
        <w:spacing w:after="0"/>
        <w:tabs>
          <w:tab w:leader="none" w:pos="300" w:val="left"/>
        </w:tabs>
        <w:numPr>
          <w:ilvl w:val="0"/>
          <w:numId w:val="36"/>
        </w:numPr>
        <w:rPr>
          <w:rFonts w:ascii="Arial" w:cs="Arial" w:eastAsia="Arial" w:hAnsi="Arial"/>
          <w:sz w:val="16"/>
          <w:szCs w:val="16"/>
          <w:color w:val="0E1020"/>
        </w:rPr>
      </w:pPr>
      <w:r>
        <w:rPr>
          <w:rFonts w:ascii="Arial" w:cs="Arial" w:eastAsia="Arial" w:hAnsi="Arial"/>
          <w:sz w:val="16"/>
          <w:szCs w:val="16"/>
          <w:color w:val="0E1020"/>
        </w:rPr>
        <w:t>Recommending outside advisors and consultants that report to the Board on board-wide issues.</w:t>
      </w:r>
    </w:p>
    <w:p>
      <w:pPr>
        <w:spacing w:after="0" w:line="232"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0E1020"/>
        </w:rPr>
        <w:t>The Board believes that regular executive sessions of independent directors, held without the presence of management to discuss various matters related to the oversight of the Company, including the Board's leadership structure and the President and Chief Executive Officer's performance, are a key element of effective, independent oversight. Accordingly, our independent directors meet in executive session at each regularly scheduled Board meeting and at such additional times as they may determine.</w:t>
      </w:r>
    </w:p>
    <w:p>
      <w:pPr>
        <w:spacing w:after="0" w:line="46" w:lineRule="exact"/>
        <w:rPr>
          <w:sz w:val="20"/>
          <w:szCs w:val="20"/>
          <w:color w:val="auto"/>
        </w:rPr>
      </w:pPr>
    </w:p>
    <w:p>
      <w:pPr>
        <w:ind w:right="520"/>
        <w:spacing w:after="0" w:line="316" w:lineRule="auto"/>
        <w:rPr>
          <w:sz w:val="20"/>
          <w:szCs w:val="20"/>
          <w:color w:val="auto"/>
        </w:rPr>
      </w:pPr>
      <w:r>
        <w:rPr>
          <w:rFonts w:ascii="Arial" w:cs="Arial" w:eastAsia="Arial" w:hAnsi="Arial"/>
          <w:sz w:val="16"/>
          <w:szCs w:val="16"/>
          <w:color w:val="0E1020"/>
        </w:rPr>
        <w:t>DXC’s governance processes also include annual evaluations by the independent directors of the Chief Executive Officer’s performance, succession planning, annual Board and committee self-assessments, and the various governance processes contained in the Guidelines and the Board committee charters.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Director Independence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Independent Directors</w:t>
      </w:r>
    </w:p>
    <w:p>
      <w:pPr>
        <w:spacing w:after="0" w:line="98"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0E1020"/>
        </w:rPr>
        <w:t>The Board assesses the independence of our directors and examines the nature and extent of any relations between the Company and our directors, their families and their affiliates. The Guidelines provide that a director is “independent” if they satisfy the New York Stock Exchange (NYSE) requirements for director independence, including an affirmative determination by the Board of Directors that the director has no material relationship with DXC (either directly, or as a partner, stockholder or officer of an organization that has a relationship with DXC).</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36</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44" w:name="page45"/>
    <w:bookmarkEnd w:id="44"/>
    <w:p>
      <w:pPr>
        <w:ind w:left="20"/>
        <w:spacing w:after="0"/>
        <w:tabs>
          <w:tab w:leader="none" w:pos="976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0E1020"/>
        </w:rPr>
        <w:t>Corporate Governance</w:t>
      </w:r>
    </w:p>
    <w:p>
      <w:pPr>
        <w:spacing w:after="0" w:line="200" w:lineRule="exact"/>
        <w:rPr>
          <w:sz w:val="20"/>
          <w:szCs w:val="20"/>
          <w:color w:val="auto"/>
        </w:rPr>
      </w:pPr>
    </w:p>
    <w:p>
      <w:pPr>
        <w:spacing w:after="0" w:line="358"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0E1020"/>
        </w:rPr>
        <w:t>The Board has determined that, except for Raul J. Fernandez, the Company’s President and Chief Executive Officer, all of the Company’s director nominees, namely David A. Barnes, Anthony Gonzalez, David L. Herzog, Pinkie D. Mayfield, Dawn Rogers, Carrie W. Teffner, Akihiko Washington and Robert F. Woods, are independent for purposes of the Guidelines. The Board also determined that, except for Raul J. Fernandez, all of the Company’s current directors were independent during fiscal 2026.</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Independent Director Meetings</w:t>
      </w:r>
    </w:p>
    <w:p>
      <w:pPr>
        <w:spacing w:after="0" w:line="98" w:lineRule="exact"/>
        <w:rPr>
          <w:sz w:val="20"/>
          <w:szCs w:val="20"/>
          <w:color w:val="auto"/>
        </w:rPr>
      </w:pPr>
    </w:p>
    <w:p>
      <w:pPr>
        <w:ind w:right="480"/>
        <w:spacing w:after="0" w:line="318" w:lineRule="auto"/>
        <w:rPr>
          <w:sz w:val="20"/>
          <w:szCs w:val="20"/>
          <w:color w:val="auto"/>
        </w:rPr>
      </w:pPr>
      <w:r>
        <w:rPr>
          <w:rFonts w:ascii="Arial" w:cs="Arial" w:eastAsia="Arial" w:hAnsi="Arial"/>
          <w:sz w:val="16"/>
          <w:szCs w:val="16"/>
          <w:color w:val="0E1020"/>
        </w:rPr>
        <w:t>The independent directors regularly meet in an executive session after the conclusion of each regularly scheduled Board meeting, and meet at such additional times as they may determine. Our independent directors held four executive sessions during fiscal 2026, all of which were led by Mr. Herzog.</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Committee Independence Requirements</w:t>
      </w:r>
    </w:p>
    <w:p>
      <w:pPr>
        <w:spacing w:after="0" w:line="9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0E1020"/>
        </w:rPr>
        <w:t>All members serving on the Audit Committee, Compensation Committee and Nominating/Corporate Governance Committee must be independent pursuant to the Guidelines and be eligible to be a committee member under Section 303A of the NYSE Listed Company Manual. In addition, Audit Committee members must meet heightened independence criteria under the rules and regulations of the NYSE and the SEC relating to audit committees, and each Compensation Committee member must meet heightened independence criteria under the rules and regulations of the NYSE and the SEC relating to compensation committees and be a “non-employee director” under Rule 16b-3 promulgated under the Exchange Act. The Company’s Audit Committee, Compensation Committee and Nominating/Corporate Governance Committee consist entirely of independent members.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Limits on Director Service on other Public Company Boards</w:t>
      </w:r>
    </w:p>
    <w:p>
      <w:pPr>
        <w:spacing w:after="0" w:line="133"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0E1020"/>
        </w:rPr>
        <w:t>We have a highly effective and engaged Board, and we believe that our directors’ outside directorships enable them to contribute valuable knowledge and experience to our Board. Nonetheless, the Board is sensitive to the external obligations of its directors and the potential for overboarding. Our Guidelines provide that directors should not serve as a director of another company if doing so would create actual or potential conflicts or interfere with their ability to devote sufficient time and effort to their duties as a director of DXC. Directors who have a full-time job should not serve on more than four public company boards in total (including DXC), and directors who do not have a full-time job should not serve on more than five public company boards in total (including DXC).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Director Attendance</w:t>
      </w:r>
    </w:p>
    <w:p>
      <w:pPr>
        <w:spacing w:after="0" w:line="146" w:lineRule="exact"/>
        <w:rPr>
          <w:sz w:val="20"/>
          <w:szCs w:val="20"/>
          <w:color w:val="auto"/>
        </w:rPr>
      </w:pPr>
    </w:p>
    <w:p>
      <w:pPr>
        <w:ind w:right="480"/>
        <w:spacing w:after="0" w:line="318" w:lineRule="auto"/>
        <w:rPr>
          <w:sz w:val="20"/>
          <w:szCs w:val="20"/>
          <w:color w:val="auto"/>
        </w:rPr>
      </w:pPr>
      <w:r>
        <w:rPr>
          <w:rFonts w:ascii="Arial" w:cs="Arial" w:eastAsia="Arial" w:hAnsi="Arial"/>
          <w:sz w:val="16"/>
          <w:szCs w:val="16"/>
          <w:color w:val="0E1020"/>
        </w:rPr>
        <w:t>Pursuant to our Guidelines, directors are expected to attend all meetings of the Board and the Board committees upon which they serve, and all annual meetings of the Company’s stockholders at which they are standing for election or re-election as directors.</w:t>
      </w:r>
    </w:p>
    <w:p>
      <w:pPr>
        <w:spacing w:after="0" w:line="4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0E1020"/>
        </w:rPr>
        <w:t>During the fiscal year ended March 31, 2026, the full DXC Board of Directors held 6 meetings, the Audit Committee held 8 meetings, the Compensation Committee held 5 meetings, and the Nominating/Corporate Governance Committee held 4 meetings. During the fiscal year ended March 31, 2026, no DXC director on the DXC Board attended fewer than 75% of the aggregate of (1) the total number of Board meetings that occurred while he or she was a member of the Board, and (2) the meetings held by each Board committee on which he or she served. Each of the DXC directors then serving attended the 2025 Annual Meeting of Stockholders, as consistent with our Guidelines.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Stockholder Engagement</w:t>
      </w:r>
    </w:p>
    <w:p>
      <w:pPr>
        <w:spacing w:after="0" w:line="133" w:lineRule="exact"/>
        <w:rPr>
          <w:sz w:val="20"/>
          <w:szCs w:val="20"/>
          <w:color w:val="auto"/>
        </w:rPr>
      </w:pPr>
    </w:p>
    <w:p>
      <w:pPr>
        <w:ind w:right="280"/>
        <w:spacing w:after="0" w:line="310" w:lineRule="auto"/>
        <w:rPr>
          <w:sz w:val="20"/>
          <w:szCs w:val="20"/>
          <w:color w:val="auto"/>
        </w:rPr>
      </w:pPr>
      <w:r>
        <w:rPr>
          <w:rFonts w:ascii="Arial" w:cs="Arial" w:eastAsia="Arial" w:hAnsi="Arial"/>
          <w:sz w:val="16"/>
          <w:szCs w:val="16"/>
          <w:color w:val="0E1020"/>
        </w:rPr>
        <w:t>Management and the Board believe that stockholder engagement is an important component of our governance practices. DXC maintains an ongoing stockholder outreach program to foster dialogue on our corporate governance program and other matters of interest to our stockholders. Our engagement covers a range of topics, including corporate governance, executive compensation, ESG matters, and human capital management. We value the input we receive from stockholders and strive to be responsive to that feedback.</w:t>
      </w:r>
    </w:p>
    <w:p>
      <w:pPr>
        <w:spacing w:after="0" w:line="41" w:lineRule="exact"/>
        <w:rPr>
          <w:sz w:val="20"/>
          <w:szCs w:val="20"/>
          <w:color w:val="auto"/>
        </w:rPr>
      </w:pPr>
    </w:p>
    <w:p>
      <w:pPr>
        <w:jc w:val="both"/>
        <w:ind w:right="240"/>
        <w:spacing w:after="0" w:line="316" w:lineRule="auto"/>
        <w:rPr>
          <w:sz w:val="20"/>
          <w:szCs w:val="20"/>
          <w:color w:val="auto"/>
        </w:rPr>
      </w:pPr>
      <w:r>
        <w:rPr>
          <w:rFonts w:ascii="Arial" w:cs="Arial" w:eastAsia="Arial" w:hAnsi="Arial"/>
          <w:sz w:val="16"/>
          <w:szCs w:val="16"/>
          <w:color w:val="0E1020"/>
        </w:rPr>
        <w:t>For details regarding our stockholder engagement efforts relating to our executive compensation program following the 2025 advisory vote to approve the compensation of our named executive officers, please refer to “2025 Say-on-Pay Vote and Stockholder Engagement” in the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37</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45" w:name="page46"/>
    <w:bookmarkEnd w:id="45"/>
    <w:p>
      <w:pPr>
        <w:ind w:left="20"/>
        <w:spacing w:after="0"/>
        <w:tabs>
          <w:tab w:leader="none" w:pos="10100" w:val="left"/>
        </w:tabs>
        <w:rPr>
          <w:sz w:val="20"/>
          <w:szCs w:val="20"/>
          <w:color w:val="auto"/>
        </w:rPr>
      </w:pPr>
      <w:r>
        <w:rPr>
          <w:rFonts w:ascii="Arial" w:cs="Arial" w:eastAsia="Arial" w:hAnsi="Arial"/>
          <w:sz w:val="14"/>
          <w:szCs w:val="14"/>
          <w:color w:val="auto"/>
        </w:rPr>
        <w:t>Corporate Governance</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Risk Oversight</w:t>
      </w:r>
    </w:p>
    <w:p>
      <w:pPr>
        <w:spacing w:after="0" w:line="146" w:lineRule="exact"/>
        <w:rPr>
          <w:sz w:val="20"/>
          <w:szCs w:val="20"/>
          <w:color w:val="auto"/>
        </w:rPr>
      </w:pPr>
    </w:p>
    <w:p>
      <w:pPr>
        <w:ind w:right="220"/>
        <w:spacing w:after="0" w:line="307" w:lineRule="auto"/>
        <w:rPr>
          <w:sz w:val="20"/>
          <w:szCs w:val="20"/>
          <w:color w:val="auto"/>
        </w:rPr>
      </w:pPr>
      <w:r>
        <w:rPr>
          <w:rFonts w:ascii="Arial" w:cs="Arial" w:eastAsia="Arial" w:hAnsi="Arial"/>
          <w:sz w:val="16"/>
          <w:szCs w:val="16"/>
          <w:color w:val="0E1020"/>
        </w:rPr>
        <w:t>We believe our Board leadership structure supports a risk-management process in which senior management is responsible for our day-to-day risk-management processes and the Board provides oversight of our risk management in an integrated manner. As part of its oversight responsibility, the Board oversees and maintains our governance and compliance processes and procedures to promote high standards of responsibility, ethics and integrity.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7133590" cy="782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3590" cy="782955"/>
                    </a:xfrm>
                    <a:prstGeom prst="rect">
                      <a:avLst/>
                    </a:prstGeom>
                    <a:noFill/>
                  </pic:spPr>
                </pic:pic>
              </a:graphicData>
            </a:graphic>
          </wp:anchor>
        </w:drawing>
      </w:r>
    </w:p>
    <w:p>
      <w:pPr>
        <w:spacing w:after="0" w:line="3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0E1020"/>
        </w:rPr>
        <w:t>BOARD ROLE</w:t>
      </w:r>
    </w:p>
    <w:p>
      <w:pPr>
        <w:spacing w:after="0" w:line="42" w:lineRule="exact"/>
        <w:rPr>
          <w:sz w:val="20"/>
          <w:szCs w:val="20"/>
          <w:color w:val="auto"/>
        </w:rPr>
      </w:pPr>
    </w:p>
    <w:p>
      <w:pPr>
        <w:ind w:left="260" w:right="440"/>
        <w:spacing w:after="0" w:line="292" w:lineRule="auto"/>
        <w:rPr>
          <w:sz w:val="20"/>
          <w:szCs w:val="20"/>
          <w:color w:val="auto"/>
        </w:rPr>
      </w:pPr>
      <w:r>
        <w:rPr>
          <w:rFonts w:ascii="Arial" w:cs="Arial" w:eastAsia="Arial" w:hAnsi="Arial"/>
          <w:sz w:val="13"/>
          <w:szCs w:val="13"/>
          <w:color w:val="0E1020"/>
        </w:rPr>
        <w:t>The Board has overall responsibility for the oversight and assessment of risks that DXC faces throughout the year. The Board (either directly or through reports from Board committees’ chairs) receives periodic updates on various areas of risk. These updates may include risk monitoring and mitigation, key risk metrics, control environment effectiveness, emerging risk analysis and annual risk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226695</wp:posOffset>
            </wp:positionV>
            <wp:extent cx="7133590" cy="9620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3590" cy="962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0E1020"/>
        </w:rPr>
        <w:t>COMMITTEE ROLE</w:t>
      </w:r>
    </w:p>
    <w:p>
      <w:pPr>
        <w:spacing w:after="0" w:line="51" w:lineRule="exact"/>
        <w:rPr>
          <w:sz w:val="20"/>
          <w:szCs w:val="20"/>
          <w:color w:val="auto"/>
        </w:rPr>
      </w:pPr>
    </w:p>
    <w:p>
      <w:pPr>
        <w:ind w:left="260" w:right="400"/>
        <w:spacing w:after="0" w:line="341" w:lineRule="auto"/>
        <w:rPr>
          <w:sz w:val="20"/>
          <w:szCs w:val="20"/>
          <w:color w:val="auto"/>
        </w:rPr>
      </w:pPr>
      <w:r>
        <w:rPr>
          <w:rFonts w:ascii="Arial" w:cs="Arial" w:eastAsia="Arial" w:hAnsi="Arial"/>
          <w:sz w:val="14"/>
          <w:szCs w:val="14"/>
          <w:color w:val="0E1020"/>
        </w:rPr>
        <w:t>In fulfilling its oversight role, the Board delegates certain risk management oversight responsibility to the Board’s committees. The committees meet regularly and report any significant issues and recommendations discussed during the committee meetings to the Board. Specifically, each committee fulfills the following oversight roles: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40" w:type="dxa"/>
            <w:vAlign w:val="bottom"/>
            <w:shd w:val="clear" w:color="auto" w:fill="F6F3F0"/>
          </w:tcPr>
          <w:p>
            <w:pPr>
              <w:spacing w:after="0"/>
              <w:rPr>
                <w:sz w:val="18"/>
                <w:szCs w:val="18"/>
                <w:color w:val="auto"/>
              </w:rPr>
            </w:pPr>
          </w:p>
        </w:tc>
        <w:tc>
          <w:tcPr>
            <w:tcW w:w="3260" w:type="dxa"/>
            <w:vAlign w:val="bottom"/>
            <w:vMerge w:val="restart"/>
            <w:shd w:val="clear" w:color="auto" w:fill="F6F3F0"/>
          </w:tcPr>
          <w:p>
            <w:pPr>
              <w:ind w:left="20"/>
              <w:spacing w:after="0"/>
              <w:rPr>
                <w:sz w:val="20"/>
                <w:szCs w:val="20"/>
                <w:color w:val="auto"/>
              </w:rPr>
            </w:pPr>
            <w:r>
              <w:rPr>
                <w:rFonts w:ascii="Arial" w:cs="Arial" w:eastAsia="Arial" w:hAnsi="Arial"/>
                <w:sz w:val="13"/>
                <w:szCs w:val="13"/>
                <w:b w:val="1"/>
                <w:bCs w:val="1"/>
                <w:color w:val="0E1020"/>
                <w:w w:val="97"/>
              </w:rPr>
              <w:t xml:space="preserve">The Audit Committee </w:t>
            </w:r>
            <w:r>
              <w:rPr>
                <w:rFonts w:ascii="Arial" w:cs="Arial" w:eastAsia="Arial" w:hAnsi="Arial"/>
                <w:sz w:val="13"/>
                <w:szCs w:val="13"/>
                <w:color w:val="0E1020"/>
                <w:w w:val="97"/>
              </w:rPr>
              <w:t>oversees the accounting, financial</w:t>
            </w:r>
          </w:p>
        </w:tc>
        <w:tc>
          <w:tcPr>
            <w:tcW w:w="260" w:type="dxa"/>
            <w:vAlign w:val="bottom"/>
            <w:tcBorders>
              <w:right w:val="single" w:sz="8" w:color="F6F3F0"/>
            </w:tcBorders>
            <w:shd w:val="clear" w:color="auto" w:fill="F6F3F0"/>
          </w:tcPr>
          <w:p>
            <w:pPr>
              <w:spacing w:after="0"/>
              <w:rPr>
                <w:sz w:val="18"/>
                <w:szCs w:val="18"/>
                <w:color w:val="auto"/>
              </w:rPr>
            </w:pPr>
          </w:p>
        </w:tc>
        <w:tc>
          <w:tcPr>
            <w:tcW w:w="3720" w:type="dxa"/>
            <w:vAlign w:val="bottom"/>
            <w:vMerge w:val="restart"/>
            <w:shd w:val="clear" w:color="auto" w:fill="F6F3F0"/>
          </w:tcPr>
          <w:p>
            <w:pPr>
              <w:ind w:left="240"/>
              <w:spacing w:after="0"/>
              <w:rPr>
                <w:sz w:val="20"/>
                <w:szCs w:val="20"/>
                <w:color w:val="auto"/>
              </w:rPr>
            </w:pPr>
            <w:r>
              <w:rPr>
                <w:rFonts w:ascii="Arial" w:cs="Arial" w:eastAsia="Arial" w:hAnsi="Arial"/>
                <w:sz w:val="13"/>
                <w:szCs w:val="13"/>
                <w:b w:val="1"/>
                <w:bCs w:val="1"/>
                <w:color w:val="0E1020"/>
              </w:rPr>
              <w:t xml:space="preserve">The Compensation Committee </w:t>
            </w:r>
            <w:r>
              <w:rPr>
                <w:rFonts w:ascii="Arial" w:cs="Arial" w:eastAsia="Arial" w:hAnsi="Arial"/>
                <w:sz w:val="13"/>
                <w:szCs w:val="13"/>
                <w:color w:val="0E1020"/>
              </w:rPr>
              <w:t>oversees succession</w:t>
            </w:r>
          </w:p>
        </w:tc>
        <w:tc>
          <w:tcPr>
            <w:tcW w:w="20" w:type="dxa"/>
            <w:vAlign w:val="bottom"/>
            <w:shd w:val="clear" w:color="auto" w:fill="F6F3F0"/>
          </w:tcPr>
          <w:p>
            <w:pPr>
              <w:spacing w:after="0"/>
              <w:rPr>
                <w:sz w:val="18"/>
                <w:szCs w:val="18"/>
                <w:color w:val="auto"/>
              </w:rPr>
            </w:pPr>
          </w:p>
        </w:tc>
        <w:tc>
          <w:tcPr>
            <w:tcW w:w="3740" w:type="dxa"/>
            <w:vAlign w:val="bottom"/>
            <w:vMerge w:val="restart"/>
            <w:shd w:val="clear" w:color="auto" w:fill="F6F3F0"/>
          </w:tcPr>
          <w:p>
            <w:pPr>
              <w:ind w:left="240"/>
              <w:spacing w:after="0"/>
              <w:rPr>
                <w:sz w:val="20"/>
                <w:szCs w:val="20"/>
                <w:color w:val="auto"/>
              </w:rPr>
            </w:pPr>
            <w:r>
              <w:rPr>
                <w:rFonts w:ascii="Arial" w:cs="Arial" w:eastAsia="Arial" w:hAnsi="Arial"/>
                <w:sz w:val="13"/>
                <w:szCs w:val="13"/>
                <w:b w:val="1"/>
                <w:bCs w:val="1"/>
                <w:color w:val="0E1020"/>
              </w:rPr>
              <w:t>The Nominating/Corporate Governance Committee</w:t>
            </w:r>
          </w:p>
        </w:tc>
        <w:tc>
          <w:tcPr>
            <w:tcW w:w="0" w:type="dxa"/>
            <w:vAlign w:val="bottom"/>
          </w:tcPr>
          <w:p>
            <w:pPr>
              <w:spacing w:after="0"/>
              <w:rPr>
                <w:sz w:val="1"/>
                <w:szCs w:val="1"/>
                <w:color w:val="auto"/>
              </w:rPr>
            </w:pPr>
          </w:p>
        </w:tc>
      </w:tr>
      <w:tr>
        <w:trPr>
          <w:trHeight w:val="193"/>
        </w:trPr>
        <w:tc>
          <w:tcPr>
            <w:tcW w:w="240" w:type="dxa"/>
            <w:vAlign w:val="bottom"/>
            <w:shd w:val="clear" w:color="auto" w:fill="F6F3F0"/>
          </w:tcPr>
          <w:p>
            <w:pPr>
              <w:spacing w:after="0"/>
              <w:rPr>
                <w:sz w:val="16"/>
                <w:szCs w:val="16"/>
                <w:color w:val="auto"/>
              </w:rPr>
            </w:pPr>
          </w:p>
        </w:tc>
        <w:tc>
          <w:tcPr>
            <w:tcW w:w="3260" w:type="dxa"/>
            <w:vAlign w:val="bottom"/>
            <w:vMerge w:val="continue"/>
            <w:shd w:val="clear" w:color="auto" w:fill="F6F3F0"/>
          </w:tcPr>
          <w:p>
            <w:pPr>
              <w:spacing w:after="0"/>
              <w:rPr>
                <w:sz w:val="16"/>
                <w:szCs w:val="16"/>
                <w:color w:val="auto"/>
              </w:rPr>
            </w:pPr>
          </w:p>
        </w:tc>
        <w:tc>
          <w:tcPr>
            <w:tcW w:w="260" w:type="dxa"/>
            <w:vAlign w:val="bottom"/>
            <w:tcBorders>
              <w:right w:val="single" w:sz="8" w:color="CFCFD2"/>
            </w:tcBorders>
            <w:shd w:val="clear" w:color="auto" w:fill="F6F3F0"/>
          </w:tcPr>
          <w:p>
            <w:pPr>
              <w:spacing w:after="0"/>
              <w:rPr>
                <w:sz w:val="16"/>
                <w:szCs w:val="16"/>
                <w:color w:val="auto"/>
              </w:rPr>
            </w:pPr>
          </w:p>
        </w:tc>
        <w:tc>
          <w:tcPr>
            <w:tcW w:w="3720" w:type="dxa"/>
            <w:vAlign w:val="bottom"/>
            <w:vMerge w:val="continue"/>
            <w:shd w:val="clear" w:color="auto" w:fill="F6F3F0"/>
          </w:tcPr>
          <w:p>
            <w:pPr>
              <w:spacing w:after="0"/>
              <w:rPr>
                <w:sz w:val="16"/>
                <w:szCs w:val="16"/>
                <w:color w:val="auto"/>
              </w:rPr>
            </w:pPr>
          </w:p>
        </w:tc>
        <w:tc>
          <w:tcPr>
            <w:tcW w:w="20" w:type="dxa"/>
            <w:vAlign w:val="bottom"/>
            <w:shd w:val="clear" w:color="auto" w:fill="CFCFD2"/>
          </w:tcPr>
          <w:p>
            <w:pPr>
              <w:spacing w:after="0"/>
              <w:rPr>
                <w:sz w:val="16"/>
                <w:szCs w:val="16"/>
                <w:color w:val="auto"/>
              </w:rPr>
            </w:pPr>
          </w:p>
        </w:tc>
        <w:tc>
          <w:tcPr>
            <w:tcW w:w="3740" w:type="dxa"/>
            <w:vAlign w:val="bottom"/>
            <w:vMerge w:val="continue"/>
            <w:shd w:val="clear" w:color="auto" w:fill="F6F3F0"/>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40" w:type="dxa"/>
            <w:vAlign w:val="bottom"/>
            <w:shd w:val="clear" w:color="auto" w:fill="F6F3F0"/>
          </w:tcPr>
          <w:p>
            <w:pPr>
              <w:spacing w:after="0"/>
              <w:rPr>
                <w:sz w:val="14"/>
                <w:szCs w:val="14"/>
                <w:color w:val="auto"/>
              </w:rPr>
            </w:pPr>
          </w:p>
        </w:tc>
        <w:tc>
          <w:tcPr>
            <w:tcW w:w="3260" w:type="dxa"/>
            <w:vAlign w:val="bottom"/>
            <w:shd w:val="clear" w:color="auto" w:fill="F6F3F0"/>
          </w:tcPr>
          <w:p>
            <w:pPr>
              <w:ind w:left="20"/>
              <w:spacing w:after="0"/>
              <w:rPr>
                <w:sz w:val="20"/>
                <w:szCs w:val="20"/>
                <w:color w:val="auto"/>
              </w:rPr>
            </w:pPr>
            <w:r>
              <w:rPr>
                <w:rFonts w:ascii="Arial" w:cs="Arial" w:eastAsia="Arial" w:hAnsi="Arial"/>
                <w:sz w:val="13"/>
                <w:szCs w:val="13"/>
                <w:color w:val="0E1020"/>
              </w:rPr>
              <w:t>reporting processes and disclosure controls and</w:t>
            </w:r>
          </w:p>
        </w:tc>
        <w:tc>
          <w:tcPr>
            <w:tcW w:w="260" w:type="dxa"/>
            <w:vAlign w:val="bottom"/>
            <w:tcBorders>
              <w:right w:val="single" w:sz="8" w:color="CFCFD2"/>
            </w:tcBorders>
            <w:shd w:val="clear" w:color="auto" w:fill="F6F3F0"/>
          </w:tcPr>
          <w:p>
            <w:pPr>
              <w:spacing w:after="0"/>
              <w:rPr>
                <w:sz w:val="14"/>
                <w:szCs w:val="14"/>
                <w:color w:val="auto"/>
              </w:rPr>
            </w:pPr>
          </w:p>
        </w:tc>
        <w:tc>
          <w:tcPr>
            <w:tcW w:w="3720" w:type="dxa"/>
            <w:vAlign w:val="bottom"/>
            <w:shd w:val="clear" w:color="auto" w:fill="F6F3F0"/>
          </w:tcPr>
          <w:p>
            <w:pPr>
              <w:ind w:left="240"/>
              <w:spacing w:after="0"/>
              <w:rPr>
                <w:sz w:val="20"/>
                <w:szCs w:val="20"/>
                <w:color w:val="auto"/>
              </w:rPr>
            </w:pPr>
            <w:r>
              <w:rPr>
                <w:rFonts w:ascii="Arial" w:cs="Arial" w:eastAsia="Arial" w:hAnsi="Arial"/>
                <w:sz w:val="13"/>
                <w:szCs w:val="13"/>
                <w:color w:val="0E1020"/>
              </w:rPr>
              <w:t>planning and leadership development as well as</w:t>
            </w:r>
          </w:p>
        </w:tc>
        <w:tc>
          <w:tcPr>
            <w:tcW w:w="20" w:type="dxa"/>
            <w:vAlign w:val="bottom"/>
            <w:shd w:val="clear" w:color="auto" w:fill="CFCFD2"/>
          </w:tcPr>
          <w:p>
            <w:pPr>
              <w:spacing w:after="0"/>
              <w:rPr>
                <w:sz w:val="14"/>
                <w:szCs w:val="14"/>
                <w:color w:val="auto"/>
              </w:rPr>
            </w:pPr>
          </w:p>
        </w:tc>
        <w:tc>
          <w:tcPr>
            <w:tcW w:w="3740" w:type="dxa"/>
            <w:vAlign w:val="bottom"/>
            <w:shd w:val="clear" w:color="auto" w:fill="F6F3F0"/>
          </w:tcPr>
          <w:p>
            <w:pPr>
              <w:ind w:left="240"/>
              <w:spacing w:after="0"/>
              <w:rPr>
                <w:sz w:val="20"/>
                <w:szCs w:val="20"/>
                <w:color w:val="auto"/>
              </w:rPr>
            </w:pPr>
            <w:r>
              <w:rPr>
                <w:rFonts w:ascii="Arial" w:cs="Arial" w:eastAsia="Arial" w:hAnsi="Arial"/>
                <w:sz w:val="13"/>
                <w:szCs w:val="13"/>
                <w:color w:val="0E1020"/>
              </w:rPr>
              <w:t>monitors the risks related to DXC’s governance structure</w:t>
            </w:r>
          </w:p>
        </w:tc>
        <w:tc>
          <w:tcPr>
            <w:tcW w:w="0" w:type="dxa"/>
            <w:vAlign w:val="bottom"/>
          </w:tcPr>
          <w:p>
            <w:pPr>
              <w:spacing w:after="0"/>
              <w:rPr>
                <w:sz w:val="1"/>
                <w:szCs w:val="1"/>
                <w:color w:val="auto"/>
              </w:rPr>
            </w:pPr>
          </w:p>
        </w:tc>
      </w:tr>
      <w:tr>
        <w:trPr>
          <w:trHeight w:val="174"/>
        </w:trPr>
        <w:tc>
          <w:tcPr>
            <w:tcW w:w="240" w:type="dxa"/>
            <w:vAlign w:val="bottom"/>
            <w:shd w:val="clear" w:color="auto" w:fill="F6F3F0"/>
          </w:tcPr>
          <w:p>
            <w:pPr>
              <w:spacing w:after="0"/>
              <w:rPr>
                <w:sz w:val="15"/>
                <w:szCs w:val="15"/>
                <w:color w:val="auto"/>
              </w:rPr>
            </w:pPr>
          </w:p>
        </w:tc>
        <w:tc>
          <w:tcPr>
            <w:tcW w:w="3260" w:type="dxa"/>
            <w:vAlign w:val="bottom"/>
            <w:shd w:val="clear" w:color="auto" w:fill="F6F3F0"/>
          </w:tcPr>
          <w:p>
            <w:pPr>
              <w:ind w:left="20"/>
              <w:spacing w:after="0"/>
              <w:rPr>
                <w:sz w:val="20"/>
                <w:szCs w:val="20"/>
                <w:color w:val="auto"/>
              </w:rPr>
            </w:pPr>
            <w:r>
              <w:rPr>
                <w:rFonts w:ascii="Arial" w:cs="Arial" w:eastAsia="Arial" w:hAnsi="Arial"/>
                <w:sz w:val="13"/>
                <w:szCs w:val="13"/>
                <w:color w:val="0E1020"/>
              </w:rPr>
              <w:t>procedures, and related internal control framework of</w:t>
            </w:r>
          </w:p>
        </w:tc>
        <w:tc>
          <w:tcPr>
            <w:tcW w:w="260" w:type="dxa"/>
            <w:vAlign w:val="bottom"/>
            <w:tcBorders>
              <w:right w:val="single" w:sz="8" w:color="CFCFD2"/>
            </w:tcBorders>
            <w:shd w:val="clear" w:color="auto" w:fill="F6F3F0"/>
          </w:tcPr>
          <w:p>
            <w:pPr>
              <w:spacing w:after="0"/>
              <w:rPr>
                <w:sz w:val="15"/>
                <w:szCs w:val="15"/>
                <w:color w:val="auto"/>
              </w:rPr>
            </w:pPr>
          </w:p>
        </w:tc>
        <w:tc>
          <w:tcPr>
            <w:tcW w:w="3720" w:type="dxa"/>
            <w:vAlign w:val="bottom"/>
            <w:shd w:val="clear" w:color="auto" w:fill="F6F3F0"/>
          </w:tcPr>
          <w:p>
            <w:pPr>
              <w:ind w:left="240"/>
              <w:spacing w:after="0"/>
              <w:rPr>
                <w:sz w:val="20"/>
                <w:szCs w:val="20"/>
                <w:color w:val="auto"/>
              </w:rPr>
            </w:pPr>
            <w:r>
              <w:rPr>
                <w:rFonts w:ascii="Arial" w:cs="Arial" w:eastAsia="Arial" w:hAnsi="Arial"/>
                <w:sz w:val="13"/>
                <w:szCs w:val="13"/>
                <w:color w:val="0E1020"/>
              </w:rPr>
              <w:t>compensation plans and human capital management</w:t>
            </w:r>
          </w:p>
        </w:tc>
        <w:tc>
          <w:tcPr>
            <w:tcW w:w="20" w:type="dxa"/>
            <w:vAlign w:val="bottom"/>
            <w:shd w:val="clear" w:color="auto" w:fill="CFCFD2"/>
          </w:tcPr>
          <w:p>
            <w:pPr>
              <w:spacing w:after="0"/>
              <w:rPr>
                <w:sz w:val="15"/>
                <w:szCs w:val="15"/>
                <w:color w:val="auto"/>
              </w:rPr>
            </w:pPr>
          </w:p>
        </w:tc>
        <w:tc>
          <w:tcPr>
            <w:tcW w:w="3740" w:type="dxa"/>
            <w:vAlign w:val="bottom"/>
            <w:shd w:val="clear" w:color="auto" w:fill="F6F3F0"/>
          </w:tcPr>
          <w:p>
            <w:pPr>
              <w:ind w:left="240"/>
              <w:spacing w:after="0"/>
              <w:rPr>
                <w:sz w:val="20"/>
                <w:szCs w:val="20"/>
                <w:color w:val="auto"/>
              </w:rPr>
            </w:pPr>
            <w:r>
              <w:rPr>
                <w:rFonts w:ascii="Arial" w:cs="Arial" w:eastAsia="Arial" w:hAnsi="Arial"/>
                <w:sz w:val="13"/>
                <w:szCs w:val="13"/>
                <w:color w:val="0E1020"/>
              </w:rPr>
              <w:t>and process. The Nominating/Corporate Governance</w:t>
            </w:r>
          </w:p>
        </w:tc>
        <w:tc>
          <w:tcPr>
            <w:tcW w:w="0" w:type="dxa"/>
            <w:vAlign w:val="bottom"/>
          </w:tcPr>
          <w:p>
            <w:pPr>
              <w:spacing w:after="0"/>
              <w:rPr>
                <w:sz w:val="1"/>
                <w:szCs w:val="1"/>
                <w:color w:val="auto"/>
              </w:rPr>
            </w:pPr>
          </w:p>
        </w:tc>
      </w:tr>
      <w:tr>
        <w:trPr>
          <w:trHeight w:val="188"/>
        </w:trPr>
        <w:tc>
          <w:tcPr>
            <w:tcW w:w="240" w:type="dxa"/>
            <w:vAlign w:val="bottom"/>
            <w:shd w:val="clear" w:color="auto" w:fill="F6F3F0"/>
          </w:tcPr>
          <w:p>
            <w:pPr>
              <w:spacing w:after="0"/>
              <w:rPr>
                <w:sz w:val="16"/>
                <w:szCs w:val="16"/>
                <w:color w:val="auto"/>
              </w:rPr>
            </w:pPr>
          </w:p>
        </w:tc>
        <w:tc>
          <w:tcPr>
            <w:tcW w:w="3260" w:type="dxa"/>
            <w:vAlign w:val="bottom"/>
            <w:shd w:val="clear" w:color="auto" w:fill="F6F3F0"/>
          </w:tcPr>
          <w:p>
            <w:pPr>
              <w:ind w:left="20"/>
              <w:spacing w:after="0"/>
              <w:rPr>
                <w:sz w:val="20"/>
                <w:szCs w:val="20"/>
                <w:color w:val="auto"/>
              </w:rPr>
            </w:pPr>
            <w:r>
              <w:rPr>
                <w:rFonts w:ascii="Arial" w:cs="Arial" w:eastAsia="Arial" w:hAnsi="Arial"/>
                <w:sz w:val="13"/>
                <w:szCs w:val="13"/>
                <w:color w:val="0E1020"/>
                <w:w w:val="98"/>
              </w:rPr>
              <w:t>DXC. The Audit Committee also reviews the audits of the</w:t>
            </w:r>
          </w:p>
        </w:tc>
        <w:tc>
          <w:tcPr>
            <w:tcW w:w="260" w:type="dxa"/>
            <w:vAlign w:val="bottom"/>
            <w:tcBorders>
              <w:right w:val="single" w:sz="8" w:color="CFCFD2"/>
            </w:tcBorders>
            <w:shd w:val="clear" w:color="auto" w:fill="F6F3F0"/>
          </w:tcPr>
          <w:p>
            <w:pPr>
              <w:spacing w:after="0"/>
              <w:rPr>
                <w:sz w:val="16"/>
                <w:szCs w:val="16"/>
                <w:color w:val="auto"/>
              </w:rPr>
            </w:pPr>
          </w:p>
        </w:tc>
        <w:tc>
          <w:tcPr>
            <w:tcW w:w="3720" w:type="dxa"/>
            <w:vAlign w:val="bottom"/>
            <w:shd w:val="clear" w:color="auto" w:fill="F6F3F0"/>
          </w:tcPr>
          <w:p>
            <w:pPr>
              <w:ind w:left="240"/>
              <w:spacing w:after="0"/>
              <w:rPr>
                <w:sz w:val="20"/>
                <w:szCs w:val="20"/>
                <w:color w:val="auto"/>
              </w:rPr>
            </w:pPr>
            <w:r>
              <w:rPr>
                <w:rFonts w:ascii="Arial" w:cs="Arial" w:eastAsia="Arial" w:hAnsi="Arial"/>
                <w:sz w:val="13"/>
                <w:szCs w:val="13"/>
                <w:color w:val="0E1020"/>
              </w:rPr>
              <w:t>matters. The Compensation Committee retains</w:t>
            </w:r>
          </w:p>
        </w:tc>
        <w:tc>
          <w:tcPr>
            <w:tcW w:w="20" w:type="dxa"/>
            <w:vAlign w:val="bottom"/>
            <w:shd w:val="clear" w:color="auto" w:fill="CFCFD2"/>
          </w:tcPr>
          <w:p>
            <w:pPr>
              <w:spacing w:after="0"/>
              <w:rPr>
                <w:sz w:val="16"/>
                <w:szCs w:val="16"/>
                <w:color w:val="auto"/>
              </w:rPr>
            </w:pPr>
          </w:p>
        </w:tc>
        <w:tc>
          <w:tcPr>
            <w:tcW w:w="3740" w:type="dxa"/>
            <w:vAlign w:val="bottom"/>
            <w:shd w:val="clear" w:color="auto" w:fill="F6F3F0"/>
          </w:tcPr>
          <w:p>
            <w:pPr>
              <w:ind w:left="240"/>
              <w:spacing w:after="0"/>
              <w:rPr>
                <w:sz w:val="20"/>
                <w:szCs w:val="20"/>
                <w:color w:val="auto"/>
              </w:rPr>
            </w:pPr>
            <w:r>
              <w:rPr>
                <w:rFonts w:ascii="Arial" w:cs="Arial" w:eastAsia="Arial" w:hAnsi="Arial"/>
                <w:sz w:val="13"/>
                <w:szCs w:val="13"/>
                <w:color w:val="0E1020"/>
              </w:rPr>
              <w:t>Committee is responsible for overseeing the Board’s</w:t>
            </w:r>
          </w:p>
        </w:tc>
        <w:tc>
          <w:tcPr>
            <w:tcW w:w="0" w:type="dxa"/>
            <w:vAlign w:val="bottom"/>
          </w:tcPr>
          <w:p>
            <w:pPr>
              <w:spacing w:after="0"/>
              <w:rPr>
                <w:sz w:val="1"/>
                <w:szCs w:val="1"/>
                <w:color w:val="auto"/>
              </w:rPr>
            </w:pPr>
          </w:p>
        </w:tc>
      </w:tr>
      <w:tr>
        <w:trPr>
          <w:trHeight w:val="174"/>
        </w:trPr>
        <w:tc>
          <w:tcPr>
            <w:tcW w:w="240" w:type="dxa"/>
            <w:vAlign w:val="bottom"/>
            <w:shd w:val="clear" w:color="auto" w:fill="F6F3F0"/>
          </w:tcPr>
          <w:p>
            <w:pPr>
              <w:spacing w:after="0"/>
              <w:rPr>
                <w:sz w:val="15"/>
                <w:szCs w:val="15"/>
                <w:color w:val="auto"/>
              </w:rPr>
            </w:pPr>
          </w:p>
        </w:tc>
        <w:tc>
          <w:tcPr>
            <w:tcW w:w="3260" w:type="dxa"/>
            <w:vAlign w:val="bottom"/>
            <w:shd w:val="clear" w:color="auto" w:fill="F6F3F0"/>
          </w:tcPr>
          <w:p>
            <w:pPr>
              <w:ind w:left="20"/>
              <w:spacing w:after="0"/>
              <w:rPr>
                <w:sz w:val="20"/>
                <w:szCs w:val="20"/>
                <w:color w:val="auto"/>
              </w:rPr>
            </w:pPr>
            <w:r>
              <w:rPr>
                <w:rFonts w:ascii="Arial" w:cs="Arial" w:eastAsia="Arial" w:hAnsi="Arial"/>
                <w:sz w:val="13"/>
                <w:szCs w:val="13"/>
                <w:color w:val="0E1020"/>
                <w:w w:val="98"/>
              </w:rPr>
              <w:t>Company’s financial statements and internal control over</w:t>
            </w:r>
          </w:p>
        </w:tc>
        <w:tc>
          <w:tcPr>
            <w:tcW w:w="260" w:type="dxa"/>
            <w:vAlign w:val="bottom"/>
            <w:tcBorders>
              <w:right w:val="single" w:sz="8" w:color="CFCFD2"/>
            </w:tcBorders>
            <w:shd w:val="clear" w:color="auto" w:fill="F6F3F0"/>
          </w:tcPr>
          <w:p>
            <w:pPr>
              <w:spacing w:after="0"/>
              <w:rPr>
                <w:sz w:val="15"/>
                <w:szCs w:val="15"/>
                <w:color w:val="auto"/>
              </w:rPr>
            </w:pPr>
          </w:p>
        </w:tc>
        <w:tc>
          <w:tcPr>
            <w:tcW w:w="3720" w:type="dxa"/>
            <w:vAlign w:val="bottom"/>
            <w:shd w:val="clear" w:color="auto" w:fill="F6F3F0"/>
          </w:tcPr>
          <w:p>
            <w:pPr>
              <w:ind w:left="240"/>
              <w:spacing w:after="0"/>
              <w:rPr>
                <w:sz w:val="20"/>
                <w:szCs w:val="20"/>
                <w:color w:val="auto"/>
              </w:rPr>
            </w:pPr>
            <w:r>
              <w:rPr>
                <w:rFonts w:ascii="Arial" w:cs="Arial" w:eastAsia="Arial" w:hAnsi="Arial"/>
                <w:sz w:val="13"/>
                <w:szCs w:val="13"/>
                <w:color w:val="0E1020"/>
              </w:rPr>
              <w:t>an independent compensation consultant to assist with its</w:t>
            </w:r>
          </w:p>
        </w:tc>
        <w:tc>
          <w:tcPr>
            <w:tcW w:w="20" w:type="dxa"/>
            <w:vAlign w:val="bottom"/>
            <w:shd w:val="clear" w:color="auto" w:fill="CFCFD2"/>
          </w:tcPr>
          <w:p>
            <w:pPr>
              <w:spacing w:after="0"/>
              <w:rPr>
                <w:sz w:val="15"/>
                <w:szCs w:val="15"/>
                <w:color w:val="auto"/>
              </w:rPr>
            </w:pPr>
          </w:p>
        </w:tc>
        <w:tc>
          <w:tcPr>
            <w:tcW w:w="3740" w:type="dxa"/>
            <w:vAlign w:val="bottom"/>
            <w:shd w:val="clear" w:color="auto" w:fill="F6F3F0"/>
          </w:tcPr>
          <w:p>
            <w:pPr>
              <w:ind w:left="240"/>
              <w:spacing w:after="0"/>
              <w:rPr>
                <w:sz w:val="20"/>
                <w:szCs w:val="20"/>
                <w:color w:val="auto"/>
              </w:rPr>
            </w:pPr>
            <w:r>
              <w:rPr>
                <w:rFonts w:ascii="Arial" w:cs="Arial" w:eastAsia="Arial" w:hAnsi="Arial"/>
                <w:sz w:val="13"/>
                <w:szCs w:val="13"/>
                <w:color w:val="0E1020"/>
              </w:rPr>
              <w:t>annual self-evaluation of its performance and overall</w:t>
            </w:r>
          </w:p>
        </w:tc>
        <w:tc>
          <w:tcPr>
            <w:tcW w:w="0" w:type="dxa"/>
            <w:vAlign w:val="bottom"/>
          </w:tcPr>
          <w:p>
            <w:pPr>
              <w:spacing w:after="0"/>
              <w:rPr>
                <w:sz w:val="1"/>
                <w:szCs w:val="1"/>
                <w:color w:val="auto"/>
              </w:rPr>
            </w:pPr>
          </w:p>
        </w:tc>
      </w:tr>
      <w:tr>
        <w:trPr>
          <w:trHeight w:val="174"/>
        </w:trPr>
        <w:tc>
          <w:tcPr>
            <w:tcW w:w="240" w:type="dxa"/>
            <w:vAlign w:val="bottom"/>
            <w:shd w:val="clear" w:color="auto" w:fill="F6F3F0"/>
          </w:tcPr>
          <w:p>
            <w:pPr>
              <w:spacing w:after="0"/>
              <w:rPr>
                <w:sz w:val="15"/>
                <w:szCs w:val="15"/>
                <w:color w:val="auto"/>
              </w:rPr>
            </w:pPr>
          </w:p>
        </w:tc>
        <w:tc>
          <w:tcPr>
            <w:tcW w:w="3260" w:type="dxa"/>
            <w:vAlign w:val="bottom"/>
            <w:shd w:val="clear" w:color="auto" w:fill="F6F3F0"/>
          </w:tcPr>
          <w:p>
            <w:pPr>
              <w:ind w:left="20"/>
              <w:spacing w:after="0"/>
              <w:rPr>
                <w:sz w:val="20"/>
                <w:szCs w:val="20"/>
                <w:color w:val="auto"/>
              </w:rPr>
            </w:pPr>
            <w:r>
              <w:rPr>
                <w:rFonts w:ascii="Arial" w:cs="Arial" w:eastAsia="Arial" w:hAnsi="Arial"/>
                <w:sz w:val="13"/>
                <w:szCs w:val="13"/>
                <w:color w:val="0E1020"/>
              </w:rPr>
              <w:t>financial reporting. The Audit Committee also oversees</w:t>
            </w:r>
          </w:p>
        </w:tc>
        <w:tc>
          <w:tcPr>
            <w:tcW w:w="260" w:type="dxa"/>
            <w:vAlign w:val="bottom"/>
            <w:tcBorders>
              <w:right w:val="single" w:sz="8" w:color="CFCFD2"/>
            </w:tcBorders>
            <w:shd w:val="clear" w:color="auto" w:fill="F6F3F0"/>
          </w:tcPr>
          <w:p>
            <w:pPr>
              <w:spacing w:after="0"/>
              <w:rPr>
                <w:sz w:val="15"/>
                <w:szCs w:val="15"/>
                <w:color w:val="auto"/>
              </w:rPr>
            </w:pPr>
          </w:p>
        </w:tc>
        <w:tc>
          <w:tcPr>
            <w:tcW w:w="3720" w:type="dxa"/>
            <w:vAlign w:val="bottom"/>
            <w:shd w:val="clear" w:color="auto" w:fill="F6F3F0"/>
          </w:tcPr>
          <w:p>
            <w:pPr>
              <w:ind w:left="240"/>
              <w:spacing w:after="0"/>
              <w:rPr>
                <w:sz w:val="20"/>
                <w:szCs w:val="20"/>
                <w:color w:val="auto"/>
              </w:rPr>
            </w:pPr>
            <w:r>
              <w:rPr>
                <w:rFonts w:ascii="Arial" w:cs="Arial" w:eastAsia="Arial" w:hAnsi="Arial"/>
                <w:sz w:val="13"/>
                <w:szCs w:val="13"/>
                <w:color w:val="0E1020"/>
              </w:rPr>
              <w:t>oversight responsibilities and to ensure that the</w:t>
            </w:r>
          </w:p>
        </w:tc>
        <w:tc>
          <w:tcPr>
            <w:tcW w:w="20" w:type="dxa"/>
            <w:vAlign w:val="bottom"/>
            <w:shd w:val="clear" w:color="auto" w:fill="CFCFD2"/>
          </w:tcPr>
          <w:p>
            <w:pPr>
              <w:spacing w:after="0"/>
              <w:rPr>
                <w:sz w:val="15"/>
                <w:szCs w:val="15"/>
                <w:color w:val="auto"/>
              </w:rPr>
            </w:pPr>
          </w:p>
        </w:tc>
        <w:tc>
          <w:tcPr>
            <w:tcW w:w="3740" w:type="dxa"/>
            <w:vAlign w:val="bottom"/>
            <w:shd w:val="clear" w:color="auto" w:fill="F6F3F0"/>
          </w:tcPr>
          <w:p>
            <w:pPr>
              <w:ind w:left="240"/>
              <w:spacing w:after="0"/>
              <w:rPr>
                <w:sz w:val="20"/>
                <w:szCs w:val="20"/>
                <w:color w:val="auto"/>
              </w:rPr>
            </w:pPr>
            <w:r>
              <w:rPr>
                <w:rFonts w:ascii="Arial" w:cs="Arial" w:eastAsia="Arial" w:hAnsi="Arial"/>
                <w:sz w:val="13"/>
                <w:szCs w:val="13"/>
                <w:color w:val="0E1020"/>
              </w:rPr>
              <w:t>Board effectiveness, and periodic review and</w:t>
            </w:r>
          </w:p>
        </w:tc>
        <w:tc>
          <w:tcPr>
            <w:tcW w:w="0" w:type="dxa"/>
            <w:vAlign w:val="bottom"/>
          </w:tcPr>
          <w:p>
            <w:pPr>
              <w:spacing w:after="0"/>
              <w:rPr>
                <w:sz w:val="1"/>
                <w:szCs w:val="1"/>
                <w:color w:val="auto"/>
              </w:rPr>
            </w:pPr>
          </w:p>
        </w:tc>
      </w:tr>
      <w:tr>
        <w:trPr>
          <w:trHeight w:val="174"/>
        </w:trPr>
        <w:tc>
          <w:tcPr>
            <w:tcW w:w="240" w:type="dxa"/>
            <w:vAlign w:val="bottom"/>
            <w:shd w:val="clear" w:color="auto" w:fill="F6F3F0"/>
          </w:tcPr>
          <w:p>
            <w:pPr>
              <w:spacing w:after="0"/>
              <w:rPr>
                <w:sz w:val="15"/>
                <w:szCs w:val="15"/>
                <w:color w:val="auto"/>
              </w:rPr>
            </w:pPr>
          </w:p>
        </w:tc>
        <w:tc>
          <w:tcPr>
            <w:tcW w:w="3260" w:type="dxa"/>
            <w:vAlign w:val="bottom"/>
            <w:shd w:val="clear" w:color="auto" w:fill="F6F3F0"/>
          </w:tcPr>
          <w:p>
            <w:pPr>
              <w:ind w:left="20"/>
              <w:spacing w:after="0"/>
              <w:rPr>
                <w:sz w:val="20"/>
                <w:szCs w:val="20"/>
                <w:color w:val="auto"/>
              </w:rPr>
            </w:pPr>
            <w:r>
              <w:rPr>
                <w:rFonts w:ascii="Arial" w:cs="Arial" w:eastAsia="Arial" w:hAnsi="Arial"/>
                <w:sz w:val="13"/>
                <w:szCs w:val="13"/>
                <w:color w:val="0E1020"/>
              </w:rPr>
              <w:t>the Company’s enterprise risk management (ERM)</w:t>
            </w:r>
          </w:p>
        </w:tc>
        <w:tc>
          <w:tcPr>
            <w:tcW w:w="260" w:type="dxa"/>
            <w:vAlign w:val="bottom"/>
            <w:tcBorders>
              <w:right w:val="single" w:sz="8" w:color="CFCFD2"/>
            </w:tcBorders>
            <w:shd w:val="clear" w:color="auto" w:fill="F6F3F0"/>
          </w:tcPr>
          <w:p>
            <w:pPr>
              <w:spacing w:after="0"/>
              <w:rPr>
                <w:sz w:val="15"/>
                <w:szCs w:val="15"/>
                <w:color w:val="auto"/>
              </w:rPr>
            </w:pPr>
          </w:p>
        </w:tc>
        <w:tc>
          <w:tcPr>
            <w:tcW w:w="3720" w:type="dxa"/>
            <w:vAlign w:val="bottom"/>
            <w:shd w:val="clear" w:color="auto" w:fill="F6F3F0"/>
          </w:tcPr>
          <w:p>
            <w:pPr>
              <w:ind w:left="240"/>
              <w:spacing w:after="0"/>
              <w:rPr>
                <w:sz w:val="20"/>
                <w:szCs w:val="20"/>
                <w:color w:val="auto"/>
              </w:rPr>
            </w:pPr>
            <w:r>
              <w:rPr>
                <w:rFonts w:ascii="Arial" w:cs="Arial" w:eastAsia="Arial" w:hAnsi="Arial"/>
                <w:sz w:val="13"/>
                <w:szCs w:val="13"/>
                <w:color w:val="0E1020"/>
              </w:rPr>
              <w:t>compensation and benefit programs are designed in a</w:t>
            </w:r>
          </w:p>
        </w:tc>
        <w:tc>
          <w:tcPr>
            <w:tcW w:w="20" w:type="dxa"/>
            <w:vAlign w:val="bottom"/>
            <w:shd w:val="clear" w:color="auto" w:fill="CFCFD2"/>
          </w:tcPr>
          <w:p>
            <w:pPr>
              <w:spacing w:after="0"/>
              <w:rPr>
                <w:sz w:val="15"/>
                <w:szCs w:val="15"/>
                <w:color w:val="auto"/>
              </w:rPr>
            </w:pPr>
          </w:p>
        </w:tc>
        <w:tc>
          <w:tcPr>
            <w:tcW w:w="3740" w:type="dxa"/>
            <w:vAlign w:val="bottom"/>
            <w:shd w:val="clear" w:color="auto" w:fill="F6F3F0"/>
          </w:tcPr>
          <w:p>
            <w:pPr>
              <w:ind w:left="240"/>
              <w:spacing w:after="0"/>
              <w:rPr>
                <w:sz w:val="20"/>
                <w:szCs w:val="20"/>
                <w:color w:val="auto"/>
              </w:rPr>
            </w:pPr>
            <w:r>
              <w:rPr>
                <w:rFonts w:ascii="Arial" w:cs="Arial" w:eastAsia="Arial" w:hAnsi="Arial"/>
                <w:sz w:val="13"/>
                <w:szCs w:val="13"/>
                <w:color w:val="0E1020"/>
              </w:rPr>
              <w:t>recommendation to the Board of any proposed changes to</w:t>
            </w:r>
          </w:p>
        </w:tc>
        <w:tc>
          <w:tcPr>
            <w:tcW w:w="0" w:type="dxa"/>
            <w:vAlign w:val="bottom"/>
          </w:tcPr>
          <w:p>
            <w:pPr>
              <w:spacing w:after="0"/>
              <w:rPr>
                <w:sz w:val="1"/>
                <w:szCs w:val="1"/>
                <w:color w:val="auto"/>
              </w:rPr>
            </w:pPr>
          </w:p>
        </w:tc>
      </w:tr>
      <w:tr>
        <w:trPr>
          <w:trHeight w:val="174"/>
        </w:trPr>
        <w:tc>
          <w:tcPr>
            <w:tcW w:w="240" w:type="dxa"/>
            <w:vAlign w:val="bottom"/>
            <w:shd w:val="clear" w:color="auto" w:fill="F6F3F0"/>
          </w:tcPr>
          <w:p>
            <w:pPr>
              <w:spacing w:after="0"/>
              <w:rPr>
                <w:sz w:val="15"/>
                <w:szCs w:val="15"/>
                <w:color w:val="auto"/>
              </w:rPr>
            </w:pPr>
          </w:p>
        </w:tc>
        <w:tc>
          <w:tcPr>
            <w:tcW w:w="3260" w:type="dxa"/>
            <w:vAlign w:val="bottom"/>
            <w:shd w:val="clear" w:color="auto" w:fill="F6F3F0"/>
          </w:tcPr>
          <w:p>
            <w:pPr>
              <w:ind w:left="20"/>
              <w:spacing w:after="0"/>
              <w:rPr>
                <w:sz w:val="20"/>
                <w:szCs w:val="20"/>
                <w:color w:val="auto"/>
              </w:rPr>
            </w:pPr>
            <w:r>
              <w:rPr>
                <w:rFonts w:ascii="Arial" w:cs="Arial" w:eastAsia="Arial" w:hAnsi="Arial"/>
                <w:sz w:val="13"/>
                <w:szCs w:val="13"/>
                <w:color w:val="0E1020"/>
              </w:rPr>
              <w:t>program as well as the ethics and compliance program.</w:t>
            </w:r>
          </w:p>
        </w:tc>
        <w:tc>
          <w:tcPr>
            <w:tcW w:w="260" w:type="dxa"/>
            <w:vAlign w:val="bottom"/>
            <w:tcBorders>
              <w:right w:val="single" w:sz="8" w:color="CFCFD2"/>
            </w:tcBorders>
            <w:shd w:val="clear" w:color="auto" w:fill="F6F3F0"/>
          </w:tcPr>
          <w:p>
            <w:pPr>
              <w:spacing w:after="0"/>
              <w:rPr>
                <w:sz w:val="15"/>
                <w:szCs w:val="15"/>
                <w:color w:val="auto"/>
              </w:rPr>
            </w:pPr>
          </w:p>
        </w:tc>
        <w:tc>
          <w:tcPr>
            <w:tcW w:w="3720" w:type="dxa"/>
            <w:vAlign w:val="bottom"/>
            <w:shd w:val="clear" w:color="auto" w:fill="F6F3F0"/>
          </w:tcPr>
          <w:p>
            <w:pPr>
              <w:ind w:left="240"/>
              <w:spacing w:after="0"/>
              <w:rPr>
                <w:sz w:val="20"/>
                <w:szCs w:val="20"/>
                <w:color w:val="auto"/>
              </w:rPr>
            </w:pPr>
            <w:r>
              <w:rPr>
                <w:rFonts w:ascii="Arial" w:cs="Arial" w:eastAsia="Arial" w:hAnsi="Arial"/>
                <w:sz w:val="13"/>
                <w:szCs w:val="13"/>
                <w:color w:val="0E1020"/>
              </w:rPr>
              <w:t>manner that aligns DXC’s executive compensation</w:t>
            </w:r>
          </w:p>
        </w:tc>
        <w:tc>
          <w:tcPr>
            <w:tcW w:w="20" w:type="dxa"/>
            <w:vAlign w:val="bottom"/>
            <w:shd w:val="clear" w:color="auto" w:fill="CFCFD2"/>
          </w:tcPr>
          <w:p>
            <w:pPr>
              <w:spacing w:after="0"/>
              <w:rPr>
                <w:sz w:val="15"/>
                <w:szCs w:val="15"/>
                <w:color w:val="auto"/>
              </w:rPr>
            </w:pPr>
          </w:p>
        </w:tc>
        <w:tc>
          <w:tcPr>
            <w:tcW w:w="3740" w:type="dxa"/>
            <w:vAlign w:val="bottom"/>
            <w:shd w:val="clear" w:color="auto" w:fill="F6F3F0"/>
          </w:tcPr>
          <w:p>
            <w:pPr>
              <w:ind w:left="240"/>
              <w:spacing w:after="0"/>
              <w:rPr>
                <w:sz w:val="20"/>
                <w:szCs w:val="20"/>
                <w:color w:val="auto"/>
              </w:rPr>
            </w:pPr>
            <w:r>
              <w:rPr>
                <w:rFonts w:ascii="Arial" w:cs="Arial" w:eastAsia="Arial" w:hAnsi="Arial"/>
                <w:sz w:val="13"/>
                <w:szCs w:val="13"/>
                <w:color w:val="0E1020"/>
              </w:rPr>
              <w:t>DXC’s significant corporate governance documents. The</w:t>
            </w:r>
          </w:p>
        </w:tc>
        <w:tc>
          <w:tcPr>
            <w:tcW w:w="0" w:type="dxa"/>
            <w:vAlign w:val="bottom"/>
          </w:tcPr>
          <w:p>
            <w:pPr>
              <w:spacing w:after="0"/>
              <w:rPr>
                <w:sz w:val="1"/>
                <w:szCs w:val="1"/>
                <w:color w:val="auto"/>
              </w:rPr>
            </w:pPr>
          </w:p>
        </w:tc>
      </w:tr>
      <w:tr>
        <w:trPr>
          <w:trHeight w:val="174"/>
        </w:trPr>
        <w:tc>
          <w:tcPr>
            <w:tcW w:w="240" w:type="dxa"/>
            <w:vAlign w:val="bottom"/>
            <w:shd w:val="clear" w:color="auto" w:fill="F6F3F0"/>
          </w:tcPr>
          <w:p>
            <w:pPr>
              <w:spacing w:after="0"/>
              <w:rPr>
                <w:sz w:val="15"/>
                <w:szCs w:val="15"/>
                <w:color w:val="auto"/>
              </w:rPr>
            </w:pPr>
          </w:p>
        </w:tc>
        <w:tc>
          <w:tcPr>
            <w:tcW w:w="3260" w:type="dxa"/>
            <w:vAlign w:val="bottom"/>
            <w:shd w:val="clear" w:color="auto" w:fill="F6F3F0"/>
          </w:tcPr>
          <w:p>
            <w:pPr>
              <w:ind w:left="20"/>
              <w:spacing w:after="0"/>
              <w:rPr>
                <w:sz w:val="20"/>
                <w:szCs w:val="20"/>
                <w:color w:val="auto"/>
              </w:rPr>
            </w:pPr>
            <w:r>
              <w:rPr>
                <w:rFonts w:ascii="Arial" w:cs="Arial" w:eastAsia="Arial" w:hAnsi="Arial"/>
                <w:sz w:val="13"/>
                <w:szCs w:val="13"/>
                <w:color w:val="0E1020"/>
                <w:w w:val="97"/>
              </w:rPr>
              <w:t>This oversight includes the review of relevant policies and</w:t>
            </w:r>
          </w:p>
        </w:tc>
        <w:tc>
          <w:tcPr>
            <w:tcW w:w="260" w:type="dxa"/>
            <w:vAlign w:val="bottom"/>
            <w:tcBorders>
              <w:right w:val="single" w:sz="8" w:color="CFCFD2"/>
            </w:tcBorders>
            <w:shd w:val="clear" w:color="auto" w:fill="F6F3F0"/>
          </w:tcPr>
          <w:p>
            <w:pPr>
              <w:spacing w:after="0"/>
              <w:rPr>
                <w:sz w:val="15"/>
                <w:szCs w:val="15"/>
                <w:color w:val="auto"/>
              </w:rPr>
            </w:pPr>
          </w:p>
        </w:tc>
        <w:tc>
          <w:tcPr>
            <w:tcW w:w="3720" w:type="dxa"/>
            <w:vAlign w:val="bottom"/>
            <w:shd w:val="clear" w:color="auto" w:fill="F6F3F0"/>
          </w:tcPr>
          <w:p>
            <w:pPr>
              <w:ind w:left="240"/>
              <w:spacing w:after="0"/>
              <w:rPr>
                <w:sz w:val="20"/>
                <w:szCs w:val="20"/>
                <w:color w:val="auto"/>
              </w:rPr>
            </w:pPr>
            <w:r>
              <w:rPr>
                <w:rFonts w:ascii="Arial" w:cs="Arial" w:eastAsia="Arial" w:hAnsi="Arial"/>
                <w:sz w:val="13"/>
                <w:szCs w:val="13"/>
                <w:color w:val="0E1020"/>
              </w:rPr>
              <w:t>program with the interests of DXC and its stockholders.</w:t>
            </w:r>
          </w:p>
        </w:tc>
        <w:tc>
          <w:tcPr>
            <w:tcW w:w="20" w:type="dxa"/>
            <w:vAlign w:val="bottom"/>
            <w:shd w:val="clear" w:color="auto" w:fill="CFCFD2"/>
          </w:tcPr>
          <w:p>
            <w:pPr>
              <w:spacing w:after="0"/>
              <w:rPr>
                <w:sz w:val="15"/>
                <w:szCs w:val="15"/>
                <w:color w:val="auto"/>
              </w:rPr>
            </w:pPr>
          </w:p>
        </w:tc>
        <w:tc>
          <w:tcPr>
            <w:tcW w:w="3740" w:type="dxa"/>
            <w:vAlign w:val="bottom"/>
            <w:shd w:val="clear" w:color="auto" w:fill="F6F3F0"/>
          </w:tcPr>
          <w:p>
            <w:pPr>
              <w:ind w:left="240"/>
              <w:spacing w:after="0"/>
              <w:rPr>
                <w:sz w:val="20"/>
                <w:szCs w:val="20"/>
                <w:color w:val="auto"/>
              </w:rPr>
            </w:pPr>
            <w:r>
              <w:rPr>
                <w:rFonts w:ascii="Arial" w:cs="Arial" w:eastAsia="Arial" w:hAnsi="Arial"/>
                <w:sz w:val="13"/>
                <w:szCs w:val="13"/>
                <w:color w:val="0E1020"/>
              </w:rPr>
              <w:t>Nominating/Corporate Governance Committee oversees</w:t>
            </w:r>
          </w:p>
        </w:tc>
        <w:tc>
          <w:tcPr>
            <w:tcW w:w="0" w:type="dxa"/>
            <w:vAlign w:val="bottom"/>
          </w:tcPr>
          <w:p>
            <w:pPr>
              <w:spacing w:after="0"/>
              <w:rPr>
                <w:sz w:val="1"/>
                <w:szCs w:val="1"/>
                <w:color w:val="auto"/>
              </w:rPr>
            </w:pPr>
          </w:p>
        </w:tc>
      </w:tr>
      <w:tr>
        <w:trPr>
          <w:trHeight w:val="174"/>
        </w:trPr>
        <w:tc>
          <w:tcPr>
            <w:tcW w:w="240" w:type="dxa"/>
            <w:vAlign w:val="bottom"/>
            <w:shd w:val="clear" w:color="auto" w:fill="F6F3F0"/>
          </w:tcPr>
          <w:p>
            <w:pPr>
              <w:spacing w:after="0"/>
              <w:rPr>
                <w:sz w:val="15"/>
                <w:szCs w:val="15"/>
                <w:color w:val="auto"/>
              </w:rPr>
            </w:pPr>
          </w:p>
        </w:tc>
        <w:tc>
          <w:tcPr>
            <w:tcW w:w="3260" w:type="dxa"/>
            <w:vAlign w:val="bottom"/>
            <w:shd w:val="clear" w:color="auto" w:fill="F6F3F0"/>
          </w:tcPr>
          <w:p>
            <w:pPr>
              <w:ind w:left="20"/>
              <w:spacing w:after="0"/>
              <w:rPr>
                <w:sz w:val="20"/>
                <w:szCs w:val="20"/>
                <w:color w:val="auto"/>
              </w:rPr>
            </w:pPr>
            <w:r>
              <w:rPr>
                <w:rFonts w:ascii="Arial" w:cs="Arial" w:eastAsia="Arial" w:hAnsi="Arial"/>
                <w:sz w:val="13"/>
                <w:szCs w:val="13"/>
                <w:color w:val="0E1020"/>
                <w:w w:val="99"/>
              </w:rPr>
              <w:t>charters associated with internal audit, risk management</w:t>
            </w:r>
          </w:p>
        </w:tc>
        <w:tc>
          <w:tcPr>
            <w:tcW w:w="260" w:type="dxa"/>
            <w:vAlign w:val="bottom"/>
            <w:tcBorders>
              <w:right w:val="single" w:sz="8" w:color="CFCFD2"/>
            </w:tcBorders>
            <w:shd w:val="clear" w:color="auto" w:fill="F6F3F0"/>
          </w:tcPr>
          <w:p>
            <w:pPr>
              <w:spacing w:after="0"/>
              <w:rPr>
                <w:sz w:val="15"/>
                <w:szCs w:val="15"/>
                <w:color w:val="auto"/>
              </w:rPr>
            </w:pPr>
          </w:p>
        </w:tc>
        <w:tc>
          <w:tcPr>
            <w:tcW w:w="3720" w:type="dxa"/>
            <w:vAlign w:val="bottom"/>
            <w:shd w:val="clear" w:color="auto" w:fill="F6F3F0"/>
          </w:tcPr>
          <w:p>
            <w:pPr>
              <w:spacing w:after="0"/>
              <w:rPr>
                <w:sz w:val="15"/>
                <w:szCs w:val="15"/>
                <w:color w:val="auto"/>
              </w:rPr>
            </w:pPr>
          </w:p>
        </w:tc>
        <w:tc>
          <w:tcPr>
            <w:tcW w:w="20" w:type="dxa"/>
            <w:vAlign w:val="bottom"/>
            <w:shd w:val="clear" w:color="auto" w:fill="CFCFD2"/>
          </w:tcPr>
          <w:p>
            <w:pPr>
              <w:spacing w:after="0"/>
              <w:rPr>
                <w:sz w:val="15"/>
                <w:szCs w:val="15"/>
                <w:color w:val="auto"/>
              </w:rPr>
            </w:pPr>
          </w:p>
        </w:tc>
        <w:tc>
          <w:tcPr>
            <w:tcW w:w="3740" w:type="dxa"/>
            <w:vAlign w:val="bottom"/>
            <w:shd w:val="clear" w:color="auto" w:fill="F6F3F0"/>
          </w:tcPr>
          <w:p>
            <w:pPr>
              <w:ind w:left="240"/>
              <w:spacing w:after="0"/>
              <w:rPr>
                <w:sz w:val="20"/>
                <w:szCs w:val="20"/>
                <w:color w:val="auto"/>
              </w:rPr>
            </w:pPr>
            <w:r>
              <w:rPr>
                <w:rFonts w:ascii="Arial" w:cs="Arial" w:eastAsia="Arial" w:hAnsi="Arial"/>
                <w:sz w:val="13"/>
                <w:szCs w:val="13"/>
                <w:color w:val="0E1020"/>
              </w:rPr>
              <w:t>the Company’s ESG and climate risks, the information</w:t>
            </w:r>
          </w:p>
        </w:tc>
        <w:tc>
          <w:tcPr>
            <w:tcW w:w="0" w:type="dxa"/>
            <w:vAlign w:val="bottom"/>
          </w:tcPr>
          <w:p>
            <w:pPr>
              <w:spacing w:after="0"/>
              <w:rPr>
                <w:sz w:val="1"/>
                <w:szCs w:val="1"/>
                <w:color w:val="auto"/>
              </w:rPr>
            </w:pPr>
          </w:p>
        </w:tc>
      </w:tr>
      <w:tr>
        <w:trPr>
          <w:trHeight w:val="174"/>
        </w:trPr>
        <w:tc>
          <w:tcPr>
            <w:tcW w:w="240" w:type="dxa"/>
            <w:vAlign w:val="bottom"/>
            <w:shd w:val="clear" w:color="auto" w:fill="F6F3F0"/>
          </w:tcPr>
          <w:p>
            <w:pPr>
              <w:spacing w:after="0"/>
              <w:rPr>
                <w:sz w:val="15"/>
                <w:szCs w:val="15"/>
                <w:color w:val="auto"/>
              </w:rPr>
            </w:pPr>
          </w:p>
        </w:tc>
        <w:tc>
          <w:tcPr>
            <w:tcW w:w="3260" w:type="dxa"/>
            <w:vAlign w:val="bottom"/>
            <w:shd w:val="clear" w:color="auto" w:fill="F6F3F0"/>
          </w:tcPr>
          <w:p>
            <w:pPr>
              <w:ind w:left="20"/>
              <w:spacing w:after="0"/>
              <w:rPr>
                <w:sz w:val="20"/>
                <w:szCs w:val="20"/>
                <w:color w:val="auto"/>
              </w:rPr>
            </w:pPr>
            <w:r>
              <w:rPr>
                <w:rFonts w:ascii="Arial" w:cs="Arial" w:eastAsia="Arial" w:hAnsi="Arial"/>
                <w:sz w:val="13"/>
                <w:szCs w:val="13"/>
                <w:color w:val="0E1020"/>
              </w:rPr>
              <w:t>and ethics and compliance.</w:t>
            </w:r>
          </w:p>
        </w:tc>
        <w:tc>
          <w:tcPr>
            <w:tcW w:w="260" w:type="dxa"/>
            <w:vAlign w:val="bottom"/>
            <w:tcBorders>
              <w:right w:val="single" w:sz="8" w:color="CFCFD2"/>
            </w:tcBorders>
            <w:shd w:val="clear" w:color="auto" w:fill="F6F3F0"/>
          </w:tcPr>
          <w:p>
            <w:pPr>
              <w:spacing w:after="0"/>
              <w:rPr>
                <w:sz w:val="15"/>
                <w:szCs w:val="15"/>
                <w:color w:val="auto"/>
              </w:rPr>
            </w:pPr>
          </w:p>
        </w:tc>
        <w:tc>
          <w:tcPr>
            <w:tcW w:w="3720" w:type="dxa"/>
            <w:vAlign w:val="bottom"/>
            <w:shd w:val="clear" w:color="auto" w:fill="F6F3F0"/>
          </w:tcPr>
          <w:p>
            <w:pPr>
              <w:spacing w:after="0"/>
              <w:rPr>
                <w:sz w:val="15"/>
                <w:szCs w:val="15"/>
                <w:color w:val="auto"/>
              </w:rPr>
            </w:pPr>
          </w:p>
        </w:tc>
        <w:tc>
          <w:tcPr>
            <w:tcW w:w="20" w:type="dxa"/>
            <w:vAlign w:val="bottom"/>
            <w:shd w:val="clear" w:color="auto" w:fill="CFCFD2"/>
          </w:tcPr>
          <w:p>
            <w:pPr>
              <w:spacing w:after="0"/>
              <w:rPr>
                <w:sz w:val="15"/>
                <w:szCs w:val="15"/>
                <w:color w:val="auto"/>
              </w:rPr>
            </w:pPr>
          </w:p>
        </w:tc>
        <w:tc>
          <w:tcPr>
            <w:tcW w:w="3740" w:type="dxa"/>
            <w:vAlign w:val="bottom"/>
            <w:shd w:val="clear" w:color="auto" w:fill="F6F3F0"/>
          </w:tcPr>
          <w:p>
            <w:pPr>
              <w:ind w:left="240"/>
              <w:spacing w:after="0"/>
              <w:rPr>
                <w:sz w:val="20"/>
                <w:szCs w:val="20"/>
                <w:color w:val="auto"/>
              </w:rPr>
            </w:pPr>
            <w:r>
              <w:rPr>
                <w:rFonts w:ascii="Arial" w:cs="Arial" w:eastAsia="Arial" w:hAnsi="Arial"/>
                <w:sz w:val="13"/>
                <w:szCs w:val="13"/>
                <w:color w:val="0E1020"/>
              </w:rPr>
              <w:t>security program, and our artificial intelligence (AI)</w:t>
            </w:r>
          </w:p>
        </w:tc>
        <w:tc>
          <w:tcPr>
            <w:tcW w:w="0" w:type="dxa"/>
            <w:vAlign w:val="bottom"/>
          </w:tcPr>
          <w:p>
            <w:pPr>
              <w:spacing w:after="0"/>
              <w:rPr>
                <w:sz w:val="1"/>
                <w:szCs w:val="1"/>
                <w:color w:val="auto"/>
              </w:rPr>
            </w:pPr>
          </w:p>
        </w:tc>
      </w:tr>
      <w:tr>
        <w:trPr>
          <w:trHeight w:val="195"/>
        </w:trPr>
        <w:tc>
          <w:tcPr>
            <w:tcW w:w="240" w:type="dxa"/>
            <w:vAlign w:val="bottom"/>
            <w:tcBorders>
              <w:bottom w:val="single" w:sz="8" w:color="F6F3F0"/>
            </w:tcBorders>
            <w:shd w:val="clear" w:color="auto" w:fill="F6F3F0"/>
          </w:tcPr>
          <w:p>
            <w:pPr>
              <w:spacing w:after="0"/>
              <w:rPr>
                <w:sz w:val="16"/>
                <w:szCs w:val="16"/>
                <w:color w:val="auto"/>
              </w:rPr>
            </w:pPr>
          </w:p>
        </w:tc>
        <w:tc>
          <w:tcPr>
            <w:tcW w:w="3260" w:type="dxa"/>
            <w:vAlign w:val="bottom"/>
            <w:tcBorders>
              <w:bottom w:val="single" w:sz="8" w:color="F6F3F0"/>
            </w:tcBorders>
            <w:shd w:val="clear" w:color="auto" w:fill="F6F3F0"/>
          </w:tcPr>
          <w:p>
            <w:pPr>
              <w:spacing w:after="0"/>
              <w:rPr>
                <w:sz w:val="16"/>
                <w:szCs w:val="16"/>
                <w:color w:val="auto"/>
              </w:rPr>
            </w:pPr>
          </w:p>
        </w:tc>
        <w:tc>
          <w:tcPr>
            <w:tcW w:w="260" w:type="dxa"/>
            <w:vAlign w:val="bottom"/>
            <w:tcBorders>
              <w:bottom w:val="single" w:sz="8" w:color="F6F3F0"/>
              <w:right w:val="single" w:sz="8" w:color="CFCFD2"/>
            </w:tcBorders>
            <w:shd w:val="clear" w:color="auto" w:fill="F6F3F0"/>
          </w:tcPr>
          <w:p>
            <w:pPr>
              <w:spacing w:after="0"/>
              <w:rPr>
                <w:sz w:val="16"/>
                <w:szCs w:val="16"/>
                <w:color w:val="auto"/>
              </w:rPr>
            </w:pPr>
          </w:p>
        </w:tc>
        <w:tc>
          <w:tcPr>
            <w:tcW w:w="3720" w:type="dxa"/>
            <w:vAlign w:val="bottom"/>
            <w:tcBorders>
              <w:bottom w:val="single" w:sz="8" w:color="F6F3F0"/>
            </w:tcBorders>
            <w:shd w:val="clear" w:color="auto" w:fill="F6F3F0"/>
          </w:tcPr>
          <w:p>
            <w:pPr>
              <w:spacing w:after="0"/>
              <w:rPr>
                <w:sz w:val="16"/>
                <w:szCs w:val="16"/>
                <w:color w:val="auto"/>
              </w:rPr>
            </w:pPr>
          </w:p>
        </w:tc>
        <w:tc>
          <w:tcPr>
            <w:tcW w:w="20" w:type="dxa"/>
            <w:vAlign w:val="bottom"/>
            <w:tcBorders>
              <w:bottom w:val="single" w:sz="8" w:color="CFCFD2"/>
            </w:tcBorders>
            <w:shd w:val="clear" w:color="auto" w:fill="CFCFD2"/>
          </w:tcPr>
          <w:p>
            <w:pPr>
              <w:spacing w:after="0"/>
              <w:rPr>
                <w:sz w:val="16"/>
                <w:szCs w:val="16"/>
                <w:color w:val="auto"/>
              </w:rPr>
            </w:pPr>
          </w:p>
        </w:tc>
        <w:tc>
          <w:tcPr>
            <w:tcW w:w="3740" w:type="dxa"/>
            <w:vAlign w:val="bottom"/>
            <w:tcBorders>
              <w:bottom w:val="single" w:sz="8" w:color="F6F3F0"/>
            </w:tcBorders>
            <w:shd w:val="clear" w:color="auto" w:fill="F6F3F0"/>
          </w:tcPr>
          <w:p>
            <w:pPr>
              <w:ind w:left="240"/>
              <w:spacing w:after="0"/>
              <w:rPr>
                <w:sz w:val="20"/>
                <w:szCs w:val="20"/>
                <w:color w:val="auto"/>
              </w:rPr>
            </w:pPr>
            <w:r>
              <w:rPr>
                <w:rFonts w:ascii="Arial" w:cs="Arial" w:eastAsia="Arial" w:hAnsi="Arial"/>
                <w:sz w:val="13"/>
                <w:szCs w:val="13"/>
                <w:color w:val="0E1020"/>
              </w:rPr>
              <w:t>governance and risk management processes.</w:t>
            </w:r>
          </w:p>
        </w:tc>
        <w:tc>
          <w:tcPr>
            <w:tcW w:w="0" w:type="dxa"/>
            <w:vAlign w:val="bottom"/>
          </w:tcPr>
          <w:p>
            <w:pPr>
              <w:spacing w:after="0"/>
              <w:rPr>
                <w:sz w:val="1"/>
                <w:szCs w:val="1"/>
                <w:color w:val="auto"/>
              </w:rPr>
            </w:pPr>
          </w:p>
        </w:tc>
      </w:tr>
      <w:tr>
        <w:trPr>
          <w:trHeight w:val="214"/>
        </w:trPr>
        <w:tc>
          <w:tcPr>
            <w:tcW w:w="240" w:type="dxa"/>
            <w:vAlign w:val="bottom"/>
            <w:shd w:val="clear" w:color="auto" w:fill="F6F3F0"/>
          </w:tcPr>
          <w:p>
            <w:pPr>
              <w:spacing w:after="0"/>
              <w:rPr>
                <w:sz w:val="18"/>
                <w:szCs w:val="18"/>
                <w:color w:val="auto"/>
              </w:rPr>
            </w:pPr>
          </w:p>
        </w:tc>
        <w:tc>
          <w:tcPr>
            <w:tcW w:w="3260" w:type="dxa"/>
            <w:vAlign w:val="bottom"/>
            <w:shd w:val="clear" w:color="auto" w:fill="F6F3F0"/>
          </w:tcPr>
          <w:p>
            <w:pPr>
              <w:spacing w:after="0"/>
              <w:rPr>
                <w:sz w:val="18"/>
                <w:szCs w:val="18"/>
                <w:color w:val="auto"/>
              </w:rPr>
            </w:pPr>
          </w:p>
        </w:tc>
        <w:tc>
          <w:tcPr>
            <w:tcW w:w="260" w:type="dxa"/>
            <w:vAlign w:val="bottom"/>
            <w:tcBorders>
              <w:right w:val="single" w:sz="8" w:color="F6F3F0"/>
            </w:tcBorders>
            <w:shd w:val="clear" w:color="auto" w:fill="F6F3F0"/>
          </w:tcPr>
          <w:p>
            <w:pPr>
              <w:spacing w:after="0"/>
              <w:rPr>
                <w:sz w:val="18"/>
                <w:szCs w:val="18"/>
                <w:color w:val="auto"/>
              </w:rPr>
            </w:pPr>
          </w:p>
        </w:tc>
        <w:tc>
          <w:tcPr>
            <w:tcW w:w="3720" w:type="dxa"/>
            <w:vAlign w:val="bottom"/>
            <w:shd w:val="clear" w:color="auto" w:fill="F6F3F0"/>
          </w:tcPr>
          <w:p>
            <w:pPr>
              <w:spacing w:after="0"/>
              <w:rPr>
                <w:sz w:val="18"/>
                <w:szCs w:val="18"/>
                <w:color w:val="auto"/>
              </w:rPr>
            </w:pPr>
          </w:p>
        </w:tc>
        <w:tc>
          <w:tcPr>
            <w:tcW w:w="20" w:type="dxa"/>
            <w:vAlign w:val="bottom"/>
            <w:shd w:val="clear" w:color="auto" w:fill="F6F3F0"/>
          </w:tcPr>
          <w:p>
            <w:pPr>
              <w:spacing w:after="0"/>
              <w:rPr>
                <w:sz w:val="18"/>
                <w:szCs w:val="18"/>
                <w:color w:val="auto"/>
              </w:rPr>
            </w:pPr>
          </w:p>
        </w:tc>
        <w:tc>
          <w:tcPr>
            <w:tcW w:w="3740" w:type="dxa"/>
            <w:vAlign w:val="bottom"/>
            <w:shd w:val="clear" w:color="auto" w:fill="F6F3F0"/>
          </w:tcPr>
          <w:p>
            <w:pPr>
              <w:spacing w:after="0"/>
              <w:rPr>
                <w:sz w:val="18"/>
                <w:szCs w:val="18"/>
                <w:color w:val="auto"/>
              </w:rPr>
            </w:pPr>
          </w:p>
        </w:tc>
        <w:tc>
          <w:tcPr>
            <w:tcW w:w="0" w:type="dxa"/>
            <w:vAlign w:val="bottom"/>
          </w:tcPr>
          <w:p>
            <w:pPr>
              <w:spacing w:after="0"/>
              <w:rPr>
                <w:sz w:val="1"/>
                <w:szCs w:val="1"/>
                <w:color w:val="auto"/>
              </w:rPr>
            </w:pPr>
          </w:p>
        </w:tc>
      </w:tr>
      <w:tr>
        <w:trPr>
          <w:trHeight w:val="536"/>
        </w:trPr>
        <w:tc>
          <w:tcPr>
            <w:tcW w:w="2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40" w:type="dxa"/>
            <w:vAlign w:val="bottom"/>
            <w:shd w:val="clear" w:color="auto" w:fill="F6F3F0"/>
          </w:tcPr>
          <w:p>
            <w:pPr>
              <w:spacing w:after="0"/>
              <w:rPr>
                <w:sz w:val="18"/>
                <w:szCs w:val="18"/>
                <w:color w:val="auto"/>
              </w:rPr>
            </w:pPr>
          </w:p>
        </w:tc>
        <w:tc>
          <w:tcPr>
            <w:tcW w:w="3260" w:type="dxa"/>
            <w:vAlign w:val="bottom"/>
            <w:shd w:val="clear" w:color="auto" w:fill="F6F3F0"/>
          </w:tcPr>
          <w:p>
            <w:pPr>
              <w:spacing w:after="0"/>
              <w:rPr>
                <w:sz w:val="18"/>
                <w:szCs w:val="18"/>
                <w:color w:val="auto"/>
              </w:rPr>
            </w:pPr>
          </w:p>
        </w:tc>
        <w:tc>
          <w:tcPr>
            <w:tcW w:w="260" w:type="dxa"/>
            <w:vAlign w:val="bottom"/>
            <w:tcBorders>
              <w:right w:val="single" w:sz="8" w:color="F6F3F0"/>
            </w:tcBorders>
            <w:shd w:val="clear" w:color="auto" w:fill="F6F3F0"/>
          </w:tcPr>
          <w:p>
            <w:pPr>
              <w:spacing w:after="0"/>
              <w:rPr>
                <w:sz w:val="18"/>
                <w:szCs w:val="18"/>
                <w:color w:val="auto"/>
              </w:rPr>
            </w:pPr>
          </w:p>
        </w:tc>
        <w:tc>
          <w:tcPr>
            <w:tcW w:w="3720" w:type="dxa"/>
            <w:vAlign w:val="bottom"/>
            <w:shd w:val="clear" w:color="auto" w:fill="F6F3F0"/>
          </w:tcPr>
          <w:p>
            <w:pPr>
              <w:spacing w:after="0"/>
              <w:rPr>
                <w:sz w:val="18"/>
                <w:szCs w:val="18"/>
                <w:color w:val="auto"/>
              </w:rPr>
            </w:pPr>
          </w:p>
        </w:tc>
        <w:tc>
          <w:tcPr>
            <w:tcW w:w="20" w:type="dxa"/>
            <w:vAlign w:val="bottom"/>
            <w:shd w:val="clear" w:color="auto" w:fill="F6F3F0"/>
          </w:tcPr>
          <w:p>
            <w:pPr>
              <w:spacing w:after="0"/>
              <w:rPr>
                <w:sz w:val="18"/>
                <w:szCs w:val="18"/>
                <w:color w:val="auto"/>
              </w:rPr>
            </w:pPr>
          </w:p>
        </w:tc>
        <w:tc>
          <w:tcPr>
            <w:tcW w:w="3740" w:type="dxa"/>
            <w:vAlign w:val="bottom"/>
            <w:shd w:val="clear" w:color="auto" w:fill="F6F3F0"/>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-391160</wp:posOffset>
            </wp:positionV>
            <wp:extent cx="7133590" cy="17106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3590" cy="1710690"/>
                    </a:xfrm>
                    <a:prstGeom prst="rect">
                      <a:avLst/>
                    </a:prstGeom>
                    <a:noFill/>
                  </pic:spPr>
                </pic:pic>
              </a:graphicData>
            </a:graphic>
          </wp:anchor>
        </w:drawing>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0E1020"/>
        </w:rPr>
        <w:t>MANAGEMENT ROLE</w:t>
      </w:r>
    </w:p>
    <w:p>
      <w:pPr>
        <w:spacing w:after="0" w:line="42" w:lineRule="exact"/>
        <w:rPr>
          <w:sz w:val="20"/>
          <w:szCs w:val="20"/>
          <w:color w:val="auto"/>
        </w:rPr>
      </w:pPr>
    </w:p>
    <w:p>
      <w:pPr>
        <w:ind w:left="260" w:right="400"/>
        <w:spacing w:after="0" w:line="345" w:lineRule="auto"/>
        <w:rPr>
          <w:sz w:val="20"/>
          <w:szCs w:val="20"/>
          <w:color w:val="auto"/>
        </w:rPr>
      </w:pPr>
      <w:r>
        <w:rPr>
          <w:rFonts w:ascii="Arial" w:cs="Arial" w:eastAsia="Arial" w:hAnsi="Arial"/>
          <w:sz w:val="11"/>
          <w:szCs w:val="11"/>
          <w:color w:val="0E1020"/>
        </w:rPr>
        <w:t>DXC’s Chief Audit Executive (CAE) reports directly to our Audit Committee and meets quarterly with the Audit Committee to discuss DXC’s internal control environment and potential areas of risk. In addition to managing the Internal Audit function, our CAE is responsible for our ERM function and reports on ERM to the Audit Committee periodically. The ERM program assists DXC in achieving strategic and operational goals by appropriately managing risk. A comprehensive framework tailored to the organization's needs empowers the identification, assessment, and management of key risks across the enterprise. The program aims to enable informed decision-making that supports the organization in navigating uncertainty and building resilience while pursuing its objectives. An Enterprise Risk Committee (ERC), chaired by the CAE, assists leadership in assessing, managing, and monitoring risks, and aids the Board in its oversight responsibilities regarding the DXC ERM program. The ERC includes senior executives from across the organization, with additional business leaders invited as needed.</w:t>
      </w:r>
    </w:p>
    <w:p>
      <w:pPr>
        <w:spacing w:after="0" w:line="49" w:lineRule="exact"/>
        <w:rPr>
          <w:sz w:val="20"/>
          <w:szCs w:val="20"/>
          <w:color w:val="auto"/>
        </w:rPr>
      </w:pPr>
    </w:p>
    <w:p>
      <w:pPr>
        <w:ind w:left="260" w:right="400"/>
        <w:spacing w:after="0" w:line="304" w:lineRule="auto"/>
        <w:rPr>
          <w:sz w:val="20"/>
          <w:szCs w:val="20"/>
          <w:color w:val="auto"/>
        </w:rPr>
      </w:pPr>
      <w:r>
        <w:rPr>
          <w:rFonts w:ascii="Arial" w:cs="Arial" w:eastAsia="Arial" w:hAnsi="Arial"/>
          <w:sz w:val="13"/>
          <w:szCs w:val="13"/>
          <w:color w:val="0E1020"/>
        </w:rPr>
        <w:t>We also have a Chief Ethics and Compliance Officer (CECO) who oversees DXC’s regulatory and compliance programs, which include global data protection, third-party risk management, and AI risk management. The CECO reports to the Audit Committee on a quarterly basis on key regulatory and compliance risks facing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38</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46" w:name="page47"/>
    <w:bookmarkEnd w:id="46"/>
    <w:p>
      <w:pPr>
        <w:ind w:left="20"/>
        <w:spacing w:after="0"/>
        <w:tabs>
          <w:tab w:leader="none" w:pos="976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0E1020"/>
        </w:rPr>
        <w:t>Corporate Governance</w:t>
      </w:r>
    </w:p>
    <w:p>
      <w:pPr>
        <w:spacing w:after="0" w:line="200" w:lineRule="exact"/>
        <w:rPr>
          <w:sz w:val="20"/>
          <w:szCs w:val="20"/>
          <w:color w:val="auto"/>
        </w:rPr>
      </w:pPr>
    </w:p>
    <w:p>
      <w:pPr>
        <w:spacing w:after="0" w:line="358" w:lineRule="exact"/>
        <w:rPr>
          <w:sz w:val="20"/>
          <w:szCs w:val="20"/>
          <w:color w:val="auto"/>
        </w:rPr>
      </w:pPr>
    </w:p>
    <w:p>
      <w:pPr>
        <w:ind w:right="340"/>
        <w:spacing w:after="0" w:line="335" w:lineRule="auto"/>
        <w:rPr>
          <w:sz w:val="20"/>
          <w:szCs w:val="20"/>
          <w:color w:val="auto"/>
        </w:rPr>
      </w:pPr>
      <w:r>
        <w:rPr>
          <w:rFonts w:ascii="Arial" w:cs="Arial" w:eastAsia="Arial" w:hAnsi="Arial"/>
          <w:sz w:val="16"/>
          <w:szCs w:val="16"/>
          <w:color w:val="0E1020"/>
        </w:rPr>
        <w:t>We will continue to evaluate our risk management program and structure in fiscal 2027 to ensure alignment with the Company’s strategic and operational risks.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0E1020"/>
        </w:rPr>
        <w:t>For more information on risks that affect our business, please see our most recent Annual Report on Form 10-K and other filings we make with the SEC.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Cybersecurity Risk</w:t>
      </w:r>
    </w:p>
    <w:p>
      <w:pPr>
        <w:spacing w:after="0" w:line="14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0E1020"/>
        </w:rPr>
        <w:t>Cybersecurity is considered a critical risk area at DXC and is integrated into the Company’s overall ERM program. Our Board considers cybersecurity risk as part of its risk oversight function and has delegated to the Nominating/Corporate Governance Committee oversight of cybersecurity and other information security risks. The Nominating/Corporate Governance Committee oversees management’s efforts to identify, assess, mitigate, and remediate material information security risks. Similarly, the Audit Committee oversees our disclosure controls and procedures, which include cybersecurity reporting disclosure controls.</w:t>
      </w:r>
    </w:p>
    <w:p>
      <w:pPr>
        <w:spacing w:after="0" w:line="49"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0E1020"/>
        </w:rPr>
        <w:t>The Nominating/Corporate Governance Committee receives reports from the Global Chief Information Security Officer on the Company’s information security program at each regular quarterly Committee meeting. In addition, management updates the Nominating/Corporate Governance Committee, where it deems appropriate, regarding any cybersecurity incidents it considers to be significant. The Nominating/Corporate Governance Committee chair then provides an overview of the information security reports to the full Board on a regular basis.</w:t>
      </w:r>
    </w:p>
    <w:p>
      <w:pPr>
        <w:spacing w:after="0" w:line="41" w:lineRule="exact"/>
        <w:rPr>
          <w:sz w:val="20"/>
          <w:szCs w:val="20"/>
          <w:color w:val="auto"/>
        </w:rPr>
      </w:pPr>
    </w:p>
    <w:p>
      <w:pPr>
        <w:ind w:right="260"/>
        <w:spacing w:after="0" w:line="335" w:lineRule="auto"/>
        <w:rPr>
          <w:sz w:val="20"/>
          <w:szCs w:val="20"/>
          <w:color w:val="auto"/>
        </w:rPr>
      </w:pPr>
      <w:r>
        <w:rPr>
          <w:rFonts w:ascii="Arial" w:cs="Arial" w:eastAsia="Arial" w:hAnsi="Arial"/>
          <w:sz w:val="16"/>
          <w:szCs w:val="16"/>
          <w:color w:val="0E1020"/>
        </w:rPr>
        <w:t>The Company maintains an information security risk insurance policy. For additional information regarding the Company’s cybersecurity risk management, strategy, and governance, see Item 1C of our Annual Report on Form 10-K for the fiscal year ended March 31, 2026.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AI Risk Management</w:t>
      </w:r>
    </w:p>
    <w:p>
      <w:pPr>
        <w:spacing w:after="0" w:line="13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0E1020"/>
        </w:rPr>
        <w:t>AI risk management is integrated into the Company’s overall ERM program. DXC manages AI-related risk through an embedded governance framework that integrates AI oversight into existing enterprise processes. Cross-functional teams collaborate on AI risk management, supported by processes and tools that operate with human oversight. The Board's Nominating/Corporate Governance Committee oversees DXC's AI governance and risk management processes and receives reports from leadership at each regular quarterly Committee meeting. The Nominating/Corporate Governance Committee chair then provides an overview of the AI reports to the full Board on a regular basis.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Compensation and Risk</w:t>
      </w:r>
    </w:p>
    <w:p>
      <w:pPr>
        <w:spacing w:after="0" w:line="133"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0E1020"/>
        </w:rPr>
        <w:t>Management reviewed DXC’s executive and non-executive compensation programs for fiscal 2026 and determined that its policies and compensation programs were not reasonably likely to have a material adverse effect on DXC. DXC also considered its robust executive stock ownership guidelines, executive compensation recovery policy and anti-hedging and anti-pledging policies as risk-mitigating features of its executive compensation program. See more below under Risk Assessment in the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39</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47" w:name="page48"/>
    <w:bookmarkEnd w:id="47"/>
    <w:p>
      <w:pPr>
        <w:ind w:left="20"/>
        <w:spacing w:after="0"/>
        <w:tabs>
          <w:tab w:leader="none" w:pos="10100" w:val="left"/>
        </w:tabs>
        <w:rPr>
          <w:sz w:val="20"/>
          <w:szCs w:val="20"/>
          <w:color w:val="auto"/>
        </w:rPr>
      </w:pPr>
      <w:r>
        <w:rPr>
          <w:rFonts w:ascii="Arial" w:cs="Arial" w:eastAsia="Arial" w:hAnsi="Arial"/>
          <w:sz w:val="14"/>
          <w:szCs w:val="14"/>
          <w:color w:val="auto"/>
        </w:rPr>
        <w:t>Corporate Governance</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Insider Trading Policies and Procedures</w:t>
      </w:r>
    </w:p>
    <w:p>
      <w:pPr>
        <w:spacing w:after="0" w:line="14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0E1020"/>
        </w:rPr>
        <w:t>We have adopted an insider trading policy (Insider Trading Policy) that governs the purchase, sale, and other dispositions of DXC’s securities by directors, officers and employees, as well as their immediate family, that is reasonably designed to promote compliance with insider trading laws, rules and regulations, and any listing standards applicable to the Company. The Insider Trading Policy addresses topics relating to restrictions or requirements on the purchase, sale and other acquisitions and dispositions of DXC securities. In addition, directors and executives who are designated by the Board of Directors of DXC as “officers” pursuant to Section 16 of the Exchange Act are required to receive pre-clearance prior to engaging in transactions in DXC securities. The Insider Trading Policy also sets forth mandatory guidelines that apply to all executive officers, directors, and employees who adopt Rule 10b5-1 plans for trading in DXC securities, which are intended to ensure compliance with Rule 10b5-1. The Insider Trading Policy also prohibits employees, officers and directors from engaging in any speculative or hedging transactions in our securities such as puts, calls, collars, swaps, forward sale contracts, exchange funds, and similar arrangements or instruments designed to hedge or offset decreases in the market value of DXC securities. No employee, officer or director may engage in short sales of DXC securities, hold DXC securities in a margin account, purchase shares of DXC stock on margin or pledge DXC securities as collateral for a loan.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Non-Employee Director Equity Ownership Guidelines</w:t>
      </w:r>
    </w:p>
    <w:p>
      <w:pPr>
        <w:spacing w:after="0" w:line="133"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0E1020"/>
        </w:rPr>
        <w:t>Under stock ownership guidelines adopted by the Board, Board members, other than the CEO, have an equity ownership requirement of five times their annual retainer to be achieved over a five-year period. Restricted stock units, as well as directly held shares, are taken into account for purposes of determining whether requirements have been met. Stock ownership guidelines for the executive officers, including the CEO, are described under Stock Ownership Guidelines in the Compensation Discussion and Analysis.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Talent Management and Executive Succession Planning</w:t>
      </w:r>
    </w:p>
    <w:p>
      <w:pPr>
        <w:spacing w:after="0" w:line="133" w:lineRule="exact"/>
        <w:rPr>
          <w:sz w:val="20"/>
          <w:szCs w:val="20"/>
          <w:color w:val="auto"/>
        </w:rPr>
      </w:pPr>
    </w:p>
    <w:p>
      <w:pPr>
        <w:jc w:val="both"/>
        <w:ind w:right="40"/>
        <w:spacing w:after="0" w:line="304" w:lineRule="auto"/>
        <w:rPr>
          <w:sz w:val="20"/>
          <w:szCs w:val="20"/>
          <w:color w:val="auto"/>
        </w:rPr>
      </w:pPr>
      <w:r>
        <w:rPr>
          <w:rFonts w:ascii="Arial" w:cs="Arial" w:eastAsia="Arial" w:hAnsi="Arial"/>
          <w:sz w:val="16"/>
          <w:szCs w:val="16"/>
          <w:color w:val="0E1020"/>
        </w:rPr>
        <w:t>Our Compensation Committee and Board are responsible for reviewing succession plans. The Compensation Committee oversees succession planning and leadership development for DXC’s senior management. The Compensation Committee has responsibility to review and make recommendations with respect to (1) the Board’s succession plan for the CEO, and (2) the company’s succession plans for other members of senior management who are executive officers of the Company for purposes of Section 16 of the Exchange Act.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Director Education</w:t>
      </w:r>
    </w:p>
    <w:p>
      <w:pPr>
        <w:spacing w:after="0" w:line="146"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0E1020"/>
        </w:rPr>
        <w:t>The Board recognizes the importance of its members keeping current on DXC and industry issues and their responsibilities as directors. All new directors attend orientation training soon after being elected to the Board, and annual Code of Conduct and Information Security training. Also, the Board encourages attendance at continuing education programs for Board members, which may include internal strategy or topical meetings, third-party presentations and externally-offered programs.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Code of Conduct</w:t>
      </w:r>
    </w:p>
    <w:p>
      <w:pPr>
        <w:spacing w:after="0" w:line="146" w:lineRule="exact"/>
        <w:rPr>
          <w:sz w:val="20"/>
          <w:szCs w:val="20"/>
          <w:color w:val="auto"/>
        </w:rPr>
      </w:pPr>
    </w:p>
    <w:p>
      <w:pPr>
        <w:spacing w:after="0" w:line="301" w:lineRule="auto"/>
        <w:rPr>
          <w:sz w:val="20"/>
          <w:szCs w:val="20"/>
          <w:color w:val="auto"/>
        </w:rPr>
      </w:pPr>
      <w:r>
        <w:rPr>
          <w:rFonts w:ascii="Arial" w:cs="Arial" w:eastAsia="Arial" w:hAnsi="Arial"/>
          <w:sz w:val="16"/>
          <w:szCs w:val="16"/>
          <w:color w:val="0E1020"/>
        </w:rPr>
        <w:t>DXC is committed to high standards of ethical conduct and professionalism, and our Code of Conduct confirms our commitment to ethical behavior in the conduct of all DXC activities and reflects our values. The Code of Conduct applies to all directors, all officers (including our chief executive officer (CEO), chief financial officer (CFO) and controller and principal accounting officer (PAO)) and employees of DXC, and it sets forth our policies and expectations on a number of topics including conflicts of interest, confidentiality, insider trading, protection of DXC and customer property and providing a proper and professional work environment. We maintain a worldwide toll-free and Internet-based helpline – the DXC SpeakUp – which employees can use to communicate any ethics-related concerns, and we provide training on ethics and compliance topics for all employees.</w:t>
      </w:r>
    </w:p>
    <w:p>
      <w:pPr>
        <w:spacing w:after="0" w:line="50"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0E1020"/>
        </w:rPr>
        <w:t>The full text of the Code of Conduct is available on DXC’s website, www.dxc.com, under About Us/Investor Relations/Governance/Ethics &amp; Compliance. For the year ended March 31, 2026, there were no waivers of any provisions of DXC’s Code of Conduct for our CEO, CFO or PAO. In the event DXC amends the Code of Conduct or waives any provision of the Code of Conduct applicable to our directors or executive officers, including our CEO, CFO and PAO, we intend to disclose these actions on our website.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40</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48" w:name="page49"/>
    <w:bookmarkEnd w:id="48"/>
    <w:p>
      <w:pPr>
        <w:ind w:left="20"/>
        <w:spacing w:after="0"/>
        <w:tabs>
          <w:tab w:leader="none" w:pos="976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0E1020"/>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Retirement of Directors</w:t>
      </w:r>
    </w:p>
    <w:p>
      <w:pPr>
        <w:spacing w:after="0" w:line="146"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0E1020"/>
        </w:rPr>
        <w:t>Under our Bylaws and Guidelines, directors must retire by the close of the first annual meeting of stockholders held after they reach age 72, unless the Board determines that it is in the best interests of DXC and its stockholders for the director to continue to serve until the close of a subsequent annual meeting.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Board Evaluations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0E1020"/>
        </w:rPr>
        <w:t>We are committed to providing transparency about our Board and committee evaluation process.</w:t>
      </w:r>
    </w:p>
    <w:p>
      <w:pPr>
        <w:spacing w:after="0" w:line="124" w:lineRule="exact"/>
        <w:rPr>
          <w:sz w:val="20"/>
          <w:szCs w:val="20"/>
          <w:color w:val="auto"/>
        </w:rPr>
      </w:pPr>
    </w:p>
    <w:p>
      <w:pPr>
        <w:spacing w:after="0" w:line="306" w:lineRule="auto"/>
        <w:rPr>
          <w:sz w:val="20"/>
          <w:szCs w:val="20"/>
          <w:color w:val="auto"/>
        </w:rPr>
      </w:pPr>
      <w:r>
        <w:rPr>
          <w:rFonts w:ascii="Arial" w:cs="Arial" w:eastAsia="Arial" w:hAnsi="Arial"/>
          <w:sz w:val="16"/>
          <w:szCs w:val="16"/>
          <w:color w:val="0E1020"/>
        </w:rPr>
        <w:t>The Nominating/Corporate Governance Committee oversees the annual evaluation of the Board and each committee. Each director completes a comprehensive questionnaire evaluating the performance of the Board as a whole and of the committees on which the director serves. The directors' responses are aggregated and anonymized to encourage candid feedback and maintain confidentiality. The Chairman, together with the chair of the Nominating/Corporate Governance Committee, summarizes the responses and shares findings with the Board. This process provides the Board with valuable insight into areas where it functions effectively and areas where it can improve.</w:t>
      </w:r>
    </w:p>
    <w:p>
      <w:pPr>
        <w:spacing w:after="0" w:line="47"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0E1020"/>
        </w:rPr>
        <w:t>The Board may supplement its annual self-evaluation process with additional measures, such as engaging an external evaluator or conducting individual director assessments, when the Board determines that doing so would enhance the effectiveness of the evaluation process. In addition, the Nominating/Corporate Governance Committee periodically assesses the collective skills and experiences of our Board, comparing them to the Company's long-term strategy.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Resignation of Employee Directors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0E1020"/>
        </w:rPr>
        <w:t>Under the Guidelines, the CEO must offer to resign from the Board when he or she ceases to be a DXC employee.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Communicating with the Board</w:t>
      </w:r>
    </w:p>
    <w:p>
      <w:pPr>
        <w:spacing w:after="0" w:line="133"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color w:val="0E1020"/>
        </w:rPr>
        <w:t>Stockholders and other interested parties may communicate with the Board, individual directors, the non-management directors as a group, or with the independent Chairman of the Board, by writing in care of the General Counsel and Secretary, DXC Technology Company, 20408 Bashan Drive, Suite 231, Ashburn, VA 20147. The Secretary reviews all submissions and forwards to members of the Board all appropriate communications that in his judgment are not offensive or otherwise objectionable and do not constitute commercial solicitations.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41</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49" w:name="page50"/>
    <w:bookmarkEnd w:id="49"/>
    <w:p>
      <w:pPr>
        <w:ind w:left="20"/>
        <w:spacing w:after="0"/>
        <w:tabs>
          <w:tab w:leader="none" w:pos="10100" w:val="left"/>
        </w:tabs>
        <w:rPr>
          <w:sz w:val="20"/>
          <w:szCs w:val="20"/>
          <w:color w:val="auto"/>
        </w:rPr>
      </w:pPr>
      <w:r>
        <w:rPr>
          <w:rFonts w:ascii="Arial" w:cs="Arial" w:eastAsia="Arial" w:hAnsi="Arial"/>
          <w:sz w:val="14"/>
          <w:szCs w:val="14"/>
          <w:color w:val="auto"/>
        </w:rPr>
        <w:t>Corporate Governance</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Committees of the Board</w:t>
      </w:r>
    </w:p>
    <w:p>
      <w:pPr>
        <w:spacing w:after="0" w:line="148" w:lineRule="exact"/>
        <w:rPr>
          <w:sz w:val="20"/>
          <w:szCs w:val="20"/>
          <w:color w:val="auto"/>
        </w:rPr>
      </w:pPr>
    </w:p>
    <w:p>
      <w:pPr>
        <w:ind w:right="240"/>
        <w:spacing w:after="0" w:line="335" w:lineRule="auto"/>
        <w:rPr>
          <w:sz w:val="20"/>
          <w:szCs w:val="20"/>
          <w:color w:val="auto"/>
        </w:rPr>
      </w:pPr>
      <w:r>
        <w:rPr>
          <w:rFonts w:ascii="Arial" w:cs="Arial" w:eastAsia="Arial" w:hAnsi="Arial"/>
          <w:sz w:val="16"/>
          <w:szCs w:val="16"/>
          <w:color w:val="0E1020"/>
        </w:rPr>
        <w:t>As of the date of this Proxy Statement, the Board has 10 directors and three standing committees: the Audit Committee, the Compensation Committee and the Nominating/Corporate Governance Committee.</w:t>
      </w:r>
    </w:p>
    <w:p>
      <w:pPr>
        <w:spacing w:after="0" w:line="36" w:lineRule="exact"/>
        <w:rPr>
          <w:sz w:val="20"/>
          <w:szCs w:val="20"/>
          <w:color w:val="auto"/>
        </w:rPr>
      </w:pPr>
    </w:p>
    <w:p>
      <w:pPr>
        <w:ind w:right="360"/>
        <w:spacing w:after="0" w:line="318" w:lineRule="auto"/>
        <w:rPr>
          <w:sz w:val="20"/>
          <w:szCs w:val="20"/>
          <w:color w:val="auto"/>
        </w:rPr>
      </w:pPr>
      <w:r>
        <w:rPr>
          <w:rFonts w:ascii="Arial" w:cs="Arial" w:eastAsia="Arial" w:hAnsi="Arial"/>
          <w:sz w:val="16"/>
          <w:szCs w:val="16"/>
          <w:color w:val="0E1020"/>
        </w:rPr>
        <w:t>Each director serving on the Audit Committee, Compensation Committee and Nominating/Corporate Governance Committee must be and is independent under the rules and regulations of the NYSE.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0E1020"/>
        </w:rPr>
        <w:t>In addition:</w:t>
      </w:r>
    </w:p>
    <w:p>
      <w:pPr>
        <w:spacing w:after="0" w:line="124" w:lineRule="exact"/>
        <w:rPr>
          <w:sz w:val="20"/>
          <w:szCs w:val="20"/>
          <w:color w:val="auto"/>
        </w:rPr>
      </w:pPr>
    </w:p>
    <w:p>
      <w:pPr>
        <w:ind w:left="320" w:right="40" w:hanging="313"/>
        <w:spacing w:after="0" w:line="310" w:lineRule="auto"/>
        <w:tabs>
          <w:tab w:leader="none" w:pos="282" w:val="left"/>
        </w:tabs>
        <w:numPr>
          <w:ilvl w:val="0"/>
          <w:numId w:val="37"/>
        </w:numPr>
        <w:rPr>
          <w:rFonts w:ascii="Arial" w:cs="Arial" w:eastAsia="Arial" w:hAnsi="Arial"/>
          <w:sz w:val="16"/>
          <w:szCs w:val="16"/>
          <w:color w:val="0E1020"/>
        </w:rPr>
      </w:pPr>
      <w:r>
        <w:rPr>
          <w:rFonts w:ascii="Arial" w:cs="Arial" w:eastAsia="Arial" w:hAnsi="Arial"/>
          <w:sz w:val="16"/>
          <w:szCs w:val="16"/>
          <w:color w:val="0E1020"/>
        </w:rPr>
        <w:t>Each Audit Committee member must meet heightened independence criteria under the rules and regulations of the NYSE and the SEC relating to audit committees, and must be financially literate or must become financially literate within a reasonable period of time after the director’s appointment to the Audit Committee. No member of the Audit Committee may simultaneously serve on the audit committees of more than three public companies unless the Board determines that such simultaneous service would not impair the member’s ability to effectively serve on the Audit Committee.</w:t>
      </w:r>
    </w:p>
    <w:p>
      <w:pPr>
        <w:spacing w:after="0" w:line="41" w:lineRule="exact"/>
        <w:rPr>
          <w:rFonts w:ascii="Arial" w:cs="Arial" w:eastAsia="Arial" w:hAnsi="Arial"/>
          <w:sz w:val="16"/>
          <w:szCs w:val="16"/>
          <w:color w:val="0E1020"/>
        </w:rPr>
      </w:pPr>
    </w:p>
    <w:p>
      <w:pPr>
        <w:ind w:left="320" w:right="20" w:hanging="313"/>
        <w:spacing w:after="0" w:line="316" w:lineRule="auto"/>
        <w:tabs>
          <w:tab w:leader="none" w:pos="282" w:val="left"/>
        </w:tabs>
        <w:numPr>
          <w:ilvl w:val="0"/>
          <w:numId w:val="37"/>
        </w:numPr>
        <w:rPr>
          <w:rFonts w:ascii="Arial" w:cs="Arial" w:eastAsia="Arial" w:hAnsi="Arial"/>
          <w:sz w:val="16"/>
          <w:szCs w:val="16"/>
          <w:color w:val="0E1020"/>
        </w:rPr>
      </w:pPr>
      <w:r>
        <w:rPr>
          <w:rFonts w:ascii="Arial" w:cs="Arial" w:eastAsia="Arial" w:hAnsi="Arial"/>
          <w:sz w:val="16"/>
          <w:szCs w:val="16"/>
          <w:color w:val="0E1020"/>
        </w:rPr>
        <w:t>Messrs. Barnes, Herzog and Woods and Mmes. Teffner and Mayfield each qualifies as an “audit committee financial expert” for purposes of the rules of the SEC. Each member of the Audit Committee is financially literate. Ms. Mayfield is expected to join the Audit Committee effective as of the 2026 Annual Meeting.</w:t>
      </w:r>
    </w:p>
    <w:p>
      <w:pPr>
        <w:spacing w:after="0" w:line="37" w:lineRule="exact"/>
        <w:rPr>
          <w:rFonts w:ascii="Arial" w:cs="Arial" w:eastAsia="Arial" w:hAnsi="Arial"/>
          <w:sz w:val="16"/>
          <w:szCs w:val="16"/>
          <w:color w:val="0E1020"/>
        </w:rPr>
      </w:pPr>
    </w:p>
    <w:p>
      <w:pPr>
        <w:ind w:left="320" w:right="200" w:hanging="313"/>
        <w:spacing w:after="0" w:line="335" w:lineRule="auto"/>
        <w:tabs>
          <w:tab w:leader="none" w:pos="282" w:val="left"/>
        </w:tabs>
        <w:numPr>
          <w:ilvl w:val="0"/>
          <w:numId w:val="37"/>
        </w:numPr>
        <w:rPr>
          <w:rFonts w:ascii="Arial" w:cs="Arial" w:eastAsia="Arial" w:hAnsi="Arial"/>
          <w:sz w:val="16"/>
          <w:szCs w:val="16"/>
          <w:color w:val="0E1020"/>
        </w:rPr>
      </w:pPr>
      <w:r>
        <w:rPr>
          <w:rFonts w:ascii="Arial" w:cs="Arial" w:eastAsia="Arial" w:hAnsi="Arial"/>
          <w:sz w:val="16"/>
          <w:szCs w:val="16"/>
          <w:color w:val="0E1020"/>
        </w:rPr>
        <w:t>Each Compensation Committee member must meet heightened independence criteria under the rules and regulations of the NYSE and SEC relating to compensation committees, and be a “non-employee director” for purposes of Rule 16b-3 promulgated under the Exchange Act.</w:t>
      </w:r>
    </w:p>
    <w:p>
      <w:pPr>
        <w:spacing w:after="0" w:line="22" w:lineRule="exact"/>
        <w:rPr>
          <w:rFonts w:ascii="Arial" w:cs="Arial" w:eastAsia="Arial" w:hAnsi="Arial"/>
          <w:sz w:val="16"/>
          <w:szCs w:val="16"/>
          <w:color w:val="0E1020"/>
        </w:rPr>
      </w:pPr>
    </w:p>
    <w:p>
      <w:pPr>
        <w:ind w:left="300" w:hanging="293"/>
        <w:spacing w:after="0"/>
        <w:tabs>
          <w:tab w:leader="none" w:pos="300" w:val="left"/>
        </w:tabs>
        <w:numPr>
          <w:ilvl w:val="0"/>
          <w:numId w:val="37"/>
        </w:numPr>
        <w:rPr>
          <w:rFonts w:ascii="Arial" w:cs="Arial" w:eastAsia="Arial" w:hAnsi="Arial"/>
          <w:sz w:val="16"/>
          <w:szCs w:val="16"/>
          <w:color w:val="0E1020"/>
        </w:rPr>
      </w:pPr>
      <w:r>
        <w:rPr>
          <w:rFonts w:ascii="Arial" w:cs="Arial" w:eastAsia="Arial" w:hAnsi="Arial"/>
          <w:sz w:val="16"/>
          <w:szCs w:val="16"/>
          <w:color w:val="0E1020"/>
        </w:rPr>
        <w:t>The Board has determined that each committee member satisfies all applicable requirements for membership on that committee.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Committee Memberships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40" w:type="dxa"/>
            <w:vAlign w:val="bottom"/>
            <w:shd w:val="clear" w:color="auto" w:fill="F6F3F0"/>
          </w:tcPr>
          <w:p>
            <w:pPr>
              <w:spacing w:after="0"/>
              <w:rPr>
                <w:sz w:val="21"/>
                <w:szCs w:val="21"/>
                <w:color w:val="auto"/>
              </w:rPr>
            </w:pPr>
          </w:p>
        </w:tc>
        <w:tc>
          <w:tcPr>
            <w:tcW w:w="20" w:type="dxa"/>
            <w:vAlign w:val="bottom"/>
            <w:shd w:val="clear" w:color="auto" w:fill="F6F3F0"/>
          </w:tcPr>
          <w:p>
            <w:pPr>
              <w:spacing w:after="0"/>
              <w:rPr>
                <w:sz w:val="21"/>
                <w:szCs w:val="21"/>
                <w:color w:val="auto"/>
              </w:rPr>
            </w:pPr>
          </w:p>
        </w:tc>
        <w:tc>
          <w:tcPr>
            <w:tcW w:w="3960" w:type="dxa"/>
            <w:vAlign w:val="bottom"/>
            <w:shd w:val="clear" w:color="auto" w:fill="F6F3F0"/>
          </w:tcPr>
          <w:p>
            <w:pPr>
              <w:jc w:val="center"/>
              <w:ind w:left="2369"/>
              <w:spacing w:after="0"/>
              <w:rPr>
                <w:sz w:val="20"/>
                <w:szCs w:val="20"/>
                <w:color w:val="auto"/>
              </w:rPr>
            </w:pPr>
            <w:r>
              <w:rPr>
                <w:rFonts w:ascii="Arial" w:cs="Arial" w:eastAsia="Arial" w:hAnsi="Arial"/>
                <w:sz w:val="14"/>
                <w:szCs w:val="14"/>
                <w:b w:val="1"/>
                <w:bCs w:val="1"/>
                <w:color w:val="0E1020"/>
              </w:rPr>
              <w:t>Audit</w:t>
            </w:r>
          </w:p>
        </w:tc>
        <w:tc>
          <w:tcPr>
            <w:tcW w:w="2080" w:type="dxa"/>
            <w:vAlign w:val="bottom"/>
            <w:shd w:val="clear" w:color="auto" w:fill="F6F3F0"/>
          </w:tcPr>
          <w:p>
            <w:pPr>
              <w:jc w:val="center"/>
              <w:ind w:left="9"/>
              <w:spacing w:after="0"/>
              <w:rPr>
                <w:sz w:val="20"/>
                <w:szCs w:val="20"/>
                <w:color w:val="auto"/>
              </w:rPr>
            </w:pPr>
            <w:r>
              <w:rPr>
                <w:rFonts w:ascii="Arial" w:cs="Arial" w:eastAsia="Arial" w:hAnsi="Arial"/>
                <w:sz w:val="14"/>
                <w:szCs w:val="14"/>
                <w:b w:val="1"/>
                <w:bCs w:val="1"/>
                <w:color w:val="0E1020"/>
              </w:rPr>
              <w:t>Compensation</w:t>
            </w:r>
          </w:p>
        </w:tc>
        <w:tc>
          <w:tcPr>
            <w:tcW w:w="2740" w:type="dxa"/>
            <w:vAlign w:val="bottom"/>
            <w:shd w:val="clear" w:color="auto" w:fill="F6F3F0"/>
          </w:tcPr>
          <w:p>
            <w:pPr>
              <w:jc w:val="center"/>
              <w:ind w:right="9"/>
              <w:spacing w:after="0"/>
              <w:rPr>
                <w:sz w:val="20"/>
                <w:szCs w:val="20"/>
                <w:color w:val="auto"/>
              </w:rPr>
            </w:pPr>
            <w:r>
              <w:rPr>
                <w:rFonts w:ascii="Arial" w:cs="Arial" w:eastAsia="Arial" w:hAnsi="Arial"/>
                <w:sz w:val="14"/>
                <w:szCs w:val="14"/>
                <w:b w:val="1"/>
                <w:bCs w:val="1"/>
                <w:color w:val="0E1020"/>
              </w:rPr>
              <w:t>Nominating/Corporate</w:t>
            </w:r>
          </w:p>
        </w:tc>
        <w:tc>
          <w:tcPr>
            <w:tcW w:w="0" w:type="dxa"/>
            <w:vAlign w:val="bottom"/>
          </w:tcPr>
          <w:p>
            <w:pPr>
              <w:spacing w:after="0"/>
              <w:rPr>
                <w:sz w:val="1"/>
                <w:szCs w:val="1"/>
                <w:color w:val="auto"/>
              </w:rPr>
            </w:pPr>
          </w:p>
        </w:tc>
      </w:tr>
      <w:tr>
        <w:trPr>
          <w:trHeight w:val="195"/>
        </w:trPr>
        <w:tc>
          <w:tcPr>
            <w:tcW w:w="2440" w:type="dxa"/>
            <w:vAlign w:val="bottom"/>
            <w:shd w:val="clear" w:color="auto" w:fill="F6F3F0"/>
          </w:tcPr>
          <w:p>
            <w:pPr>
              <w:ind w:left="100"/>
              <w:spacing w:after="0"/>
              <w:rPr>
                <w:sz w:val="20"/>
                <w:szCs w:val="20"/>
                <w:color w:val="auto"/>
              </w:rPr>
            </w:pPr>
            <w:r>
              <w:rPr>
                <w:rFonts w:ascii="Arial" w:cs="Arial" w:eastAsia="Arial" w:hAnsi="Arial"/>
                <w:sz w:val="14"/>
                <w:szCs w:val="14"/>
                <w:b w:val="1"/>
                <w:bCs w:val="1"/>
                <w:color w:val="0E1020"/>
              </w:rPr>
              <w:t>Top Skills</w:t>
            </w:r>
          </w:p>
        </w:tc>
        <w:tc>
          <w:tcPr>
            <w:tcW w:w="20" w:type="dxa"/>
            <w:vAlign w:val="bottom"/>
            <w:shd w:val="clear" w:color="auto" w:fill="F6F3F0"/>
          </w:tcPr>
          <w:p>
            <w:pPr>
              <w:spacing w:after="0"/>
              <w:rPr>
                <w:sz w:val="16"/>
                <w:szCs w:val="16"/>
                <w:color w:val="auto"/>
              </w:rPr>
            </w:pPr>
          </w:p>
        </w:tc>
        <w:tc>
          <w:tcPr>
            <w:tcW w:w="3960" w:type="dxa"/>
            <w:vAlign w:val="bottom"/>
            <w:shd w:val="clear" w:color="auto" w:fill="F6F3F0"/>
          </w:tcPr>
          <w:p>
            <w:pPr>
              <w:jc w:val="center"/>
              <w:ind w:left="2349"/>
              <w:spacing w:after="0"/>
              <w:rPr>
                <w:sz w:val="20"/>
                <w:szCs w:val="20"/>
                <w:color w:val="auto"/>
              </w:rPr>
            </w:pPr>
            <w:r>
              <w:rPr>
                <w:rFonts w:ascii="Arial" w:cs="Arial" w:eastAsia="Arial" w:hAnsi="Arial"/>
                <w:sz w:val="14"/>
                <w:szCs w:val="14"/>
                <w:b w:val="1"/>
                <w:bCs w:val="1"/>
                <w:color w:val="0E1020"/>
              </w:rPr>
              <w:t>Committee</w:t>
            </w:r>
          </w:p>
        </w:tc>
        <w:tc>
          <w:tcPr>
            <w:tcW w:w="2080" w:type="dxa"/>
            <w:vAlign w:val="bottom"/>
            <w:shd w:val="clear" w:color="auto" w:fill="F6F3F0"/>
          </w:tcPr>
          <w:p>
            <w:pPr>
              <w:jc w:val="center"/>
              <w:spacing w:after="0"/>
              <w:rPr>
                <w:sz w:val="20"/>
                <w:szCs w:val="20"/>
                <w:color w:val="auto"/>
              </w:rPr>
            </w:pPr>
            <w:r>
              <w:rPr>
                <w:rFonts w:ascii="Arial" w:cs="Arial" w:eastAsia="Arial" w:hAnsi="Arial"/>
                <w:sz w:val="14"/>
                <w:szCs w:val="14"/>
                <w:b w:val="1"/>
                <w:bCs w:val="1"/>
                <w:color w:val="0E1020"/>
              </w:rPr>
              <w:t>Committee</w:t>
            </w:r>
          </w:p>
        </w:tc>
        <w:tc>
          <w:tcPr>
            <w:tcW w:w="2740" w:type="dxa"/>
            <w:vAlign w:val="bottom"/>
            <w:shd w:val="clear" w:color="auto" w:fill="F6F3F0"/>
          </w:tcPr>
          <w:p>
            <w:pPr>
              <w:jc w:val="center"/>
              <w:ind w:right="29"/>
              <w:spacing w:after="0"/>
              <w:rPr>
                <w:sz w:val="20"/>
                <w:szCs w:val="20"/>
                <w:color w:val="auto"/>
              </w:rPr>
            </w:pPr>
            <w:r>
              <w:rPr>
                <w:rFonts w:ascii="Arial" w:cs="Arial" w:eastAsia="Arial" w:hAnsi="Arial"/>
                <w:sz w:val="14"/>
                <w:szCs w:val="14"/>
                <w:b w:val="1"/>
                <w:bCs w:val="1"/>
                <w:color w:val="0E1020"/>
              </w:rPr>
              <w:t>Governance Committee</w:t>
            </w:r>
          </w:p>
        </w:tc>
        <w:tc>
          <w:tcPr>
            <w:tcW w:w="0" w:type="dxa"/>
            <w:vAlign w:val="bottom"/>
          </w:tcPr>
          <w:p>
            <w:pPr>
              <w:spacing w:after="0"/>
              <w:rPr>
                <w:sz w:val="1"/>
                <w:szCs w:val="1"/>
                <w:color w:val="auto"/>
              </w:rPr>
            </w:pPr>
          </w:p>
        </w:tc>
      </w:tr>
      <w:tr>
        <w:trPr>
          <w:trHeight w:val="69"/>
        </w:trPr>
        <w:tc>
          <w:tcPr>
            <w:tcW w:w="2440" w:type="dxa"/>
            <w:vAlign w:val="bottom"/>
            <w:tcBorders>
              <w:bottom w:val="single" w:sz="8" w:color="CFCFD2"/>
            </w:tcBorders>
            <w:shd w:val="clear" w:color="auto" w:fill="F6F3F0"/>
          </w:tcPr>
          <w:p>
            <w:pPr>
              <w:spacing w:after="0"/>
              <w:rPr>
                <w:sz w:val="5"/>
                <w:szCs w:val="5"/>
                <w:color w:val="auto"/>
              </w:rPr>
            </w:pPr>
          </w:p>
        </w:tc>
        <w:tc>
          <w:tcPr>
            <w:tcW w:w="20" w:type="dxa"/>
            <w:vAlign w:val="bottom"/>
            <w:tcBorders>
              <w:bottom w:val="single" w:sz="8" w:color="CFCFD2"/>
            </w:tcBorders>
            <w:shd w:val="clear" w:color="auto" w:fill="F6F3F0"/>
          </w:tcPr>
          <w:p>
            <w:pPr>
              <w:spacing w:after="0"/>
              <w:rPr>
                <w:sz w:val="5"/>
                <w:szCs w:val="5"/>
                <w:color w:val="auto"/>
              </w:rPr>
            </w:pPr>
          </w:p>
        </w:tc>
        <w:tc>
          <w:tcPr>
            <w:tcW w:w="3960" w:type="dxa"/>
            <w:vAlign w:val="bottom"/>
            <w:tcBorders>
              <w:bottom w:val="single" w:sz="8" w:color="CFCFD2"/>
            </w:tcBorders>
            <w:shd w:val="clear" w:color="auto" w:fill="F6F3F0"/>
          </w:tcPr>
          <w:p>
            <w:pPr>
              <w:spacing w:after="0"/>
              <w:rPr>
                <w:sz w:val="5"/>
                <w:szCs w:val="5"/>
                <w:color w:val="auto"/>
              </w:rPr>
            </w:pPr>
          </w:p>
        </w:tc>
        <w:tc>
          <w:tcPr>
            <w:tcW w:w="2080" w:type="dxa"/>
            <w:vAlign w:val="bottom"/>
            <w:tcBorders>
              <w:bottom w:val="single" w:sz="8" w:color="CFCFD2"/>
            </w:tcBorders>
            <w:shd w:val="clear" w:color="auto" w:fill="F6F3F0"/>
          </w:tcPr>
          <w:p>
            <w:pPr>
              <w:spacing w:after="0"/>
              <w:rPr>
                <w:sz w:val="5"/>
                <w:szCs w:val="5"/>
                <w:color w:val="auto"/>
              </w:rPr>
            </w:pPr>
          </w:p>
        </w:tc>
        <w:tc>
          <w:tcPr>
            <w:tcW w:w="2740" w:type="dxa"/>
            <w:vAlign w:val="bottom"/>
            <w:tcBorders>
              <w:bottom w:val="single" w:sz="8" w:color="CFCFD2"/>
            </w:tcBorders>
            <w:shd w:val="clear" w:color="auto" w:fill="F6F3F0"/>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440" w:type="dxa"/>
            <w:vAlign w:val="bottom"/>
          </w:tcPr>
          <w:p>
            <w:pPr>
              <w:ind w:left="100"/>
              <w:spacing w:after="0"/>
              <w:rPr>
                <w:sz w:val="20"/>
                <w:szCs w:val="20"/>
                <w:color w:val="auto"/>
              </w:rPr>
            </w:pPr>
            <w:r>
              <w:rPr>
                <w:rFonts w:ascii="Arial" w:cs="Arial" w:eastAsia="Arial" w:hAnsi="Arial"/>
                <w:sz w:val="14"/>
                <w:szCs w:val="14"/>
                <w:b w:val="1"/>
                <w:bCs w:val="1"/>
                <w:color w:val="004AAC"/>
              </w:rPr>
              <w:t>David A. Barnes</w:t>
            </w:r>
          </w:p>
        </w:tc>
        <w:tc>
          <w:tcPr>
            <w:tcW w:w="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740" w:type="dxa"/>
            <w:vAlign w:val="bottom"/>
          </w:tcPr>
          <w:p>
            <w:pPr>
              <w:jc w:val="center"/>
              <w:ind w:right="9"/>
              <w:spacing w:after="0"/>
              <w:rPr>
                <w:sz w:val="20"/>
                <w:szCs w:val="20"/>
                <w:color w:val="auto"/>
              </w:rPr>
            </w:pPr>
            <w:r>
              <w:rPr>
                <w:rFonts w:ascii="Arial" w:cs="Arial" w:eastAsia="Arial" w:hAnsi="Arial"/>
                <w:sz w:val="14"/>
                <w:szCs w:val="14"/>
                <w:b w:val="1"/>
                <w:bCs w:val="1"/>
                <w:color w:val="0E1020"/>
              </w:rPr>
              <w:t>CHAIR</w:t>
            </w:r>
          </w:p>
        </w:tc>
        <w:tc>
          <w:tcPr>
            <w:tcW w:w="0" w:type="dxa"/>
            <w:vAlign w:val="bottom"/>
          </w:tcPr>
          <w:p>
            <w:pPr>
              <w:spacing w:after="0"/>
              <w:rPr>
                <w:sz w:val="1"/>
                <w:szCs w:val="1"/>
                <w:color w:val="auto"/>
              </w:rPr>
            </w:pPr>
          </w:p>
        </w:tc>
      </w:tr>
      <w:tr>
        <w:trPr>
          <w:trHeight w:val="69"/>
        </w:trPr>
        <w:tc>
          <w:tcPr>
            <w:tcW w:w="2440" w:type="dxa"/>
            <w:vAlign w:val="bottom"/>
            <w:tcBorders>
              <w:bottom w:val="single" w:sz="8" w:color="CFCFD2"/>
            </w:tcBorders>
          </w:tcPr>
          <w:p>
            <w:pPr>
              <w:spacing w:after="0"/>
              <w:rPr>
                <w:sz w:val="5"/>
                <w:szCs w:val="5"/>
                <w:color w:val="auto"/>
              </w:rPr>
            </w:pPr>
          </w:p>
        </w:tc>
        <w:tc>
          <w:tcPr>
            <w:tcW w:w="20" w:type="dxa"/>
            <w:vAlign w:val="bottom"/>
            <w:tcBorders>
              <w:bottom w:val="single" w:sz="8" w:color="CFCFD2"/>
            </w:tcBorders>
          </w:tcPr>
          <w:p>
            <w:pPr>
              <w:spacing w:after="0"/>
              <w:rPr>
                <w:sz w:val="5"/>
                <w:szCs w:val="5"/>
                <w:color w:val="auto"/>
              </w:rPr>
            </w:pPr>
          </w:p>
        </w:tc>
        <w:tc>
          <w:tcPr>
            <w:tcW w:w="3960" w:type="dxa"/>
            <w:vAlign w:val="bottom"/>
            <w:tcBorders>
              <w:bottom w:val="single" w:sz="8" w:color="CFCFD2"/>
            </w:tcBorders>
          </w:tcPr>
          <w:p>
            <w:pPr>
              <w:spacing w:after="0"/>
              <w:rPr>
                <w:sz w:val="5"/>
                <w:szCs w:val="5"/>
                <w:color w:val="auto"/>
              </w:rPr>
            </w:pPr>
          </w:p>
        </w:tc>
        <w:tc>
          <w:tcPr>
            <w:tcW w:w="2080" w:type="dxa"/>
            <w:vAlign w:val="bottom"/>
            <w:tcBorders>
              <w:bottom w:val="single" w:sz="8" w:color="CFCFD2"/>
            </w:tcBorders>
          </w:tcPr>
          <w:p>
            <w:pPr>
              <w:spacing w:after="0"/>
              <w:rPr>
                <w:sz w:val="5"/>
                <w:szCs w:val="5"/>
                <w:color w:val="auto"/>
              </w:rPr>
            </w:pPr>
          </w:p>
        </w:tc>
        <w:tc>
          <w:tcPr>
            <w:tcW w:w="2740" w:type="dxa"/>
            <w:vAlign w:val="bottom"/>
            <w:tcBorders>
              <w:bottom w:val="single" w:sz="8" w:color="CFCFD2"/>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440" w:type="dxa"/>
            <w:vAlign w:val="bottom"/>
          </w:tcPr>
          <w:p>
            <w:pPr>
              <w:ind w:left="100"/>
              <w:spacing w:after="0"/>
              <w:rPr>
                <w:sz w:val="20"/>
                <w:szCs w:val="20"/>
                <w:color w:val="auto"/>
              </w:rPr>
            </w:pPr>
            <w:r>
              <w:rPr>
                <w:rFonts w:ascii="Arial" w:cs="Arial" w:eastAsia="Arial" w:hAnsi="Arial"/>
                <w:sz w:val="14"/>
                <w:szCs w:val="14"/>
                <w:b w:val="1"/>
                <w:bCs w:val="1"/>
                <w:color w:val="004AAC"/>
              </w:rPr>
              <w:t>Raul J. Fernandez</w:t>
            </w:r>
          </w:p>
        </w:tc>
        <w:tc>
          <w:tcPr>
            <w:tcW w:w="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9"/>
        </w:trPr>
        <w:tc>
          <w:tcPr>
            <w:tcW w:w="2440" w:type="dxa"/>
            <w:vAlign w:val="bottom"/>
            <w:tcBorders>
              <w:bottom w:val="single" w:sz="8" w:color="CFCFD2"/>
            </w:tcBorders>
          </w:tcPr>
          <w:p>
            <w:pPr>
              <w:spacing w:after="0"/>
              <w:rPr>
                <w:sz w:val="5"/>
                <w:szCs w:val="5"/>
                <w:color w:val="auto"/>
              </w:rPr>
            </w:pPr>
          </w:p>
        </w:tc>
        <w:tc>
          <w:tcPr>
            <w:tcW w:w="20" w:type="dxa"/>
            <w:vAlign w:val="bottom"/>
            <w:tcBorders>
              <w:bottom w:val="single" w:sz="8" w:color="CFCFD2"/>
            </w:tcBorders>
          </w:tcPr>
          <w:p>
            <w:pPr>
              <w:spacing w:after="0"/>
              <w:rPr>
                <w:sz w:val="5"/>
                <w:szCs w:val="5"/>
                <w:color w:val="auto"/>
              </w:rPr>
            </w:pPr>
          </w:p>
        </w:tc>
        <w:tc>
          <w:tcPr>
            <w:tcW w:w="3960" w:type="dxa"/>
            <w:vAlign w:val="bottom"/>
            <w:tcBorders>
              <w:bottom w:val="single" w:sz="8" w:color="CFCFD2"/>
            </w:tcBorders>
          </w:tcPr>
          <w:p>
            <w:pPr>
              <w:spacing w:after="0"/>
              <w:rPr>
                <w:sz w:val="5"/>
                <w:szCs w:val="5"/>
                <w:color w:val="auto"/>
              </w:rPr>
            </w:pPr>
          </w:p>
        </w:tc>
        <w:tc>
          <w:tcPr>
            <w:tcW w:w="2080" w:type="dxa"/>
            <w:vAlign w:val="bottom"/>
            <w:tcBorders>
              <w:bottom w:val="single" w:sz="8" w:color="CFCFD2"/>
            </w:tcBorders>
          </w:tcPr>
          <w:p>
            <w:pPr>
              <w:spacing w:after="0"/>
              <w:rPr>
                <w:sz w:val="5"/>
                <w:szCs w:val="5"/>
                <w:color w:val="auto"/>
              </w:rPr>
            </w:pPr>
          </w:p>
        </w:tc>
        <w:tc>
          <w:tcPr>
            <w:tcW w:w="2740" w:type="dxa"/>
            <w:vAlign w:val="bottom"/>
            <w:tcBorders>
              <w:bottom w:val="single" w:sz="8" w:color="CFCFD2"/>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440" w:type="dxa"/>
            <w:vAlign w:val="bottom"/>
          </w:tcPr>
          <w:p>
            <w:pPr>
              <w:ind w:left="100"/>
              <w:spacing w:after="0"/>
              <w:rPr>
                <w:sz w:val="20"/>
                <w:szCs w:val="20"/>
                <w:color w:val="auto"/>
              </w:rPr>
            </w:pPr>
            <w:r>
              <w:rPr>
                <w:rFonts w:ascii="Arial" w:cs="Arial" w:eastAsia="Arial" w:hAnsi="Arial"/>
                <w:sz w:val="14"/>
                <w:szCs w:val="14"/>
                <w:b w:val="1"/>
                <w:bCs w:val="1"/>
                <w:color w:val="004AAC"/>
              </w:rPr>
              <w:t>Anthony Gonzalez</w:t>
            </w:r>
          </w:p>
        </w:tc>
        <w:tc>
          <w:tcPr>
            <w:tcW w:w="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9"/>
        </w:trPr>
        <w:tc>
          <w:tcPr>
            <w:tcW w:w="2440" w:type="dxa"/>
            <w:vAlign w:val="bottom"/>
            <w:tcBorders>
              <w:bottom w:val="single" w:sz="8" w:color="CFCFD2"/>
            </w:tcBorders>
          </w:tcPr>
          <w:p>
            <w:pPr>
              <w:spacing w:after="0"/>
              <w:rPr>
                <w:sz w:val="5"/>
                <w:szCs w:val="5"/>
                <w:color w:val="auto"/>
              </w:rPr>
            </w:pPr>
          </w:p>
        </w:tc>
        <w:tc>
          <w:tcPr>
            <w:tcW w:w="20" w:type="dxa"/>
            <w:vAlign w:val="bottom"/>
            <w:tcBorders>
              <w:bottom w:val="single" w:sz="8" w:color="CFCFD2"/>
            </w:tcBorders>
          </w:tcPr>
          <w:p>
            <w:pPr>
              <w:spacing w:after="0"/>
              <w:rPr>
                <w:sz w:val="5"/>
                <w:szCs w:val="5"/>
                <w:color w:val="auto"/>
              </w:rPr>
            </w:pPr>
          </w:p>
        </w:tc>
        <w:tc>
          <w:tcPr>
            <w:tcW w:w="3960" w:type="dxa"/>
            <w:vAlign w:val="bottom"/>
            <w:tcBorders>
              <w:bottom w:val="single" w:sz="8" w:color="CFCFD2"/>
            </w:tcBorders>
          </w:tcPr>
          <w:p>
            <w:pPr>
              <w:spacing w:after="0"/>
              <w:rPr>
                <w:sz w:val="5"/>
                <w:szCs w:val="5"/>
                <w:color w:val="auto"/>
              </w:rPr>
            </w:pPr>
          </w:p>
        </w:tc>
        <w:tc>
          <w:tcPr>
            <w:tcW w:w="2080" w:type="dxa"/>
            <w:vAlign w:val="bottom"/>
            <w:tcBorders>
              <w:bottom w:val="single" w:sz="8" w:color="CFCFD2"/>
            </w:tcBorders>
          </w:tcPr>
          <w:p>
            <w:pPr>
              <w:spacing w:after="0"/>
              <w:rPr>
                <w:sz w:val="5"/>
                <w:szCs w:val="5"/>
                <w:color w:val="auto"/>
              </w:rPr>
            </w:pPr>
          </w:p>
        </w:tc>
        <w:tc>
          <w:tcPr>
            <w:tcW w:w="2740" w:type="dxa"/>
            <w:vAlign w:val="bottom"/>
            <w:tcBorders>
              <w:bottom w:val="single" w:sz="8" w:color="CFCFD2"/>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440" w:type="dxa"/>
            <w:vAlign w:val="bottom"/>
          </w:tcPr>
          <w:p>
            <w:pPr>
              <w:ind w:left="100"/>
              <w:spacing w:after="0"/>
              <w:rPr>
                <w:sz w:val="20"/>
                <w:szCs w:val="20"/>
                <w:color w:val="auto"/>
              </w:rPr>
            </w:pPr>
            <w:r>
              <w:rPr>
                <w:rFonts w:ascii="Arial" w:cs="Arial" w:eastAsia="Arial" w:hAnsi="Arial"/>
                <w:sz w:val="14"/>
                <w:szCs w:val="14"/>
                <w:b w:val="1"/>
                <w:bCs w:val="1"/>
                <w:color w:val="004AAC"/>
              </w:rPr>
              <w:t>David L. Herzog</w:t>
            </w:r>
          </w:p>
        </w:tc>
        <w:tc>
          <w:tcPr>
            <w:tcW w:w="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9"/>
        </w:trPr>
        <w:tc>
          <w:tcPr>
            <w:tcW w:w="2440" w:type="dxa"/>
            <w:vAlign w:val="bottom"/>
            <w:tcBorders>
              <w:bottom w:val="single" w:sz="8" w:color="CFCFD2"/>
            </w:tcBorders>
          </w:tcPr>
          <w:p>
            <w:pPr>
              <w:spacing w:after="0"/>
              <w:rPr>
                <w:sz w:val="5"/>
                <w:szCs w:val="5"/>
                <w:color w:val="auto"/>
              </w:rPr>
            </w:pPr>
          </w:p>
        </w:tc>
        <w:tc>
          <w:tcPr>
            <w:tcW w:w="20" w:type="dxa"/>
            <w:vAlign w:val="bottom"/>
            <w:tcBorders>
              <w:bottom w:val="single" w:sz="8" w:color="CFCFD2"/>
            </w:tcBorders>
          </w:tcPr>
          <w:p>
            <w:pPr>
              <w:spacing w:after="0"/>
              <w:rPr>
                <w:sz w:val="5"/>
                <w:szCs w:val="5"/>
                <w:color w:val="auto"/>
              </w:rPr>
            </w:pPr>
          </w:p>
        </w:tc>
        <w:tc>
          <w:tcPr>
            <w:tcW w:w="3960" w:type="dxa"/>
            <w:vAlign w:val="bottom"/>
            <w:tcBorders>
              <w:bottom w:val="single" w:sz="8" w:color="CFCFD2"/>
            </w:tcBorders>
          </w:tcPr>
          <w:p>
            <w:pPr>
              <w:spacing w:after="0"/>
              <w:rPr>
                <w:sz w:val="5"/>
                <w:szCs w:val="5"/>
                <w:color w:val="auto"/>
              </w:rPr>
            </w:pPr>
          </w:p>
        </w:tc>
        <w:tc>
          <w:tcPr>
            <w:tcW w:w="2080" w:type="dxa"/>
            <w:vAlign w:val="bottom"/>
            <w:tcBorders>
              <w:bottom w:val="single" w:sz="8" w:color="CFCFD2"/>
            </w:tcBorders>
          </w:tcPr>
          <w:p>
            <w:pPr>
              <w:spacing w:after="0"/>
              <w:rPr>
                <w:sz w:val="5"/>
                <w:szCs w:val="5"/>
                <w:color w:val="auto"/>
              </w:rPr>
            </w:pPr>
          </w:p>
        </w:tc>
        <w:tc>
          <w:tcPr>
            <w:tcW w:w="2740" w:type="dxa"/>
            <w:vAlign w:val="bottom"/>
            <w:tcBorders>
              <w:bottom w:val="single" w:sz="8" w:color="CFCFD2"/>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440" w:type="dxa"/>
            <w:vAlign w:val="bottom"/>
          </w:tcPr>
          <w:p>
            <w:pPr>
              <w:ind w:left="100"/>
              <w:spacing w:after="0"/>
              <w:rPr>
                <w:sz w:val="20"/>
                <w:szCs w:val="20"/>
                <w:color w:val="auto"/>
              </w:rPr>
            </w:pPr>
            <w:r>
              <w:rPr>
                <w:rFonts w:ascii="Arial" w:cs="Arial" w:eastAsia="Arial" w:hAnsi="Arial"/>
                <w:sz w:val="14"/>
                <w:szCs w:val="14"/>
                <w:b w:val="1"/>
                <w:bCs w:val="1"/>
                <w:color w:val="004AAC"/>
              </w:rPr>
              <w:t>Pinkie D. Mayfield</w:t>
            </w:r>
          </w:p>
        </w:tc>
        <w:tc>
          <w:tcPr>
            <w:tcW w:w="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9"/>
        </w:trPr>
        <w:tc>
          <w:tcPr>
            <w:tcW w:w="2440" w:type="dxa"/>
            <w:vAlign w:val="bottom"/>
            <w:tcBorders>
              <w:bottom w:val="single" w:sz="8" w:color="CFCFD2"/>
            </w:tcBorders>
          </w:tcPr>
          <w:p>
            <w:pPr>
              <w:spacing w:after="0"/>
              <w:rPr>
                <w:sz w:val="5"/>
                <w:szCs w:val="5"/>
                <w:color w:val="auto"/>
              </w:rPr>
            </w:pPr>
          </w:p>
        </w:tc>
        <w:tc>
          <w:tcPr>
            <w:tcW w:w="20" w:type="dxa"/>
            <w:vAlign w:val="bottom"/>
            <w:tcBorders>
              <w:bottom w:val="single" w:sz="8" w:color="CFCFD2"/>
            </w:tcBorders>
          </w:tcPr>
          <w:p>
            <w:pPr>
              <w:spacing w:after="0"/>
              <w:rPr>
                <w:sz w:val="5"/>
                <w:szCs w:val="5"/>
                <w:color w:val="auto"/>
              </w:rPr>
            </w:pPr>
          </w:p>
        </w:tc>
        <w:tc>
          <w:tcPr>
            <w:tcW w:w="3960" w:type="dxa"/>
            <w:vAlign w:val="bottom"/>
            <w:tcBorders>
              <w:bottom w:val="single" w:sz="8" w:color="CFCFD2"/>
            </w:tcBorders>
          </w:tcPr>
          <w:p>
            <w:pPr>
              <w:spacing w:after="0"/>
              <w:rPr>
                <w:sz w:val="5"/>
                <w:szCs w:val="5"/>
                <w:color w:val="auto"/>
              </w:rPr>
            </w:pPr>
          </w:p>
        </w:tc>
        <w:tc>
          <w:tcPr>
            <w:tcW w:w="2080" w:type="dxa"/>
            <w:vAlign w:val="bottom"/>
            <w:tcBorders>
              <w:bottom w:val="single" w:sz="8" w:color="CFCFD2"/>
            </w:tcBorders>
          </w:tcPr>
          <w:p>
            <w:pPr>
              <w:spacing w:after="0"/>
              <w:rPr>
                <w:sz w:val="5"/>
                <w:szCs w:val="5"/>
                <w:color w:val="auto"/>
              </w:rPr>
            </w:pPr>
          </w:p>
        </w:tc>
        <w:tc>
          <w:tcPr>
            <w:tcW w:w="2740" w:type="dxa"/>
            <w:vAlign w:val="bottom"/>
            <w:tcBorders>
              <w:bottom w:val="single" w:sz="8" w:color="CFCFD2"/>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440" w:type="dxa"/>
            <w:vAlign w:val="bottom"/>
          </w:tcPr>
          <w:p>
            <w:pPr>
              <w:ind w:left="100"/>
              <w:spacing w:after="0"/>
              <w:rPr>
                <w:sz w:val="20"/>
                <w:szCs w:val="20"/>
                <w:color w:val="auto"/>
              </w:rPr>
            </w:pPr>
            <w:r>
              <w:rPr>
                <w:rFonts w:ascii="Arial" w:cs="Arial" w:eastAsia="Arial" w:hAnsi="Arial"/>
                <w:sz w:val="14"/>
                <w:szCs w:val="14"/>
                <w:b w:val="1"/>
                <w:bCs w:val="1"/>
                <w:color w:val="004AAC"/>
              </w:rPr>
              <w:t>Karl Racine**</w:t>
            </w:r>
          </w:p>
        </w:tc>
        <w:tc>
          <w:tcPr>
            <w:tcW w:w="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9"/>
        </w:trPr>
        <w:tc>
          <w:tcPr>
            <w:tcW w:w="2440" w:type="dxa"/>
            <w:vAlign w:val="bottom"/>
            <w:tcBorders>
              <w:bottom w:val="single" w:sz="8" w:color="CFCFD2"/>
            </w:tcBorders>
          </w:tcPr>
          <w:p>
            <w:pPr>
              <w:spacing w:after="0"/>
              <w:rPr>
                <w:sz w:val="5"/>
                <w:szCs w:val="5"/>
                <w:color w:val="auto"/>
              </w:rPr>
            </w:pPr>
          </w:p>
        </w:tc>
        <w:tc>
          <w:tcPr>
            <w:tcW w:w="20" w:type="dxa"/>
            <w:vAlign w:val="bottom"/>
            <w:tcBorders>
              <w:bottom w:val="single" w:sz="8" w:color="CFCFD2"/>
            </w:tcBorders>
          </w:tcPr>
          <w:p>
            <w:pPr>
              <w:spacing w:after="0"/>
              <w:rPr>
                <w:sz w:val="5"/>
                <w:szCs w:val="5"/>
                <w:color w:val="auto"/>
              </w:rPr>
            </w:pPr>
          </w:p>
        </w:tc>
        <w:tc>
          <w:tcPr>
            <w:tcW w:w="3960" w:type="dxa"/>
            <w:vAlign w:val="bottom"/>
            <w:tcBorders>
              <w:bottom w:val="single" w:sz="8" w:color="CFCFD2"/>
            </w:tcBorders>
          </w:tcPr>
          <w:p>
            <w:pPr>
              <w:spacing w:after="0"/>
              <w:rPr>
                <w:sz w:val="5"/>
                <w:szCs w:val="5"/>
                <w:color w:val="auto"/>
              </w:rPr>
            </w:pPr>
          </w:p>
        </w:tc>
        <w:tc>
          <w:tcPr>
            <w:tcW w:w="2080" w:type="dxa"/>
            <w:vAlign w:val="bottom"/>
            <w:tcBorders>
              <w:bottom w:val="single" w:sz="8" w:color="CFCFD2"/>
            </w:tcBorders>
          </w:tcPr>
          <w:p>
            <w:pPr>
              <w:spacing w:after="0"/>
              <w:rPr>
                <w:sz w:val="5"/>
                <w:szCs w:val="5"/>
                <w:color w:val="auto"/>
              </w:rPr>
            </w:pPr>
          </w:p>
        </w:tc>
        <w:tc>
          <w:tcPr>
            <w:tcW w:w="2740" w:type="dxa"/>
            <w:vAlign w:val="bottom"/>
            <w:tcBorders>
              <w:bottom w:val="single" w:sz="8" w:color="CFCFD2"/>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440" w:type="dxa"/>
            <w:vAlign w:val="bottom"/>
          </w:tcPr>
          <w:p>
            <w:pPr>
              <w:ind w:left="100"/>
              <w:spacing w:after="0"/>
              <w:rPr>
                <w:sz w:val="20"/>
                <w:szCs w:val="20"/>
                <w:color w:val="auto"/>
              </w:rPr>
            </w:pPr>
            <w:r>
              <w:rPr>
                <w:rFonts w:ascii="Arial" w:cs="Arial" w:eastAsia="Arial" w:hAnsi="Arial"/>
                <w:sz w:val="14"/>
                <w:szCs w:val="14"/>
                <w:b w:val="1"/>
                <w:bCs w:val="1"/>
                <w:color w:val="004AAC"/>
              </w:rPr>
              <w:t>Dawn Rogers</w:t>
            </w:r>
          </w:p>
        </w:tc>
        <w:tc>
          <w:tcPr>
            <w:tcW w:w="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9"/>
        </w:trPr>
        <w:tc>
          <w:tcPr>
            <w:tcW w:w="2440" w:type="dxa"/>
            <w:vAlign w:val="bottom"/>
            <w:tcBorders>
              <w:bottom w:val="single" w:sz="8" w:color="CFCFD2"/>
            </w:tcBorders>
          </w:tcPr>
          <w:p>
            <w:pPr>
              <w:spacing w:after="0"/>
              <w:rPr>
                <w:sz w:val="5"/>
                <w:szCs w:val="5"/>
                <w:color w:val="auto"/>
              </w:rPr>
            </w:pPr>
          </w:p>
        </w:tc>
        <w:tc>
          <w:tcPr>
            <w:tcW w:w="20" w:type="dxa"/>
            <w:vAlign w:val="bottom"/>
            <w:tcBorders>
              <w:bottom w:val="single" w:sz="8" w:color="CFCFD2"/>
            </w:tcBorders>
          </w:tcPr>
          <w:p>
            <w:pPr>
              <w:spacing w:after="0"/>
              <w:rPr>
                <w:sz w:val="5"/>
                <w:szCs w:val="5"/>
                <w:color w:val="auto"/>
              </w:rPr>
            </w:pPr>
          </w:p>
        </w:tc>
        <w:tc>
          <w:tcPr>
            <w:tcW w:w="3960" w:type="dxa"/>
            <w:vAlign w:val="bottom"/>
            <w:tcBorders>
              <w:bottom w:val="single" w:sz="8" w:color="CFCFD2"/>
            </w:tcBorders>
          </w:tcPr>
          <w:p>
            <w:pPr>
              <w:spacing w:after="0"/>
              <w:rPr>
                <w:sz w:val="5"/>
                <w:szCs w:val="5"/>
                <w:color w:val="auto"/>
              </w:rPr>
            </w:pPr>
          </w:p>
        </w:tc>
        <w:tc>
          <w:tcPr>
            <w:tcW w:w="2080" w:type="dxa"/>
            <w:vAlign w:val="bottom"/>
            <w:tcBorders>
              <w:bottom w:val="single" w:sz="8" w:color="CFCFD2"/>
            </w:tcBorders>
          </w:tcPr>
          <w:p>
            <w:pPr>
              <w:spacing w:after="0"/>
              <w:rPr>
                <w:sz w:val="5"/>
                <w:szCs w:val="5"/>
                <w:color w:val="auto"/>
              </w:rPr>
            </w:pPr>
          </w:p>
        </w:tc>
        <w:tc>
          <w:tcPr>
            <w:tcW w:w="2740" w:type="dxa"/>
            <w:vAlign w:val="bottom"/>
            <w:tcBorders>
              <w:bottom w:val="single" w:sz="8" w:color="CFCFD2"/>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440" w:type="dxa"/>
            <w:vAlign w:val="bottom"/>
          </w:tcPr>
          <w:p>
            <w:pPr>
              <w:ind w:left="100"/>
              <w:spacing w:after="0"/>
              <w:rPr>
                <w:sz w:val="20"/>
                <w:szCs w:val="20"/>
                <w:color w:val="auto"/>
              </w:rPr>
            </w:pPr>
            <w:r>
              <w:rPr>
                <w:rFonts w:ascii="Arial" w:cs="Arial" w:eastAsia="Arial" w:hAnsi="Arial"/>
                <w:sz w:val="14"/>
                <w:szCs w:val="14"/>
                <w:b w:val="1"/>
                <w:bCs w:val="1"/>
                <w:color w:val="004AAC"/>
              </w:rPr>
              <w:t>Carrie W. Teffner</w:t>
            </w:r>
          </w:p>
        </w:tc>
        <w:tc>
          <w:tcPr>
            <w:tcW w:w="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9"/>
        </w:trPr>
        <w:tc>
          <w:tcPr>
            <w:tcW w:w="2440" w:type="dxa"/>
            <w:vAlign w:val="bottom"/>
            <w:tcBorders>
              <w:bottom w:val="single" w:sz="8" w:color="CFCFD2"/>
            </w:tcBorders>
          </w:tcPr>
          <w:p>
            <w:pPr>
              <w:spacing w:after="0"/>
              <w:rPr>
                <w:sz w:val="5"/>
                <w:szCs w:val="5"/>
                <w:color w:val="auto"/>
              </w:rPr>
            </w:pPr>
          </w:p>
        </w:tc>
        <w:tc>
          <w:tcPr>
            <w:tcW w:w="20" w:type="dxa"/>
            <w:vAlign w:val="bottom"/>
            <w:tcBorders>
              <w:bottom w:val="single" w:sz="8" w:color="CFCFD2"/>
            </w:tcBorders>
          </w:tcPr>
          <w:p>
            <w:pPr>
              <w:spacing w:after="0"/>
              <w:rPr>
                <w:sz w:val="5"/>
                <w:szCs w:val="5"/>
                <w:color w:val="auto"/>
              </w:rPr>
            </w:pPr>
          </w:p>
        </w:tc>
        <w:tc>
          <w:tcPr>
            <w:tcW w:w="3960" w:type="dxa"/>
            <w:vAlign w:val="bottom"/>
            <w:tcBorders>
              <w:bottom w:val="single" w:sz="8" w:color="CFCFD2"/>
            </w:tcBorders>
          </w:tcPr>
          <w:p>
            <w:pPr>
              <w:spacing w:after="0"/>
              <w:rPr>
                <w:sz w:val="5"/>
                <w:szCs w:val="5"/>
                <w:color w:val="auto"/>
              </w:rPr>
            </w:pPr>
          </w:p>
        </w:tc>
        <w:tc>
          <w:tcPr>
            <w:tcW w:w="2080" w:type="dxa"/>
            <w:vAlign w:val="bottom"/>
            <w:tcBorders>
              <w:bottom w:val="single" w:sz="8" w:color="CFCFD2"/>
            </w:tcBorders>
          </w:tcPr>
          <w:p>
            <w:pPr>
              <w:spacing w:after="0"/>
              <w:rPr>
                <w:sz w:val="5"/>
                <w:szCs w:val="5"/>
                <w:color w:val="auto"/>
              </w:rPr>
            </w:pPr>
          </w:p>
        </w:tc>
        <w:tc>
          <w:tcPr>
            <w:tcW w:w="2740" w:type="dxa"/>
            <w:vAlign w:val="bottom"/>
            <w:tcBorders>
              <w:bottom w:val="single" w:sz="8" w:color="CFCFD2"/>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440" w:type="dxa"/>
            <w:vAlign w:val="bottom"/>
          </w:tcPr>
          <w:p>
            <w:pPr>
              <w:ind w:left="100"/>
              <w:spacing w:after="0"/>
              <w:rPr>
                <w:sz w:val="20"/>
                <w:szCs w:val="20"/>
                <w:color w:val="auto"/>
              </w:rPr>
            </w:pPr>
            <w:r>
              <w:rPr>
                <w:rFonts w:ascii="Arial" w:cs="Arial" w:eastAsia="Arial" w:hAnsi="Arial"/>
                <w:sz w:val="14"/>
                <w:szCs w:val="14"/>
                <w:b w:val="1"/>
                <w:bCs w:val="1"/>
                <w:color w:val="004AAC"/>
              </w:rPr>
              <w:t>Akihiko Washington</w:t>
            </w:r>
          </w:p>
        </w:tc>
        <w:tc>
          <w:tcPr>
            <w:tcW w:w="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0E1020"/>
              </w:rPr>
              <w:t>CHAIR</w:t>
            </w: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9"/>
        </w:trPr>
        <w:tc>
          <w:tcPr>
            <w:tcW w:w="2440" w:type="dxa"/>
            <w:vAlign w:val="bottom"/>
            <w:tcBorders>
              <w:bottom w:val="single" w:sz="8" w:color="CFCFD2"/>
            </w:tcBorders>
          </w:tcPr>
          <w:p>
            <w:pPr>
              <w:spacing w:after="0"/>
              <w:rPr>
                <w:sz w:val="5"/>
                <w:szCs w:val="5"/>
                <w:color w:val="auto"/>
              </w:rPr>
            </w:pPr>
          </w:p>
        </w:tc>
        <w:tc>
          <w:tcPr>
            <w:tcW w:w="20" w:type="dxa"/>
            <w:vAlign w:val="bottom"/>
            <w:tcBorders>
              <w:bottom w:val="single" w:sz="8" w:color="CFCFD2"/>
            </w:tcBorders>
          </w:tcPr>
          <w:p>
            <w:pPr>
              <w:spacing w:after="0"/>
              <w:rPr>
                <w:sz w:val="5"/>
                <w:szCs w:val="5"/>
                <w:color w:val="auto"/>
              </w:rPr>
            </w:pPr>
          </w:p>
        </w:tc>
        <w:tc>
          <w:tcPr>
            <w:tcW w:w="3960" w:type="dxa"/>
            <w:vAlign w:val="bottom"/>
            <w:tcBorders>
              <w:bottom w:val="single" w:sz="8" w:color="CFCFD2"/>
            </w:tcBorders>
          </w:tcPr>
          <w:p>
            <w:pPr>
              <w:spacing w:after="0"/>
              <w:rPr>
                <w:sz w:val="5"/>
                <w:szCs w:val="5"/>
                <w:color w:val="auto"/>
              </w:rPr>
            </w:pPr>
          </w:p>
        </w:tc>
        <w:tc>
          <w:tcPr>
            <w:tcW w:w="2080" w:type="dxa"/>
            <w:vAlign w:val="bottom"/>
            <w:tcBorders>
              <w:bottom w:val="single" w:sz="8" w:color="CFCFD2"/>
            </w:tcBorders>
          </w:tcPr>
          <w:p>
            <w:pPr>
              <w:spacing w:after="0"/>
              <w:rPr>
                <w:sz w:val="5"/>
                <w:szCs w:val="5"/>
                <w:color w:val="auto"/>
              </w:rPr>
            </w:pPr>
          </w:p>
        </w:tc>
        <w:tc>
          <w:tcPr>
            <w:tcW w:w="2740" w:type="dxa"/>
            <w:vAlign w:val="bottom"/>
            <w:tcBorders>
              <w:bottom w:val="single" w:sz="8" w:color="CFCFD2"/>
            </w:tcBorders>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440" w:type="dxa"/>
            <w:vAlign w:val="bottom"/>
          </w:tcPr>
          <w:p>
            <w:pPr>
              <w:ind w:left="100"/>
              <w:spacing w:after="0"/>
              <w:rPr>
                <w:sz w:val="20"/>
                <w:szCs w:val="20"/>
                <w:color w:val="auto"/>
              </w:rPr>
            </w:pPr>
            <w:r>
              <w:rPr>
                <w:rFonts w:ascii="Arial" w:cs="Arial" w:eastAsia="Arial" w:hAnsi="Arial"/>
                <w:sz w:val="14"/>
                <w:szCs w:val="14"/>
                <w:b w:val="1"/>
                <w:bCs w:val="1"/>
                <w:color w:val="004AAC"/>
              </w:rPr>
              <w:t>Robert F. Woods</w:t>
            </w:r>
          </w:p>
        </w:tc>
        <w:tc>
          <w:tcPr>
            <w:tcW w:w="20" w:type="dxa"/>
            <w:vAlign w:val="bottom"/>
          </w:tcPr>
          <w:p>
            <w:pPr>
              <w:spacing w:after="0"/>
              <w:rPr>
                <w:sz w:val="21"/>
                <w:szCs w:val="21"/>
                <w:color w:val="auto"/>
              </w:rPr>
            </w:pPr>
          </w:p>
        </w:tc>
        <w:tc>
          <w:tcPr>
            <w:tcW w:w="3960" w:type="dxa"/>
            <w:vAlign w:val="bottom"/>
          </w:tcPr>
          <w:p>
            <w:pPr>
              <w:jc w:val="center"/>
              <w:ind w:left="2369"/>
              <w:spacing w:after="0"/>
              <w:rPr>
                <w:sz w:val="20"/>
                <w:szCs w:val="20"/>
                <w:color w:val="auto"/>
              </w:rPr>
            </w:pPr>
            <w:r>
              <w:rPr>
                <w:rFonts w:ascii="Arial" w:cs="Arial" w:eastAsia="Arial" w:hAnsi="Arial"/>
                <w:sz w:val="14"/>
                <w:szCs w:val="14"/>
                <w:b w:val="1"/>
                <w:bCs w:val="1"/>
                <w:color w:val="0E1020"/>
                <w:w w:val="99"/>
              </w:rPr>
              <w:t>CHAIR</w:t>
            </w:r>
          </w:p>
        </w:tc>
        <w:tc>
          <w:tcPr>
            <w:tcW w:w="20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9"/>
        </w:trPr>
        <w:tc>
          <w:tcPr>
            <w:tcW w:w="2440" w:type="dxa"/>
            <w:vAlign w:val="bottom"/>
            <w:tcBorders>
              <w:bottom w:val="single" w:sz="8" w:color="CFCFD2"/>
            </w:tcBorders>
          </w:tcPr>
          <w:p>
            <w:pPr>
              <w:spacing w:after="0"/>
              <w:rPr>
                <w:sz w:val="5"/>
                <w:szCs w:val="5"/>
                <w:color w:val="auto"/>
              </w:rPr>
            </w:pPr>
          </w:p>
        </w:tc>
        <w:tc>
          <w:tcPr>
            <w:tcW w:w="20" w:type="dxa"/>
            <w:vAlign w:val="bottom"/>
            <w:tcBorders>
              <w:bottom w:val="single" w:sz="8" w:color="CFCFD2"/>
            </w:tcBorders>
          </w:tcPr>
          <w:p>
            <w:pPr>
              <w:spacing w:after="0"/>
              <w:rPr>
                <w:sz w:val="5"/>
                <w:szCs w:val="5"/>
                <w:color w:val="auto"/>
              </w:rPr>
            </w:pPr>
          </w:p>
        </w:tc>
        <w:tc>
          <w:tcPr>
            <w:tcW w:w="3960" w:type="dxa"/>
            <w:vAlign w:val="bottom"/>
            <w:tcBorders>
              <w:bottom w:val="single" w:sz="8" w:color="CFCFD2"/>
            </w:tcBorders>
          </w:tcPr>
          <w:p>
            <w:pPr>
              <w:spacing w:after="0"/>
              <w:rPr>
                <w:sz w:val="5"/>
                <w:szCs w:val="5"/>
                <w:color w:val="auto"/>
              </w:rPr>
            </w:pPr>
          </w:p>
        </w:tc>
        <w:tc>
          <w:tcPr>
            <w:tcW w:w="2080" w:type="dxa"/>
            <w:vAlign w:val="bottom"/>
            <w:tcBorders>
              <w:bottom w:val="single" w:sz="8" w:color="CFCFD2"/>
            </w:tcBorders>
          </w:tcPr>
          <w:p>
            <w:pPr>
              <w:spacing w:after="0"/>
              <w:rPr>
                <w:sz w:val="5"/>
                <w:szCs w:val="5"/>
                <w:color w:val="auto"/>
              </w:rPr>
            </w:pPr>
          </w:p>
        </w:tc>
        <w:tc>
          <w:tcPr>
            <w:tcW w:w="2740" w:type="dxa"/>
            <w:vAlign w:val="bottom"/>
            <w:tcBorders>
              <w:bottom w:val="single" w:sz="8" w:color="CFCFD2"/>
            </w:tcBorders>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440" w:type="dxa"/>
            <w:vAlign w:val="bottom"/>
            <w:vMerge w:val="restart"/>
          </w:tcPr>
          <w:p>
            <w:pPr>
              <w:ind w:left="380"/>
              <w:spacing w:after="0"/>
              <w:rPr>
                <w:sz w:val="20"/>
                <w:szCs w:val="20"/>
                <w:color w:val="auto"/>
              </w:rPr>
            </w:pPr>
            <w:r>
              <w:rPr>
                <w:rFonts w:ascii="Arial" w:cs="Arial" w:eastAsia="Arial" w:hAnsi="Arial"/>
                <w:sz w:val="14"/>
                <w:szCs w:val="14"/>
                <w:color w:val="0E1020"/>
              </w:rPr>
              <w:t>Current Committee Member</w:t>
            </w:r>
          </w:p>
        </w:tc>
        <w:tc>
          <w:tcPr>
            <w:tcW w:w="20" w:type="dxa"/>
            <w:vAlign w:val="bottom"/>
          </w:tcPr>
          <w:p>
            <w:pPr>
              <w:spacing w:after="0"/>
              <w:rPr>
                <w:sz w:val="16"/>
                <w:szCs w:val="16"/>
                <w:color w:val="auto"/>
              </w:rPr>
            </w:pPr>
          </w:p>
        </w:tc>
        <w:tc>
          <w:tcPr>
            <w:tcW w:w="3960" w:type="dxa"/>
            <w:vAlign w:val="bottom"/>
            <w:vMerge w:val="restart"/>
          </w:tcPr>
          <w:p>
            <w:pPr>
              <w:ind w:left="500"/>
              <w:spacing w:after="0"/>
              <w:rPr>
                <w:sz w:val="20"/>
                <w:szCs w:val="20"/>
                <w:color w:val="auto"/>
              </w:rPr>
            </w:pPr>
            <w:r>
              <w:rPr>
                <w:rFonts w:ascii="Arial" w:cs="Arial" w:eastAsia="Arial" w:hAnsi="Arial"/>
                <w:sz w:val="14"/>
                <w:szCs w:val="14"/>
                <w:color w:val="0E1020"/>
              </w:rPr>
              <w:t>Prospective Committee Member*</w:t>
            </w:r>
          </w:p>
        </w:tc>
        <w:tc>
          <w:tcPr>
            <w:tcW w:w="20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440" w:type="dxa"/>
            <w:vAlign w:val="bottom"/>
            <w:vMerge w:val="continue"/>
          </w:tcPr>
          <w:p>
            <w:pPr>
              <w:spacing w:after="0"/>
              <w:rPr>
                <w:sz w:val="19"/>
                <w:szCs w:val="19"/>
                <w:color w:val="auto"/>
              </w:rPr>
            </w:pPr>
          </w:p>
        </w:tc>
        <w:tc>
          <w:tcPr>
            <w:tcW w:w="20" w:type="dxa"/>
            <w:vAlign w:val="bottom"/>
            <w:shd w:val="clear" w:color="auto" w:fill="0E1020"/>
          </w:tcPr>
          <w:p>
            <w:pPr>
              <w:spacing w:after="0"/>
              <w:rPr>
                <w:sz w:val="19"/>
                <w:szCs w:val="19"/>
                <w:color w:val="auto"/>
              </w:rPr>
            </w:pPr>
          </w:p>
        </w:tc>
        <w:tc>
          <w:tcPr>
            <w:tcW w:w="3960" w:type="dxa"/>
            <w:vAlign w:val="bottom"/>
            <w:vMerge w:val="continue"/>
          </w:tcPr>
          <w:p>
            <w:pPr>
              <w:spacing w:after="0"/>
              <w:rPr>
                <w:sz w:val="19"/>
                <w:szCs w:val="19"/>
                <w:color w:val="auto"/>
              </w:rPr>
            </w:pPr>
          </w:p>
        </w:tc>
        <w:tc>
          <w:tcPr>
            <w:tcW w:w="20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440" w:type="dxa"/>
            <w:vAlign w:val="bottom"/>
          </w:tcPr>
          <w:p>
            <w:pPr>
              <w:spacing w:after="0"/>
              <w:rPr>
                <w:sz w:val="6"/>
                <w:szCs w:val="6"/>
                <w:color w:val="auto"/>
              </w:rPr>
            </w:pPr>
          </w:p>
        </w:tc>
        <w:tc>
          <w:tcPr>
            <w:tcW w:w="20" w:type="dxa"/>
            <w:vAlign w:val="bottom"/>
            <w:shd w:val="clear" w:color="auto" w:fill="0E1020"/>
          </w:tcPr>
          <w:p>
            <w:pPr>
              <w:spacing w:after="0"/>
              <w:rPr>
                <w:sz w:val="6"/>
                <w:szCs w:val="6"/>
                <w:color w:val="auto"/>
              </w:rPr>
            </w:pPr>
          </w:p>
        </w:tc>
        <w:tc>
          <w:tcPr>
            <w:tcW w:w="39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-2442210</wp:posOffset>
            </wp:positionV>
            <wp:extent cx="119380" cy="1447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-2229485</wp:posOffset>
            </wp:positionV>
            <wp:extent cx="119380" cy="1447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-2229485</wp:posOffset>
            </wp:positionV>
            <wp:extent cx="119380" cy="1447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-2229485</wp:posOffset>
            </wp:positionV>
            <wp:extent cx="119380" cy="1447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-2016760</wp:posOffset>
            </wp:positionV>
            <wp:extent cx="119380" cy="1447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-2016760</wp:posOffset>
            </wp:positionV>
            <wp:extent cx="119380" cy="1447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-1804035</wp:posOffset>
            </wp:positionV>
            <wp:extent cx="119380" cy="1447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-1804035</wp:posOffset>
            </wp:positionV>
            <wp:extent cx="119380" cy="1447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-1804035</wp:posOffset>
            </wp:positionV>
            <wp:extent cx="119380" cy="1447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-1591310</wp:posOffset>
            </wp:positionV>
            <wp:extent cx="119380" cy="1447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-1591310</wp:posOffset>
            </wp:positionV>
            <wp:extent cx="119380" cy="1447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-1378585</wp:posOffset>
            </wp:positionV>
            <wp:extent cx="119380" cy="1447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-1165860</wp:posOffset>
            </wp:positionV>
            <wp:extent cx="119380" cy="1447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-952500</wp:posOffset>
            </wp:positionV>
            <wp:extent cx="119380" cy="1447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-952500</wp:posOffset>
            </wp:positionV>
            <wp:extent cx="119380" cy="1447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-739775</wp:posOffset>
            </wp:positionV>
            <wp:extent cx="119380" cy="1447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-527050</wp:posOffset>
            </wp:positionV>
            <wp:extent cx="119380" cy="1447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9380" cy="14478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-186690</wp:posOffset>
            </wp:positionV>
            <wp:extent cx="102235" cy="1276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02235" cy="127635"/>
                    </a:xfrm>
                    <a:prstGeom prst="rect">
                      <a:avLst/>
                    </a:prstGeom>
                    <a:noFill/>
                  </pic:spPr>
                </pic:pic>
              </a:graphicData>
            </a:graphic>
          </wp:anchor>
        </w:drawing>
        <w:drawing>
          <wp:anchor simplePos="0" relativeHeight="251657728" behindDoc="1" locked="0" layoutInCell="0" allowOverlap="1">
            <wp:simplePos x="0" y="0"/>
            <wp:positionH relativeFrom="column">
              <wp:posOffset>1698625</wp:posOffset>
            </wp:positionH>
            <wp:positionV relativeFrom="paragraph">
              <wp:posOffset>-186690</wp:posOffset>
            </wp:positionV>
            <wp:extent cx="102235" cy="1276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02235" cy="127635"/>
                    </a:xfrm>
                    <a:prstGeom prst="rect">
                      <a:avLst/>
                    </a:prstGeom>
                    <a:noFill/>
                  </pic:spPr>
                </pic:pic>
              </a:graphicData>
            </a:graphic>
          </wp:anchor>
        </w:drawing>
      </w:r>
    </w:p>
    <w:p>
      <w:pPr>
        <w:spacing w:after="0" w:line="80" w:lineRule="exact"/>
        <w:rPr>
          <w:sz w:val="20"/>
          <w:szCs w:val="20"/>
          <w:color w:val="auto"/>
        </w:rPr>
      </w:pPr>
    </w:p>
    <w:p>
      <w:pPr>
        <w:ind w:left="80" w:right="4260"/>
        <w:spacing w:after="0" w:line="458" w:lineRule="auto"/>
        <w:rPr>
          <w:sz w:val="20"/>
          <w:szCs w:val="20"/>
          <w:color w:val="auto"/>
        </w:rPr>
      </w:pPr>
      <w:r>
        <w:rPr>
          <w:rFonts w:ascii="Arial" w:cs="Arial" w:eastAsia="Arial" w:hAnsi="Arial"/>
          <w:sz w:val="14"/>
          <w:szCs w:val="14"/>
          <w:i w:val="1"/>
          <w:iCs w:val="1"/>
          <w:color w:val="0E1020"/>
        </w:rPr>
        <w:t>*Expected to be effective immediately after the Annual Meeting until the 2027 annual meeting of stockholders **Mr. Racine will not stand for re-election and his term will end at the conclusion of the Annual Meeting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42</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50" w:name="page51"/>
    <w:bookmarkEnd w:id="50"/>
    <w:p>
      <w:pPr>
        <w:ind w:left="20"/>
        <w:spacing w:after="0"/>
        <w:tabs>
          <w:tab w:leader="none" w:pos="976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0E1020"/>
        </w:rPr>
        <w:t>Corporate Governance</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0E1020"/>
        </w:rPr>
        <w:t>The number of committee meetings during the last fiscal year and the function of each of the standing committees are described below.</w:t>
      </w:r>
    </w:p>
    <w:p>
      <w:pPr>
        <w:sectPr>
          <w:pgSz w:w="11900" w:h="16838" w:orient="portrait"/>
          <w:cols w:equalWidth="0" w:num="1">
            <w:col w:w="11220"/>
          </w:cols>
          <w:pgMar w:left="320" w:top="224" w:right="359" w:bottom="1440" w:gutter="0" w:footer="0" w:header="0"/>
        </w:sect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8"/>
          <w:szCs w:val="28"/>
          <w:b w:val="1"/>
          <w:bCs w:val="1"/>
          <w:color w:val="0E1020"/>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177165</wp:posOffset>
            </wp:positionV>
            <wp:extent cx="1898015" cy="19748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898015" cy="1974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4AAC"/>
        </w:rPr>
        <w:t>Members: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0E1020"/>
        </w:rPr>
        <w:t>Robert F. Woods, Chair</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14"/>
          <w:szCs w:val="14"/>
          <w:color w:val="0E1020"/>
        </w:rPr>
        <w:t>David Barnes</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14"/>
          <w:szCs w:val="14"/>
          <w:color w:val="0E1020"/>
        </w:rPr>
        <w:t>David L. Herzog</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14"/>
          <w:szCs w:val="14"/>
          <w:color w:val="0E1020"/>
        </w:rPr>
        <w:t>Pinkie Mayfield*</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14"/>
          <w:szCs w:val="14"/>
          <w:color w:val="0E1020"/>
        </w:rPr>
        <w:t>Carrie W. Teffner</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4AAC"/>
        </w:rPr>
        <w:t>Number of Fiscal</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4AAC"/>
        </w:rPr>
        <w:t>2026 Meetings: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9"/>
          <w:szCs w:val="29"/>
          <w:b w:val="1"/>
          <w:bCs w:val="1"/>
          <w:color w:val="0E1020"/>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4AAC"/>
        </w:rPr>
        <w:t>Primary Responsibilities:</w:t>
      </w:r>
    </w:p>
    <w:p>
      <w:pPr>
        <w:spacing w:after="0" w:line="124" w:lineRule="exact"/>
        <w:rPr>
          <w:sz w:val="20"/>
          <w:szCs w:val="20"/>
          <w:color w:val="auto"/>
        </w:rPr>
      </w:pPr>
    </w:p>
    <w:p>
      <w:pPr>
        <w:ind w:left="260" w:right="480" w:hanging="250"/>
        <w:spacing w:after="0" w:line="341" w:lineRule="auto"/>
        <w:tabs>
          <w:tab w:leader="none" w:pos="229" w:val="left"/>
        </w:tabs>
        <w:numPr>
          <w:ilvl w:val="0"/>
          <w:numId w:val="38"/>
        </w:numPr>
        <w:rPr>
          <w:rFonts w:ascii="Arial" w:cs="Arial" w:eastAsia="Arial" w:hAnsi="Arial"/>
          <w:sz w:val="14"/>
          <w:szCs w:val="14"/>
          <w:color w:val="0E1020"/>
        </w:rPr>
      </w:pPr>
      <w:r>
        <w:rPr>
          <w:rFonts w:ascii="Arial" w:cs="Arial" w:eastAsia="Arial" w:hAnsi="Arial"/>
          <w:sz w:val="14"/>
          <w:szCs w:val="14"/>
          <w:color w:val="0E1020"/>
        </w:rPr>
        <w:t>Oversee DXC’s accounting and financial reporting processes and disclosure controls and procedures, and related internal control framework and audits of our financial statements and internal control over financial reporting.</w:t>
      </w:r>
    </w:p>
    <w:p>
      <w:pPr>
        <w:spacing w:after="0" w:line="38" w:lineRule="exact"/>
        <w:rPr>
          <w:rFonts w:ascii="Arial" w:cs="Arial" w:eastAsia="Arial" w:hAnsi="Arial"/>
          <w:sz w:val="14"/>
          <w:szCs w:val="14"/>
          <w:color w:val="0E1020"/>
        </w:rPr>
      </w:pPr>
    </w:p>
    <w:p>
      <w:pPr>
        <w:ind w:left="260" w:right="340" w:hanging="250"/>
        <w:spacing w:after="0" w:line="310" w:lineRule="auto"/>
        <w:tabs>
          <w:tab w:leader="none" w:pos="229" w:val="left"/>
        </w:tabs>
        <w:numPr>
          <w:ilvl w:val="0"/>
          <w:numId w:val="38"/>
        </w:numPr>
        <w:rPr>
          <w:rFonts w:ascii="Arial" w:cs="Arial" w:eastAsia="Arial" w:hAnsi="Arial"/>
          <w:sz w:val="14"/>
          <w:szCs w:val="14"/>
          <w:color w:val="0E1020"/>
        </w:rPr>
      </w:pPr>
      <w:r>
        <w:rPr>
          <w:rFonts w:ascii="Arial" w:cs="Arial" w:eastAsia="Arial" w:hAnsi="Arial"/>
          <w:sz w:val="14"/>
          <w:szCs w:val="14"/>
          <w:color w:val="0E1020"/>
        </w:rPr>
        <w:t>Assist the Board in its oversight of the integrity of our financial statements; the company’s compliance with legal and regulatory requirements; the independent auditor’s qualifications and independence; and the performance of our internal audit function and independent auditors.</w:t>
      </w:r>
    </w:p>
    <w:p>
      <w:pPr>
        <w:spacing w:after="0" w:line="59" w:lineRule="exact"/>
        <w:rPr>
          <w:rFonts w:ascii="Arial" w:cs="Arial" w:eastAsia="Arial" w:hAnsi="Arial"/>
          <w:sz w:val="14"/>
          <w:szCs w:val="14"/>
          <w:color w:val="0E1020"/>
        </w:rPr>
      </w:pPr>
    </w:p>
    <w:p>
      <w:pPr>
        <w:ind w:left="220" w:hanging="210"/>
        <w:spacing w:after="0"/>
        <w:tabs>
          <w:tab w:leader="none" w:pos="220" w:val="left"/>
        </w:tabs>
        <w:numPr>
          <w:ilvl w:val="0"/>
          <w:numId w:val="38"/>
        </w:numPr>
        <w:rPr>
          <w:rFonts w:ascii="Arial" w:cs="Arial" w:eastAsia="Arial" w:hAnsi="Arial"/>
          <w:sz w:val="14"/>
          <w:szCs w:val="14"/>
          <w:color w:val="0E1020"/>
        </w:rPr>
      </w:pPr>
      <w:r>
        <w:rPr>
          <w:rFonts w:ascii="Arial" w:cs="Arial" w:eastAsia="Arial" w:hAnsi="Arial"/>
          <w:sz w:val="14"/>
          <w:szCs w:val="14"/>
          <w:color w:val="0E1020"/>
        </w:rPr>
        <w:t>Prepare the Audit Committee report for inclusion in our annual proxy statement.</w:t>
      </w:r>
    </w:p>
    <w:p>
      <w:pPr>
        <w:spacing w:after="0" w:line="133" w:lineRule="exact"/>
        <w:rPr>
          <w:rFonts w:ascii="Arial" w:cs="Arial" w:eastAsia="Arial" w:hAnsi="Arial"/>
          <w:sz w:val="14"/>
          <w:szCs w:val="14"/>
          <w:color w:val="0E1020"/>
        </w:rPr>
      </w:pPr>
    </w:p>
    <w:p>
      <w:pPr>
        <w:ind w:left="260" w:right="360" w:hanging="250"/>
        <w:spacing w:after="0" w:line="310" w:lineRule="auto"/>
        <w:tabs>
          <w:tab w:leader="none" w:pos="229" w:val="left"/>
        </w:tabs>
        <w:numPr>
          <w:ilvl w:val="0"/>
          <w:numId w:val="38"/>
        </w:numPr>
        <w:rPr>
          <w:rFonts w:ascii="Arial" w:cs="Arial" w:eastAsia="Arial" w:hAnsi="Arial"/>
          <w:sz w:val="14"/>
          <w:szCs w:val="14"/>
          <w:color w:val="0E1020"/>
        </w:rPr>
      </w:pPr>
      <w:r>
        <w:rPr>
          <w:rFonts w:ascii="Arial" w:cs="Arial" w:eastAsia="Arial" w:hAnsi="Arial"/>
          <w:sz w:val="14"/>
          <w:szCs w:val="14"/>
          <w:color w:val="0E1020"/>
        </w:rPr>
        <w:t>Oversee and review with management DXC’s enterprise risk management framework, addressing DXC’s exposure across the range of operational risk, brand/reputational risk, strategic risk, compliance risk and other risk categories as appropriate.</w:t>
      </w:r>
    </w:p>
    <w:p>
      <w:pPr>
        <w:spacing w:after="0" w:line="59" w:lineRule="exact"/>
        <w:rPr>
          <w:rFonts w:ascii="Arial" w:cs="Arial" w:eastAsia="Arial" w:hAnsi="Arial"/>
          <w:sz w:val="14"/>
          <w:szCs w:val="14"/>
          <w:color w:val="0E1020"/>
        </w:rPr>
      </w:pPr>
    </w:p>
    <w:p>
      <w:pPr>
        <w:ind w:left="220" w:hanging="210"/>
        <w:spacing w:after="0"/>
        <w:tabs>
          <w:tab w:leader="none" w:pos="220" w:val="left"/>
        </w:tabs>
        <w:numPr>
          <w:ilvl w:val="0"/>
          <w:numId w:val="38"/>
        </w:numPr>
        <w:rPr>
          <w:rFonts w:ascii="Arial" w:cs="Arial" w:eastAsia="Arial" w:hAnsi="Arial"/>
          <w:sz w:val="14"/>
          <w:szCs w:val="14"/>
          <w:color w:val="0E1020"/>
        </w:rPr>
      </w:pPr>
      <w:r>
        <w:rPr>
          <w:rFonts w:ascii="Arial" w:cs="Arial" w:eastAsia="Arial" w:hAnsi="Arial"/>
          <w:sz w:val="14"/>
          <w:szCs w:val="14"/>
          <w:color w:val="0E1020"/>
        </w:rPr>
        <w:t>Oversee the development and implementation of our risk management program.</w:t>
      </w:r>
    </w:p>
    <w:p>
      <w:pPr>
        <w:spacing w:after="0" w:line="133" w:lineRule="exact"/>
        <w:rPr>
          <w:rFonts w:ascii="Arial" w:cs="Arial" w:eastAsia="Arial" w:hAnsi="Arial"/>
          <w:sz w:val="14"/>
          <w:szCs w:val="14"/>
          <w:color w:val="0E1020"/>
        </w:rPr>
      </w:pPr>
    </w:p>
    <w:p>
      <w:pPr>
        <w:ind w:left="220" w:hanging="210"/>
        <w:spacing w:after="0"/>
        <w:tabs>
          <w:tab w:leader="none" w:pos="220" w:val="left"/>
        </w:tabs>
        <w:numPr>
          <w:ilvl w:val="0"/>
          <w:numId w:val="38"/>
        </w:numPr>
        <w:rPr>
          <w:rFonts w:ascii="Arial" w:cs="Arial" w:eastAsia="Arial" w:hAnsi="Arial"/>
          <w:sz w:val="14"/>
          <w:szCs w:val="14"/>
          <w:color w:val="0E1020"/>
        </w:rPr>
      </w:pPr>
      <w:r>
        <w:rPr>
          <w:rFonts w:ascii="Arial" w:cs="Arial" w:eastAsia="Arial" w:hAnsi="Arial"/>
          <w:sz w:val="14"/>
          <w:szCs w:val="14"/>
          <w:color w:val="0E1020"/>
        </w:rPr>
        <w:t>Oversee DXC’s ethics and compliance program.</w:t>
      </w:r>
    </w:p>
    <w:p>
      <w:pPr>
        <w:spacing w:after="0" w:line="200" w:lineRule="exact"/>
        <w:rPr>
          <w:sz w:val="20"/>
          <w:szCs w:val="20"/>
          <w:color w:val="auto"/>
        </w:rPr>
      </w:pPr>
    </w:p>
    <w:p>
      <w:pPr>
        <w:sectPr>
          <w:pgSz w:w="11900" w:h="16838" w:orient="portrait"/>
          <w:cols w:equalWidth="0" w:num="2">
            <w:col w:w="2860" w:space="480"/>
            <w:col w:w="7880"/>
          </w:cols>
          <w:pgMar w:left="320" w:top="224" w:right="35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i w:val="1"/>
          <w:iCs w:val="1"/>
          <w:color w:val="0E1020"/>
        </w:rPr>
        <w:t>*Expected to be effective immediately after the Annual Meeting until the 2027 annual meeting of stockholders</w:t>
      </w:r>
    </w:p>
    <w:p>
      <w:pPr>
        <w:spacing w:after="0" w:line="2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0E1020"/>
        </w:rPr>
        <w:t>Anyone with questions or complaints regarding accounting, internal accounting controls or auditing matters may communicate them to the DXC Ethics and Compliance Office and our Audit Committee by contacting DXC’s SpeakUp on the Company’s website, www.dxc.com, under “Meet DXC/Investor Relations/Governance/Integrity Matters at DXC.” Calls may be confidential or anonymous. Questions and complaints marked for the Audit Committee are forwarded to the committee’s chair for review, and reviewed and addressed, as appropriate, by DXC’s General Counsel, Chief Ethics and Compliance Officer, the Chief Audit Executive, and the Principal Accounting Officer.</w:t>
      </w:r>
    </w:p>
    <w:p>
      <w:pPr>
        <w:spacing w:after="0" w:line="49" w:lineRule="exact"/>
        <w:rPr>
          <w:sz w:val="20"/>
          <w:szCs w:val="20"/>
          <w:color w:val="auto"/>
        </w:rPr>
      </w:pPr>
    </w:p>
    <w:p>
      <w:pPr>
        <w:jc w:val="both"/>
        <w:ind w:right="380"/>
        <w:spacing w:after="0" w:line="316" w:lineRule="auto"/>
        <w:rPr>
          <w:sz w:val="20"/>
          <w:szCs w:val="20"/>
          <w:color w:val="auto"/>
        </w:rPr>
      </w:pPr>
      <w:r>
        <w:rPr>
          <w:rFonts w:ascii="Arial" w:cs="Arial" w:eastAsia="Arial" w:hAnsi="Arial"/>
          <w:sz w:val="16"/>
          <w:szCs w:val="16"/>
          <w:color w:val="0E1020"/>
        </w:rPr>
        <w:t>The Audit Committee may direct special treatment, including the retention of outside advisors, for any concern communicated to it. The Code of Conduct makes clear DXC’s zero tolerance position on matters of retaliation by management or anyone against DXC employees for any report or communication made in good faith through the DXC SpeakUp helpline.</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9"/>
          <w:szCs w:val="29"/>
          <w:b w:val="1"/>
          <w:bCs w:val="1"/>
          <w:color w:val="0E1020"/>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170180</wp:posOffset>
            </wp:positionV>
            <wp:extent cx="1898015" cy="19748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898015" cy="1974850"/>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4AAC"/>
        </w:rPr>
        <w:t>Members: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0E1020"/>
        </w:rPr>
        <w:t>Akihiko Washington, Chair</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14"/>
          <w:szCs w:val="14"/>
          <w:color w:val="0E1020"/>
        </w:rPr>
        <w:t>Anthony Gonzalez</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14"/>
          <w:szCs w:val="14"/>
          <w:color w:val="0E1020"/>
        </w:rPr>
        <w:t>David L. Herzog</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14"/>
          <w:szCs w:val="14"/>
          <w:color w:val="0E1020"/>
        </w:rPr>
        <w:t>Dawn Rogers</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14"/>
          <w:szCs w:val="14"/>
          <w:color w:val="0E1020"/>
        </w:rPr>
        <w:t>Carrie W. Teffner*</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4AAC"/>
        </w:rPr>
        <w:t>Number of Fiscal</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4AAC"/>
        </w:rPr>
        <w:t>2026 Meetings: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9"/>
          <w:szCs w:val="29"/>
          <w:b w:val="1"/>
          <w:bCs w:val="1"/>
          <w:color w:val="0E1020"/>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4AAC"/>
        </w:rPr>
        <w:t>Primary Responsibilities:</w:t>
      </w:r>
    </w:p>
    <w:p>
      <w:pPr>
        <w:spacing w:after="0" w:line="124" w:lineRule="exact"/>
        <w:rPr>
          <w:sz w:val="20"/>
          <w:szCs w:val="20"/>
          <w:color w:val="auto"/>
        </w:rPr>
      </w:pPr>
    </w:p>
    <w:p>
      <w:pPr>
        <w:ind w:left="260" w:right="480" w:hanging="250"/>
        <w:spacing w:after="0" w:line="341" w:lineRule="auto"/>
        <w:tabs>
          <w:tab w:leader="none" w:pos="229" w:val="left"/>
        </w:tabs>
        <w:numPr>
          <w:ilvl w:val="0"/>
          <w:numId w:val="39"/>
        </w:numPr>
        <w:rPr>
          <w:rFonts w:ascii="Arial" w:cs="Arial" w:eastAsia="Arial" w:hAnsi="Arial"/>
          <w:sz w:val="14"/>
          <w:szCs w:val="14"/>
          <w:color w:val="0E1020"/>
        </w:rPr>
      </w:pPr>
      <w:r>
        <w:rPr>
          <w:rFonts w:ascii="Arial" w:cs="Arial" w:eastAsia="Arial" w:hAnsi="Arial"/>
          <w:sz w:val="14"/>
          <w:szCs w:val="14"/>
          <w:color w:val="0E1020"/>
        </w:rPr>
        <w:t>Assist the Board in determining the performance and compensation of the CEO and the compensation of the non-management directors.</w:t>
      </w:r>
    </w:p>
    <w:p>
      <w:pPr>
        <w:spacing w:after="0" w:line="38" w:lineRule="exact"/>
        <w:rPr>
          <w:rFonts w:ascii="Arial" w:cs="Arial" w:eastAsia="Arial" w:hAnsi="Arial"/>
          <w:sz w:val="14"/>
          <w:szCs w:val="14"/>
          <w:color w:val="0E1020"/>
        </w:rPr>
      </w:pPr>
    </w:p>
    <w:p>
      <w:pPr>
        <w:ind w:left="220" w:hanging="210"/>
        <w:spacing w:after="0"/>
        <w:tabs>
          <w:tab w:leader="none" w:pos="220" w:val="left"/>
        </w:tabs>
        <w:numPr>
          <w:ilvl w:val="0"/>
          <w:numId w:val="39"/>
        </w:numPr>
        <w:rPr>
          <w:rFonts w:ascii="Arial" w:cs="Arial" w:eastAsia="Arial" w:hAnsi="Arial"/>
          <w:sz w:val="14"/>
          <w:szCs w:val="14"/>
          <w:color w:val="0E1020"/>
        </w:rPr>
      </w:pPr>
      <w:r>
        <w:rPr>
          <w:rFonts w:ascii="Arial" w:cs="Arial" w:eastAsia="Arial" w:hAnsi="Arial"/>
          <w:sz w:val="14"/>
          <w:szCs w:val="14"/>
          <w:color w:val="0E1020"/>
        </w:rPr>
        <w:t>Discharge the responsibilities of the Board with respect to the compensation of other executives.</w:t>
      </w:r>
    </w:p>
    <w:p>
      <w:pPr>
        <w:spacing w:after="0" w:line="120" w:lineRule="exact"/>
        <w:rPr>
          <w:rFonts w:ascii="Arial" w:cs="Arial" w:eastAsia="Arial" w:hAnsi="Arial"/>
          <w:sz w:val="14"/>
          <w:szCs w:val="14"/>
          <w:color w:val="0E1020"/>
        </w:rPr>
      </w:pPr>
    </w:p>
    <w:p>
      <w:pPr>
        <w:ind w:left="220" w:hanging="210"/>
        <w:spacing w:after="0"/>
        <w:tabs>
          <w:tab w:leader="none" w:pos="220" w:val="left"/>
        </w:tabs>
        <w:numPr>
          <w:ilvl w:val="0"/>
          <w:numId w:val="39"/>
        </w:numPr>
        <w:rPr>
          <w:rFonts w:ascii="Arial" w:cs="Arial" w:eastAsia="Arial" w:hAnsi="Arial"/>
          <w:sz w:val="14"/>
          <w:szCs w:val="14"/>
          <w:color w:val="0E1020"/>
        </w:rPr>
      </w:pPr>
      <w:r>
        <w:rPr>
          <w:rFonts w:ascii="Arial" w:cs="Arial" w:eastAsia="Arial" w:hAnsi="Arial"/>
          <w:sz w:val="14"/>
          <w:szCs w:val="14"/>
          <w:color w:val="0E1020"/>
        </w:rPr>
        <w:t>Administer our incentive stock plans.</w:t>
      </w:r>
    </w:p>
    <w:p>
      <w:pPr>
        <w:spacing w:after="0" w:line="133" w:lineRule="exact"/>
        <w:rPr>
          <w:rFonts w:ascii="Arial" w:cs="Arial" w:eastAsia="Arial" w:hAnsi="Arial"/>
          <w:sz w:val="14"/>
          <w:szCs w:val="14"/>
          <w:color w:val="0E1020"/>
        </w:rPr>
      </w:pPr>
    </w:p>
    <w:p>
      <w:pPr>
        <w:ind w:left="220" w:hanging="210"/>
        <w:spacing w:after="0"/>
        <w:tabs>
          <w:tab w:leader="none" w:pos="220" w:val="left"/>
        </w:tabs>
        <w:numPr>
          <w:ilvl w:val="0"/>
          <w:numId w:val="39"/>
        </w:numPr>
        <w:rPr>
          <w:rFonts w:ascii="Arial" w:cs="Arial" w:eastAsia="Arial" w:hAnsi="Arial"/>
          <w:sz w:val="14"/>
          <w:szCs w:val="14"/>
          <w:color w:val="0E1020"/>
        </w:rPr>
      </w:pPr>
      <w:r>
        <w:rPr>
          <w:rFonts w:ascii="Arial" w:cs="Arial" w:eastAsia="Arial" w:hAnsi="Arial"/>
          <w:sz w:val="14"/>
          <w:szCs w:val="14"/>
          <w:color w:val="0E1020"/>
        </w:rPr>
        <w:t>Oversee succession planning and leadership development for our senior management.</w:t>
      </w:r>
    </w:p>
    <w:p>
      <w:pPr>
        <w:spacing w:after="0" w:line="120" w:lineRule="exact"/>
        <w:rPr>
          <w:rFonts w:ascii="Arial" w:cs="Arial" w:eastAsia="Arial" w:hAnsi="Arial"/>
          <w:sz w:val="14"/>
          <w:szCs w:val="14"/>
          <w:color w:val="0E1020"/>
        </w:rPr>
      </w:pPr>
    </w:p>
    <w:p>
      <w:pPr>
        <w:ind w:left="220" w:hanging="210"/>
        <w:spacing w:after="0"/>
        <w:tabs>
          <w:tab w:leader="none" w:pos="220" w:val="left"/>
        </w:tabs>
        <w:numPr>
          <w:ilvl w:val="0"/>
          <w:numId w:val="39"/>
        </w:numPr>
        <w:rPr>
          <w:rFonts w:ascii="Arial" w:cs="Arial" w:eastAsia="Arial" w:hAnsi="Arial"/>
          <w:sz w:val="14"/>
          <w:szCs w:val="14"/>
          <w:color w:val="0E1020"/>
        </w:rPr>
      </w:pPr>
      <w:r>
        <w:rPr>
          <w:rFonts w:ascii="Arial" w:cs="Arial" w:eastAsia="Arial" w:hAnsi="Arial"/>
          <w:sz w:val="14"/>
          <w:szCs w:val="14"/>
          <w:color w:val="0E1020"/>
        </w:rPr>
        <w:t>Prepare the Compensation Committee Report for inclusion in our annual proxy statement.</w:t>
      </w:r>
    </w:p>
    <w:p>
      <w:pPr>
        <w:spacing w:after="0" w:line="946" w:lineRule="exact"/>
        <w:rPr>
          <w:sz w:val="20"/>
          <w:szCs w:val="20"/>
          <w:color w:val="auto"/>
        </w:rPr>
      </w:pPr>
    </w:p>
    <w:p>
      <w:pPr>
        <w:sectPr>
          <w:pgSz w:w="11900" w:h="16838" w:orient="portrait"/>
          <w:cols w:equalWidth="0" w:num="2">
            <w:col w:w="2620" w:space="720"/>
            <w:col w:w="7880"/>
          </w:cols>
          <w:pgMar w:left="320" w:top="224" w:right="35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i w:val="1"/>
          <w:iCs w:val="1"/>
          <w:color w:val="0E1020"/>
        </w:rPr>
        <w:t>*Expected to be effective immediately after the Annual Meeting until the 2027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43</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type w:val="continuous"/>
        </w:sectPr>
      </w:pPr>
    </w:p>
    <w:bookmarkStart w:id="51" w:name="page52"/>
    <w:bookmarkEnd w:id="51"/>
    <w:p>
      <w:pPr>
        <w:ind w:left="20"/>
        <w:spacing w:after="0"/>
        <w:tabs>
          <w:tab w:leader="none" w:pos="10100" w:val="left"/>
        </w:tabs>
        <w:rPr>
          <w:sz w:val="20"/>
          <w:szCs w:val="20"/>
          <w:color w:val="auto"/>
        </w:rPr>
      </w:pPr>
      <w:r>
        <w:rPr>
          <w:rFonts w:ascii="Arial" w:cs="Arial" w:eastAsia="Arial" w:hAnsi="Arial"/>
          <w:sz w:val="14"/>
          <w:szCs w:val="14"/>
          <w:color w:val="auto"/>
        </w:rPr>
        <w:t>Corporate Governance</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Compensation Committee Interlocks and Insider Participation</w:t>
      </w:r>
    </w:p>
    <w:p>
      <w:pPr>
        <w:spacing w:after="0" w:line="84"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0E1020"/>
        </w:rPr>
        <w:t>During fiscal 2026, the members of the Compensation Committee were Anthony Gonzalez, David Herzog, Dawn Rogers and Akihiko Washington. None of these individuals is or was at any time an officer or employee of DXC, and none had any relationship requiring disclosure pursuant to Item 404 of Regulation S-K. During fiscal 2026, no executive officer of DXC served as a member of the board of directors or the compensation committee (or other board committee performing equivalent functions) of any other entity that had one or more executive officers serving on the DXC Compensation Committee or Board.</w:t>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9"/>
          <w:szCs w:val="29"/>
          <w:b w:val="1"/>
          <w:bCs w:val="1"/>
          <w:color w:val="0E1020"/>
        </w:rPr>
        <w:t>NOMINATING/CORPORATE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170180</wp:posOffset>
            </wp:positionV>
            <wp:extent cx="1898015" cy="19748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898015" cy="1974850"/>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4AAC"/>
        </w:rPr>
        <w:t>Members: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0E1020"/>
        </w:rPr>
        <w:t>David Barnes, Chair</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14"/>
          <w:szCs w:val="14"/>
          <w:color w:val="0E1020"/>
        </w:rPr>
        <w:t>Anthony Gonzalez*</w:t>
      </w:r>
    </w:p>
    <w:p>
      <w:pPr>
        <w:spacing w:after="0" w:line="28" w:lineRule="exact"/>
        <w:rPr>
          <w:sz w:val="20"/>
          <w:szCs w:val="20"/>
          <w:color w:val="auto"/>
        </w:rPr>
      </w:pPr>
    </w:p>
    <w:p>
      <w:pPr>
        <w:ind w:left="260"/>
        <w:spacing w:after="0"/>
        <w:rPr>
          <w:sz w:val="20"/>
          <w:szCs w:val="20"/>
          <w:color w:val="auto"/>
        </w:rPr>
      </w:pPr>
      <w:r>
        <w:rPr>
          <w:rFonts w:ascii="Arial" w:cs="Arial" w:eastAsia="Arial" w:hAnsi="Arial"/>
          <w:sz w:val="14"/>
          <w:szCs w:val="14"/>
          <w:color w:val="0E1020"/>
        </w:rPr>
        <w:t>David L. Herzog</w:t>
      </w:r>
    </w:p>
    <w:p>
      <w:pPr>
        <w:spacing w:after="0" w:line="38" w:lineRule="exact"/>
        <w:rPr>
          <w:sz w:val="20"/>
          <w:szCs w:val="20"/>
          <w:color w:val="auto"/>
        </w:rPr>
      </w:pPr>
    </w:p>
    <w:p>
      <w:pPr>
        <w:ind w:left="260"/>
        <w:spacing w:after="0"/>
        <w:rPr>
          <w:sz w:val="20"/>
          <w:szCs w:val="20"/>
          <w:color w:val="auto"/>
        </w:rPr>
      </w:pPr>
      <w:r>
        <w:rPr>
          <w:rFonts w:ascii="Arial" w:cs="Arial" w:eastAsia="Arial" w:hAnsi="Arial"/>
          <w:sz w:val="14"/>
          <w:szCs w:val="14"/>
          <w:color w:val="0E1020"/>
        </w:rPr>
        <w:t>Pinkie D. Mayfield</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14"/>
          <w:szCs w:val="14"/>
          <w:color w:val="0E1020"/>
        </w:rPr>
        <w:t>Karl Racine**</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004AAC"/>
        </w:rPr>
        <w:t>Number of Fiscal</w:t>
      </w:r>
    </w:p>
    <w:p>
      <w:pPr>
        <w:spacing w:after="0" w:line="3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4AAC"/>
        </w:rPr>
        <w:t>2026 Meetings: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9"/>
          <w:szCs w:val="29"/>
          <w:b w:val="1"/>
          <w:bCs w:val="1"/>
          <w:color w:val="0E1020"/>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4AAC"/>
        </w:rPr>
        <w:t>Primary Responsibilities:</w:t>
      </w:r>
    </w:p>
    <w:p>
      <w:pPr>
        <w:spacing w:after="0" w:line="124" w:lineRule="exact"/>
        <w:rPr>
          <w:sz w:val="20"/>
          <w:szCs w:val="20"/>
          <w:color w:val="auto"/>
        </w:rPr>
      </w:pPr>
    </w:p>
    <w:p>
      <w:pPr>
        <w:ind w:left="220" w:hanging="210"/>
        <w:spacing w:after="0"/>
        <w:tabs>
          <w:tab w:leader="none" w:pos="220" w:val="left"/>
        </w:tabs>
        <w:numPr>
          <w:ilvl w:val="0"/>
          <w:numId w:val="40"/>
        </w:numPr>
        <w:rPr>
          <w:rFonts w:ascii="Arial" w:cs="Arial" w:eastAsia="Arial" w:hAnsi="Arial"/>
          <w:sz w:val="14"/>
          <w:szCs w:val="14"/>
          <w:color w:val="0E1020"/>
        </w:rPr>
      </w:pPr>
      <w:r>
        <w:rPr>
          <w:rFonts w:ascii="Arial" w:cs="Arial" w:eastAsia="Arial" w:hAnsi="Arial"/>
          <w:sz w:val="14"/>
          <w:szCs w:val="14"/>
          <w:color w:val="0E1020"/>
        </w:rPr>
        <w:t>Identify and recommend to the Board the slate of individuals to be nominated for election as directors.</w:t>
      </w:r>
    </w:p>
    <w:p>
      <w:pPr>
        <w:spacing w:after="0" w:line="120" w:lineRule="exact"/>
        <w:rPr>
          <w:rFonts w:ascii="Arial" w:cs="Arial" w:eastAsia="Arial" w:hAnsi="Arial"/>
          <w:sz w:val="14"/>
          <w:szCs w:val="14"/>
          <w:color w:val="0E1020"/>
        </w:rPr>
      </w:pPr>
    </w:p>
    <w:p>
      <w:pPr>
        <w:ind w:left="220" w:hanging="210"/>
        <w:spacing w:after="0"/>
        <w:tabs>
          <w:tab w:leader="none" w:pos="220" w:val="left"/>
        </w:tabs>
        <w:numPr>
          <w:ilvl w:val="0"/>
          <w:numId w:val="40"/>
        </w:numPr>
        <w:rPr>
          <w:rFonts w:ascii="Arial" w:cs="Arial" w:eastAsia="Arial" w:hAnsi="Arial"/>
          <w:sz w:val="14"/>
          <w:szCs w:val="14"/>
          <w:color w:val="0E1020"/>
        </w:rPr>
      </w:pPr>
      <w:r>
        <w:rPr>
          <w:rFonts w:ascii="Arial" w:cs="Arial" w:eastAsia="Arial" w:hAnsi="Arial"/>
          <w:sz w:val="14"/>
          <w:szCs w:val="14"/>
          <w:color w:val="0E1020"/>
        </w:rPr>
        <w:t>Develop and recommend to the Board the qualifications for director nominees.</w:t>
      </w:r>
    </w:p>
    <w:p>
      <w:pPr>
        <w:spacing w:after="0" w:line="133" w:lineRule="exact"/>
        <w:rPr>
          <w:rFonts w:ascii="Arial" w:cs="Arial" w:eastAsia="Arial" w:hAnsi="Arial"/>
          <w:sz w:val="14"/>
          <w:szCs w:val="14"/>
          <w:color w:val="0E1020"/>
        </w:rPr>
      </w:pPr>
    </w:p>
    <w:p>
      <w:pPr>
        <w:ind w:left="260" w:right="560" w:hanging="250"/>
        <w:spacing w:after="0" w:line="341" w:lineRule="auto"/>
        <w:tabs>
          <w:tab w:leader="none" w:pos="229" w:val="left"/>
        </w:tabs>
        <w:numPr>
          <w:ilvl w:val="0"/>
          <w:numId w:val="40"/>
        </w:numPr>
        <w:rPr>
          <w:rFonts w:ascii="Arial" w:cs="Arial" w:eastAsia="Arial" w:hAnsi="Arial"/>
          <w:sz w:val="14"/>
          <w:szCs w:val="14"/>
          <w:color w:val="0E1020"/>
        </w:rPr>
      </w:pPr>
      <w:r>
        <w:rPr>
          <w:rFonts w:ascii="Arial" w:cs="Arial" w:eastAsia="Arial" w:hAnsi="Arial"/>
          <w:sz w:val="14"/>
          <w:szCs w:val="14"/>
          <w:color w:val="0E1020"/>
        </w:rPr>
        <w:t>Develop a process for identifying and evaluating director nominees and identify and recommend individuals to fill Board vacancies.</w:t>
      </w:r>
    </w:p>
    <w:p>
      <w:pPr>
        <w:spacing w:after="0" w:line="25" w:lineRule="exact"/>
        <w:rPr>
          <w:rFonts w:ascii="Arial" w:cs="Arial" w:eastAsia="Arial" w:hAnsi="Arial"/>
          <w:sz w:val="14"/>
          <w:szCs w:val="14"/>
          <w:color w:val="0E1020"/>
        </w:rPr>
      </w:pPr>
    </w:p>
    <w:p>
      <w:pPr>
        <w:ind w:left="220" w:hanging="210"/>
        <w:spacing w:after="0"/>
        <w:tabs>
          <w:tab w:leader="none" w:pos="220" w:val="left"/>
        </w:tabs>
        <w:numPr>
          <w:ilvl w:val="0"/>
          <w:numId w:val="40"/>
        </w:numPr>
        <w:rPr>
          <w:rFonts w:ascii="Arial" w:cs="Arial" w:eastAsia="Arial" w:hAnsi="Arial"/>
          <w:sz w:val="14"/>
          <w:szCs w:val="14"/>
          <w:color w:val="0E1020"/>
        </w:rPr>
      </w:pPr>
      <w:r>
        <w:rPr>
          <w:rFonts w:ascii="Arial" w:cs="Arial" w:eastAsia="Arial" w:hAnsi="Arial"/>
          <w:sz w:val="14"/>
          <w:szCs w:val="14"/>
          <w:color w:val="0E1020"/>
        </w:rPr>
        <w:t>Recommend to the Board directors to serve as members and chairs of each committee of the Board.</w:t>
      </w:r>
    </w:p>
    <w:p>
      <w:pPr>
        <w:spacing w:after="0" w:line="133" w:lineRule="exact"/>
        <w:rPr>
          <w:rFonts w:ascii="Arial" w:cs="Arial" w:eastAsia="Arial" w:hAnsi="Arial"/>
          <w:sz w:val="14"/>
          <w:szCs w:val="14"/>
          <w:color w:val="0E1020"/>
        </w:rPr>
      </w:pPr>
    </w:p>
    <w:p>
      <w:pPr>
        <w:ind w:left="260" w:right="320" w:hanging="250"/>
        <w:spacing w:after="0" w:line="341" w:lineRule="auto"/>
        <w:tabs>
          <w:tab w:leader="none" w:pos="229" w:val="left"/>
        </w:tabs>
        <w:numPr>
          <w:ilvl w:val="0"/>
          <w:numId w:val="40"/>
        </w:numPr>
        <w:rPr>
          <w:rFonts w:ascii="Arial" w:cs="Arial" w:eastAsia="Arial" w:hAnsi="Arial"/>
          <w:sz w:val="14"/>
          <w:szCs w:val="14"/>
          <w:color w:val="0E1020"/>
        </w:rPr>
      </w:pPr>
      <w:r>
        <w:rPr>
          <w:rFonts w:ascii="Arial" w:cs="Arial" w:eastAsia="Arial" w:hAnsi="Arial"/>
          <w:sz w:val="14"/>
          <w:szCs w:val="14"/>
          <w:color w:val="0E1020"/>
        </w:rPr>
        <w:t>Review and recommend to the Board the appropriateness of a director’s continued service in circumstances such as a material change in the director’s job responsibility.</w:t>
      </w:r>
    </w:p>
    <w:p>
      <w:pPr>
        <w:spacing w:after="0" w:line="25" w:lineRule="exact"/>
        <w:rPr>
          <w:rFonts w:ascii="Arial" w:cs="Arial" w:eastAsia="Arial" w:hAnsi="Arial"/>
          <w:sz w:val="14"/>
          <w:szCs w:val="14"/>
          <w:color w:val="0E1020"/>
        </w:rPr>
      </w:pPr>
    </w:p>
    <w:p>
      <w:pPr>
        <w:ind w:left="220" w:hanging="210"/>
        <w:spacing w:after="0"/>
        <w:tabs>
          <w:tab w:leader="none" w:pos="220" w:val="left"/>
        </w:tabs>
        <w:numPr>
          <w:ilvl w:val="0"/>
          <w:numId w:val="40"/>
        </w:numPr>
        <w:rPr>
          <w:rFonts w:ascii="Arial" w:cs="Arial" w:eastAsia="Arial" w:hAnsi="Arial"/>
          <w:sz w:val="14"/>
          <w:szCs w:val="14"/>
          <w:color w:val="0E1020"/>
        </w:rPr>
      </w:pPr>
      <w:r>
        <w:rPr>
          <w:rFonts w:ascii="Arial" w:cs="Arial" w:eastAsia="Arial" w:hAnsi="Arial"/>
          <w:sz w:val="14"/>
          <w:szCs w:val="14"/>
          <w:color w:val="0E1020"/>
        </w:rPr>
        <w:t>Review proposed director memberships on new boards.</w:t>
      </w:r>
    </w:p>
    <w:p>
      <w:pPr>
        <w:spacing w:after="0" w:line="133" w:lineRule="exact"/>
        <w:rPr>
          <w:rFonts w:ascii="Arial" w:cs="Arial" w:eastAsia="Arial" w:hAnsi="Arial"/>
          <w:sz w:val="14"/>
          <w:szCs w:val="14"/>
          <w:color w:val="0E1020"/>
        </w:rPr>
      </w:pPr>
    </w:p>
    <w:p>
      <w:pPr>
        <w:ind w:left="220" w:hanging="210"/>
        <w:spacing w:after="0"/>
        <w:tabs>
          <w:tab w:leader="none" w:pos="220" w:val="left"/>
        </w:tabs>
        <w:numPr>
          <w:ilvl w:val="0"/>
          <w:numId w:val="40"/>
        </w:numPr>
        <w:rPr>
          <w:rFonts w:ascii="Arial" w:cs="Arial" w:eastAsia="Arial" w:hAnsi="Arial"/>
          <w:sz w:val="14"/>
          <w:szCs w:val="14"/>
          <w:color w:val="0E1020"/>
        </w:rPr>
      </w:pPr>
      <w:r>
        <w:rPr>
          <w:rFonts w:ascii="Arial" w:cs="Arial" w:eastAsia="Arial" w:hAnsi="Arial"/>
          <w:sz w:val="14"/>
          <w:szCs w:val="14"/>
          <w:color w:val="0E1020"/>
        </w:rPr>
        <w:t>Oversee the orientation of new directors and the education of all directors.</w:t>
      </w:r>
    </w:p>
    <w:p>
      <w:pPr>
        <w:spacing w:after="0" w:line="133" w:lineRule="exact"/>
        <w:rPr>
          <w:rFonts w:ascii="Arial" w:cs="Arial" w:eastAsia="Arial" w:hAnsi="Arial"/>
          <w:sz w:val="14"/>
          <w:szCs w:val="14"/>
          <w:color w:val="0E1020"/>
        </w:rPr>
      </w:pPr>
    </w:p>
    <w:p>
      <w:pPr>
        <w:ind w:left="220" w:hanging="210"/>
        <w:spacing w:after="0"/>
        <w:tabs>
          <w:tab w:leader="none" w:pos="220" w:val="left"/>
        </w:tabs>
        <w:numPr>
          <w:ilvl w:val="0"/>
          <w:numId w:val="40"/>
        </w:numPr>
        <w:rPr>
          <w:rFonts w:ascii="Arial" w:cs="Arial" w:eastAsia="Arial" w:hAnsi="Arial"/>
          <w:sz w:val="14"/>
          <w:szCs w:val="14"/>
          <w:color w:val="0E1020"/>
        </w:rPr>
      </w:pPr>
      <w:r>
        <w:rPr>
          <w:rFonts w:ascii="Arial" w:cs="Arial" w:eastAsia="Arial" w:hAnsi="Arial"/>
          <w:sz w:val="14"/>
          <w:szCs w:val="14"/>
          <w:color w:val="0E1020"/>
        </w:rPr>
        <w:t>Oversee the Board’s annual self-evaluation of its performance.</w:t>
      </w:r>
    </w:p>
    <w:p>
      <w:pPr>
        <w:spacing w:after="0" w:line="120" w:lineRule="exact"/>
        <w:rPr>
          <w:rFonts w:ascii="Arial" w:cs="Arial" w:eastAsia="Arial" w:hAnsi="Arial"/>
          <w:sz w:val="14"/>
          <w:szCs w:val="14"/>
          <w:color w:val="0E1020"/>
        </w:rPr>
      </w:pPr>
    </w:p>
    <w:p>
      <w:pPr>
        <w:ind w:left="260" w:right="660" w:hanging="250"/>
        <w:spacing w:after="0" w:line="341" w:lineRule="auto"/>
        <w:tabs>
          <w:tab w:leader="none" w:pos="229" w:val="left"/>
        </w:tabs>
        <w:numPr>
          <w:ilvl w:val="0"/>
          <w:numId w:val="40"/>
        </w:numPr>
        <w:rPr>
          <w:rFonts w:ascii="Arial" w:cs="Arial" w:eastAsia="Arial" w:hAnsi="Arial"/>
          <w:sz w:val="14"/>
          <w:szCs w:val="14"/>
          <w:color w:val="0E1020"/>
        </w:rPr>
      </w:pPr>
      <w:r>
        <w:rPr>
          <w:rFonts w:ascii="Arial" w:cs="Arial" w:eastAsia="Arial" w:hAnsi="Arial"/>
          <w:sz w:val="14"/>
          <w:szCs w:val="14"/>
          <w:color w:val="0E1020"/>
        </w:rPr>
        <w:t>Periodically review and recommend to the Board proposed changes to the size, structure and operations of the Board and its committees.</w:t>
      </w:r>
    </w:p>
    <w:p>
      <w:pPr>
        <w:spacing w:after="0" w:line="38" w:lineRule="exact"/>
        <w:rPr>
          <w:rFonts w:ascii="Arial" w:cs="Arial" w:eastAsia="Arial" w:hAnsi="Arial"/>
          <w:sz w:val="14"/>
          <w:szCs w:val="14"/>
          <w:color w:val="0E1020"/>
        </w:rPr>
      </w:pPr>
    </w:p>
    <w:p>
      <w:pPr>
        <w:ind w:left="260" w:right="660" w:hanging="250"/>
        <w:spacing w:after="0" w:line="341" w:lineRule="auto"/>
        <w:tabs>
          <w:tab w:leader="none" w:pos="229" w:val="left"/>
        </w:tabs>
        <w:numPr>
          <w:ilvl w:val="0"/>
          <w:numId w:val="40"/>
        </w:numPr>
        <w:rPr>
          <w:rFonts w:ascii="Arial" w:cs="Arial" w:eastAsia="Arial" w:hAnsi="Arial"/>
          <w:sz w:val="14"/>
          <w:szCs w:val="14"/>
          <w:color w:val="0E1020"/>
        </w:rPr>
      </w:pPr>
      <w:r>
        <w:rPr>
          <w:rFonts w:ascii="Arial" w:cs="Arial" w:eastAsia="Arial" w:hAnsi="Arial"/>
          <w:sz w:val="14"/>
          <w:szCs w:val="14"/>
          <w:color w:val="0E1020"/>
        </w:rPr>
        <w:t>Periodically review and recommend to the Board proposed changes to DXC’s significant corporate governance documents.</w:t>
      </w:r>
    </w:p>
    <w:p>
      <w:pPr>
        <w:spacing w:after="0" w:line="25" w:lineRule="exact"/>
        <w:rPr>
          <w:rFonts w:ascii="Arial" w:cs="Arial" w:eastAsia="Arial" w:hAnsi="Arial"/>
          <w:sz w:val="14"/>
          <w:szCs w:val="14"/>
          <w:color w:val="0E1020"/>
        </w:rPr>
      </w:pPr>
    </w:p>
    <w:p>
      <w:pPr>
        <w:ind w:left="220" w:hanging="210"/>
        <w:spacing w:after="0"/>
        <w:tabs>
          <w:tab w:leader="none" w:pos="220" w:val="left"/>
        </w:tabs>
        <w:numPr>
          <w:ilvl w:val="0"/>
          <w:numId w:val="40"/>
        </w:numPr>
        <w:rPr>
          <w:rFonts w:ascii="Arial" w:cs="Arial" w:eastAsia="Arial" w:hAnsi="Arial"/>
          <w:sz w:val="14"/>
          <w:szCs w:val="14"/>
          <w:color w:val="0E1020"/>
        </w:rPr>
      </w:pPr>
      <w:r>
        <w:rPr>
          <w:rFonts w:ascii="Arial" w:cs="Arial" w:eastAsia="Arial" w:hAnsi="Arial"/>
          <w:sz w:val="14"/>
          <w:szCs w:val="14"/>
          <w:color w:val="0E1020"/>
        </w:rPr>
        <w:t>Review any “Interested Transactions” in accordance with the terms of DXC’s policy on related party transactions.</w:t>
      </w:r>
    </w:p>
    <w:p>
      <w:pPr>
        <w:spacing w:after="0" w:line="133" w:lineRule="exact"/>
        <w:rPr>
          <w:rFonts w:ascii="Arial" w:cs="Arial" w:eastAsia="Arial" w:hAnsi="Arial"/>
          <w:sz w:val="14"/>
          <w:szCs w:val="14"/>
          <w:color w:val="0E1020"/>
        </w:rPr>
      </w:pPr>
    </w:p>
    <w:p>
      <w:pPr>
        <w:ind w:left="260" w:right="460" w:hanging="250"/>
        <w:spacing w:after="0" w:line="341" w:lineRule="auto"/>
        <w:tabs>
          <w:tab w:leader="none" w:pos="229" w:val="left"/>
        </w:tabs>
        <w:numPr>
          <w:ilvl w:val="0"/>
          <w:numId w:val="40"/>
        </w:numPr>
        <w:rPr>
          <w:rFonts w:ascii="Arial" w:cs="Arial" w:eastAsia="Arial" w:hAnsi="Arial"/>
          <w:sz w:val="14"/>
          <w:szCs w:val="14"/>
          <w:color w:val="0E1020"/>
        </w:rPr>
      </w:pPr>
      <w:r>
        <w:rPr>
          <w:rFonts w:ascii="Arial" w:cs="Arial" w:eastAsia="Arial" w:hAnsi="Arial"/>
          <w:sz w:val="14"/>
          <w:szCs w:val="14"/>
          <w:color w:val="0E1020"/>
        </w:rPr>
        <w:t>Oversee the Company’s information security program, including cyber security, and the Company’s AI governance and risk management processes.</w:t>
      </w:r>
    </w:p>
    <w:p>
      <w:pPr>
        <w:spacing w:after="0" w:line="25" w:lineRule="exact"/>
        <w:rPr>
          <w:rFonts w:ascii="Arial" w:cs="Arial" w:eastAsia="Arial" w:hAnsi="Arial"/>
          <w:sz w:val="14"/>
          <w:szCs w:val="14"/>
          <w:color w:val="0E1020"/>
        </w:rPr>
      </w:pPr>
    </w:p>
    <w:p>
      <w:pPr>
        <w:ind w:left="220" w:hanging="210"/>
        <w:spacing w:after="0"/>
        <w:tabs>
          <w:tab w:leader="none" w:pos="220" w:val="left"/>
        </w:tabs>
        <w:numPr>
          <w:ilvl w:val="0"/>
          <w:numId w:val="40"/>
        </w:numPr>
        <w:rPr>
          <w:rFonts w:ascii="Arial" w:cs="Arial" w:eastAsia="Arial" w:hAnsi="Arial"/>
          <w:sz w:val="14"/>
          <w:szCs w:val="14"/>
          <w:color w:val="0E1020"/>
        </w:rPr>
      </w:pPr>
      <w:r>
        <w:rPr>
          <w:rFonts w:ascii="Arial" w:cs="Arial" w:eastAsia="Arial" w:hAnsi="Arial"/>
          <w:sz w:val="14"/>
          <w:szCs w:val="14"/>
          <w:color w:val="0E1020"/>
        </w:rPr>
        <w:t>Oversee the Company’s ESG program and climate risks.</w:t>
      </w:r>
    </w:p>
    <w:p>
      <w:pPr>
        <w:spacing w:after="0" w:line="200" w:lineRule="exact"/>
        <w:rPr>
          <w:sz w:val="20"/>
          <w:szCs w:val="20"/>
          <w:color w:val="auto"/>
        </w:rPr>
      </w:pPr>
    </w:p>
    <w:p>
      <w:pPr>
        <w:sectPr>
          <w:pgSz w:w="11900" w:h="16838" w:orient="portrait"/>
          <w:cols w:equalWidth="0" w:num="2">
            <w:col w:w="2620" w:space="720"/>
            <w:col w:w="7880"/>
          </w:cols>
          <w:pgMar w:left="320" w:top="22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4320"/>
        <w:spacing w:after="0" w:line="478" w:lineRule="auto"/>
        <w:rPr>
          <w:sz w:val="20"/>
          <w:szCs w:val="20"/>
          <w:color w:val="auto"/>
        </w:rPr>
      </w:pPr>
      <w:r>
        <w:rPr>
          <w:rFonts w:ascii="Arial" w:cs="Arial" w:eastAsia="Arial" w:hAnsi="Arial"/>
          <w:sz w:val="14"/>
          <w:szCs w:val="14"/>
          <w:i w:val="1"/>
          <w:iCs w:val="1"/>
          <w:color w:val="0E1020"/>
        </w:rPr>
        <w:t>*Expected to be effective immediately after the Annual Meeting until the 2027 annual meeting of stockholders **Mr. Racine will not stand for re-election and his term will end at the conclusion of the Annual Meeting</w:t>
      </w: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44</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type w:val="continuous"/>
        </w:sectPr>
      </w:pPr>
    </w:p>
    <w:bookmarkStart w:id="52" w:name="page53"/>
    <w:bookmarkEnd w:id="52"/>
    <w:p>
      <w:pPr>
        <w:ind w:left="20"/>
        <w:spacing w:after="0"/>
        <w:tabs>
          <w:tab w:leader="none" w:pos="976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0E1020"/>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Environmental, Social and Corporate Governance</w:t>
      </w:r>
    </w:p>
    <w:p>
      <w:pPr>
        <w:spacing w:after="0" w:line="135" w:lineRule="exact"/>
        <w:rPr>
          <w:sz w:val="20"/>
          <w:szCs w:val="20"/>
          <w:color w:val="auto"/>
        </w:rPr>
      </w:pPr>
    </w:p>
    <w:p>
      <w:pPr>
        <w:ind w:right="100"/>
        <w:spacing w:after="0" w:line="318" w:lineRule="auto"/>
        <w:rPr>
          <w:sz w:val="20"/>
          <w:szCs w:val="20"/>
          <w:color w:val="auto"/>
        </w:rPr>
      </w:pPr>
      <w:r>
        <w:rPr>
          <w:rFonts w:ascii="Arial" w:cs="Arial" w:eastAsia="Arial" w:hAnsi="Arial"/>
          <w:sz w:val="16"/>
          <w:szCs w:val="16"/>
          <w:color w:val="0E1020"/>
        </w:rPr>
        <w:t>With a focus on our customers, colleagues, and communities, DXC is committed to building sustainable and responsible business practices that create value for our stakeholders and contribute to a better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3106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3590" cy="1310640"/>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0E1020"/>
        </w:rPr>
        <w:t>ENVIRONMENTAL</w:t>
      </w:r>
    </w:p>
    <w:p>
      <w:pPr>
        <w:spacing w:after="0" w:line="91" w:lineRule="exact"/>
        <w:rPr>
          <w:sz w:val="20"/>
          <w:szCs w:val="20"/>
          <w:color w:val="auto"/>
        </w:rPr>
      </w:pPr>
    </w:p>
    <w:p>
      <w:pPr>
        <w:ind w:left="260"/>
        <w:spacing w:after="0" w:line="300" w:lineRule="auto"/>
        <w:rPr>
          <w:sz w:val="20"/>
          <w:szCs w:val="20"/>
          <w:color w:val="auto"/>
        </w:rPr>
      </w:pPr>
      <w:r>
        <w:rPr>
          <w:rFonts w:ascii="Arial" w:cs="Arial" w:eastAsia="Arial" w:hAnsi="Arial"/>
          <w:sz w:val="14"/>
          <w:szCs w:val="14"/>
          <w:color w:val="0E1020"/>
        </w:rPr>
        <w:t>Advancing the sustainability of our operations and IT services while assisting our customers to become more sustainable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E1020"/>
        </w:rPr>
        <w:t>SOCIAL</w:t>
      </w:r>
    </w:p>
    <w:p>
      <w:pPr>
        <w:spacing w:after="0" w:line="91" w:lineRule="exact"/>
        <w:rPr>
          <w:sz w:val="20"/>
          <w:szCs w:val="20"/>
          <w:color w:val="auto"/>
        </w:rPr>
      </w:pPr>
    </w:p>
    <w:p>
      <w:pPr>
        <w:spacing w:after="0" w:line="300" w:lineRule="auto"/>
        <w:rPr>
          <w:sz w:val="20"/>
          <w:szCs w:val="20"/>
          <w:color w:val="auto"/>
        </w:rPr>
      </w:pPr>
      <w:r>
        <w:rPr>
          <w:rFonts w:ascii="Arial" w:cs="Arial" w:eastAsia="Arial" w:hAnsi="Arial"/>
          <w:sz w:val="14"/>
          <w:szCs w:val="14"/>
          <w:color w:val="0E1020"/>
        </w:rPr>
        <w:t>Building an inclusive, values-based, and people-first culture based on equal opportunity, employee perspectives, and community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E1020"/>
        </w:rPr>
        <w:t>GOVERNANCE</w:t>
      </w:r>
    </w:p>
    <w:p>
      <w:pPr>
        <w:spacing w:after="0" w:line="91" w:lineRule="exact"/>
        <w:rPr>
          <w:sz w:val="20"/>
          <w:szCs w:val="20"/>
          <w:color w:val="auto"/>
        </w:rPr>
      </w:pPr>
    </w:p>
    <w:p>
      <w:pPr>
        <w:ind w:right="520"/>
        <w:spacing w:after="0" w:line="300" w:lineRule="auto"/>
        <w:rPr>
          <w:sz w:val="20"/>
          <w:szCs w:val="20"/>
          <w:color w:val="auto"/>
        </w:rPr>
      </w:pPr>
      <w:r>
        <w:rPr>
          <w:rFonts w:ascii="Arial" w:cs="Arial" w:eastAsia="Arial" w:hAnsi="Arial"/>
          <w:sz w:val="14"/>
          <w:szCs w:val="14"/>
          <w:color w:val="0E1020"/>
        </w:rPr>
        <w:t>Instilling trust and garnering respect among the stakeholders we serve through transparent leadership, to drive sustainable growth</w:t>
      </w:r>
    </w:p>
    <w:p>
      <w:pPr>
        <w:spacing w:after="0" w:line="200" w:lineRule="exact"/>
        <w:rPr>
          <w:sz w:val="20"/>
          <w:szCs w:val="20"/>
          <w:color w:val="auto"/>
        </w:rPr>
      </w:pPr>
    </w:p>
    <w:p>
      <w:pPr>
        <w:sectPr>
          <w:pgSz w:w="11900" w:h="16838" w:orient="portrait"/>
          <w:cols w:equalWidth="0" w:num="3">
            <w:col w:w="3400" w:space="580"/>
            <w:col w:w="3140" w:space="620"/>
            <w:col w:w="3500"/>
          </w:cols>
          <w:pgMar w:left="320" w:top="224" w:right="339" w:bottom="1440" w:gutter="0" w:footer="0" w:header="0"/>
          <w:type w:val="continuous"/>
        </w:sect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ESG Strategy and Targets</w:t>
      </w:r>
    </w:p>
    <w:p>
      <w:pPr>
        <w:spacing w:after="0" w:line="133" w:lineRule="exact"/>
        <w:rPr>
          <w:sz w:val="20"/>
          <w:szCs w:val="20"/>
          <w:color w:val="auto"/>
        </w:rPr>
      </w:pPr>
    </w:p>
    <w:p>
      <w:pPr>
        <w:jc w:val="both"/>
        <w:ind w:right="520"/>
        <w:spacing w:after="0" w:line="290" w:lineRule="auto"/>
        <w:rPr>
          <w:sz w:val="20"/>
          <w:szCs w:val="20"/>
          <w:color w:val="auto"/>
        </w:rPr>
      </w:pPr>
      <w:r>
        <w:rPr>
          <w:rFonts w:ascii="Arial" w:cs="Arial" w:eastAsia="Arial" w:hAnsi="Arial"/>
          <w:sz w:val="16"/>
          <w:szCs w:val="16"/>
          <w:color w:val="0E1020"/>
        </w:rPr>
        <w:t>As a responsible corporate citizen with a commitment to environmental sustainability, we set ambitious carbon-reduction goals, and are working toward circular-economy processes and climate impact mitigation. Our sustainability approach is targeted to 1) advance the sustainability of our operations; 2) advance the sustainability of our IT services; and 3) use our technologies and capabilities to help our customers become more sustainable.</w:t>
      </w:r>
    </w:p>
    <w:p>
      <w:pPr>
        <w:spacing w:after="0" w:line="44"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0E1020"/>
        </w:rPr>
        <w:t>We strive to reduce our impact on the environment and improve resource efficiency in the areas of energy consumption, data center management, and travel and transportation. Our conservation efforts are supported in part by our adoption of a flexible work model, which enables our workforce to shift seamlessly between working in a DXC office and working remotely, helping us reduce office space and business travel, in turn reducing our energy consumption, greenhouse gas emissions and impact on the environment. While the flexible work model mainly helps reduce the size of our office footprint, we are also pursuing efficiency and rationalization programs for data centers to further reduce energy consumption.</w:t>
      </w:r>
    </w:p>
    <w:p>
      <w:pPr>
        <w:spacing w:after="0" w:line="66"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0E1020"/>
        </w:rPr>
        <w:t>DXC also partners with customers to help them achieve their own climate-related goals. We offer products and services that can help our customers achieve their sustainability objectives, delivering climate-related benefits far greater than what we could achieve alone through our internal carbon-reduction efforts. Offerings such as hardware and software asset management, cloud migration services, and data-driven sustainability services provide the data insights and IT evolution to directly reduce carbon emissions for our customers.</w:t>
      </w:r>
    </w:p>
    <w:p>
      <w:pPr>
        <w:spacing w:after="0" w:line="66" w:lineRule="exact"/>
        <w:rPr>
          <w:sz w:val="20"/>
          <w:szCs w:val="20"/>
          <w:color w:val="auto"/>
        </w:rPr>
      </w:pPr>
    </w:p>
    <w:p>
      <w:pPr>
        <w:ind w:right="520"/>
        <w:spacing w:after="0" w:line="300" w:lineRule="auto"/>
        <w:rPr>
          <w:sz w:val="20"/>
          <w:szCs w:val="20"/>
          <w:color w:val="auto"/>
        </w:rPr>
      </w:pPr>
      <w:r>
        <w:rPr>
          <w:rFonts w:ascii="Arial" w:cs="Arial" w:eastAsia="Arial" w:hAnsi="Arial"/>
          <w:sz w:val="16"/>
          <w:szCs w:val="16"/>
          <w:color w:val="0E1020"/>
        </w:rPr>
        <w:t>The information in this section is based in part on data provided to us by our customers, and we do not, and do not intend to, independently verify such information or claims.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Environmental</w:t>
      </w:r>
    </w:p>
    <w:p>
      <w:pPr>
        <w:spacing w:after="0" w:line="84" w:lineRule="exact"/>
        <w:rPr>
          <w:sz w:val="20"/>
          <w:szCs w:val="20"/>
          <w:color w:val="auto"/>
        </w:rPr>
      </w:pPr>
    </w:p>
    <w:p>
      <w:pPr>
        <w:jc w:val="both"/>
        <w:ind w:right="80"/>
        <w:spacing w:after="0" w:line="290" w:lineRule="auto"/>
        <w:rPr>
          <w:sz w:val="20"/>
          <w:szCs w:val="20"/>
          <w:color w:val="auto"/>
        </w:rPr>
      </w:pPr>
      <w:r>
        <w:rPr>
          <w:rFonts w:ascii="Arial" w:cs="Arial" w:eastAsia="Arial" w:hAnsi="Arial"/>
          <w:sz w:val="16"/>
          <w:szCs w:val="16"/>
          <w:color w:val="0E1020"/>
        </w:rPr>
        <w:t>In 2023, DXC set near-term company-wide emission reduction goals which have been validated by the Science Based Targets initiative (SBTi), to reduce our absolute Scope 1 and 2 emissions by 65% by 2030 against a 2019 baseline and to have 75% of suppliers, as measured by spend covering purchased goods and services and capital goods, have their own science-based targets by fiscal year 2027.</w:t>
      </w:r>
    </w:p>
    <w:p>
      <w:pPr>
        <w:spacing w:after="0" w:line="57"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0E1020"/>
        </w:rPr>
        <w:t>As of fiscal 2025, DXC has reduced its absolute Scope 1 and 2 emissions by 77% from a fiscal 2019 baseline, surpassing our 2030 target five years ahead of schedule.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0E1020"/>
        </w:rPr>
        <w:t>Achievements include: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20" w:type="dxa"/>
            <w:vAlign w:val="bottom"/>
            <w:shd w:val="clear" w:color="auto" w:fill="F6F3F0"/>
          </w:tcPr>
          <w:p>
            <w:pPr>
              <w:spacing w:after="0"/>
              <w:rPr>
                <w:sz w:val="23"/>
                <w:szCs w:val="23"/>
                <w:color w:val="auto"/>
              </w:rPr>
            </w:pPr>
          </w:p>
        </w:tc>
        <w:tc>
          <w:tcPr>
            <w:tcW w:w="2340" w:type="dxa"/>
            <w:vAlign w:val="bottom"/>
            <w:vMerge w:val="restart"/>
            <w:shd w:val="clear" w:color="auto" w:fill="F6F3F0"/>
          </w:tcPr>
          <w:p>
            <w:pPr>
              <w:ind w:left="20"/>
              <w:spacing w:after="0"/>
              <w:rPr>
                <w:sz w:val="20"/>
                <w:szCs w:val="20"/>
                <w:color w:val="auto"/>
              </w:rPr>
            </w:pPr>
            <w:r>
              <w:rPr>
                <w:rFonts w:ascii="Times New Roman" w:cs="Times New Roman" w:eastAsia="Times New Roman" w:hAnsi="Times New Roman"/>
                <w:sz w:val="32"/>
                <w:szCs w:val="32"/>
                <w:b w:val="1"/>
                <w:bCs w:val="1"/>
                <w:color w:val="0E1020"/>
              </w:rPr>
              <w:t>77%</w:t>
            </w:r>
          </w:p>
        </w:tc>
        <w:tc>
          <w:tcPr>
            <w:tcW w:w="260" w:type="dxa"/>
            <w:vAlign w:val="bottom"/>
            <w:tcBorders>
              <w:right w:val="single" w:sz="8" w:color="F6F3F0"/>
            </w:tcBorders>
            <w:shd w:val="clear" w:color="auto" w:fill="F6F3F0"/>
          </w:tcPr>
          <w:p>
            <w:pPr>
              <w:spacing w:after="0"/>
              <w:rPr>
                <w:sz w:val="23"/>
                <w:szCs w:val="23"/>
                <w:color w:val="auto"/>
              </w:rPr>
            </w:pPr>
          </w:p>
        </w:tc>
        <w:tc>
          <w:tcPr>
            <w:tcW w:w="2800" w:type="dxa"/>
            <w:vAlign w:val="bottom"/>
            <w:vMerge w:val="restart"/>
            <w:shd w:val="clear" w:color="auto" w:fill="F6F3F0"/>
          </w:tcPr>
          <w:p>
            <w:pPr>
              <w:ind w:left="240"/>
              <w:spacing w:after="0"/>
              <w:rPr>
                <w:sz w:val="20"/>
                <w:szCs w:val="20"/>
                <w:color w:val="auto"/>
              </w:rPr>
            </w:pPr>
            <w:r>
              <w:rPr>
                <w:rFonts w:ascii="Times New Roman" w:cs="Times New Roman" w:eastAsia="Times New Roman" w:hAnsi="Times New Roman"/>
                <w:sz w:val="32"/>
                <w:szCs w:val="32"/>
                <w:b w:val="1"/>
                <w:bCs w:val="1"/>
                <w:color w:val="0E1020"/>
              </w:rPr>
              <w:t>69%</w:t>
            </w:r>
          </w:p>
        </w:tc>
        <w:tc>
          <w:tcPr>
            <w:tcW w:w="20" w:type="dxa"/>
            <w:vAlign w:val="bottom"/>
            <w:shd w:val="clear" w:color="auto" w:fill="F6F3F0"/>
          </w:tcPr>
          <w:p>
            <w:pPr>
              <w:spacing w:after="0"/>
              <w:rPr>
                <w:sz w:val="23"/>
                <w:szCs w:val="23"/>
                <w:color w:val="auto"/>
              </w:rPr>
            </w:pPr>
          </w:p>
        </w:tc>
        <w:tc>
          <w:tcPr>
            <w:tcW w:w="2800" w:type="dxa"/>
            <w:vAlign w:val="bottom"/>
            <w:vMerge w:val="restart"/>
            <w:shd w:val="clear" w:color="auto" w:fill="F6F3F0"/>
          </w:tcPr>
          <w:p>
            <w:pPr>
              <w:ind w:left="220"/>
              <w:spacing w:after="0"/>
              <w:rPr>
                <w:sz w:val="20"/>
                <w:szCs w:val="20"/>
                <w:color w:val="auto"/>
              </w:rPr>
            </w:pPr>
            <w:r>
              <w:rPr>
                <w:rFonts w:ascii="Times New Roman" w:cs="Times New Roman" w:eastAsia="Times New Roman" w:hAnsi="Times New Roman"/>
                <w:sz w:val="32"/>
                <w:szCs w:val="32"/>
                <w:b w:val="1"/>
                <w:bCs w:val="1"/>
                <w:color w:val="0E1020"/>
              </w:rPr>
              <w:t>62%</w:t>
            </w:r>
          </w:p>
        </w:tc>
        <w:tc>
          <w:tcPr>
            <w:tcW w:w="20" w:type="dxa"/>
            <w:vAlign w:val="bottom"/>
            <w:shd w:val="clear" w:color="auto" w:fill="F6F3F0"/>
          </w:tcPr>
          <w:p>
            <w:pPr>
              <w:spacing w:after="0"/>
              <w:rPr>
                <w:sz w:val="23"/>
                <w:szCs w:val="23"/>
                <w:color w:val="auto"/>
              </w:rPr>
            </w:pPr>
          </w:p>
        </w:tc>
        <w:tc>
          <w:tcPr>
            <w:tcW w:w="2780" w:type="dxa"/>
            <w:vAlign w:val="bottom"/>
            <w:vMerge w:val="restart"/>
            <w:shd w:val="clear" w:color="auto" w:fill="F6F3F0"/>
          </w:tcPr>
          <w:p>
            <w:pPr>
              <w:ind w:left="240"/>
              <w:spacing w:after="0"/>
              <w:rPr>
                <w:sz w:val="20"/>
                <w:szCs w:val="20"/>
                <w:color w:val="auto"/>
              </w:rPr>
            </w:pPr>
            <w:r>
              <w:rPr>
                <w:rFonts w:ascii="Times New Roman" w:cs="Times New Roman" w:eastAsia="Times New Roman" w:hAnsi="Times New Roman"/>
                <w:sz w:val="32"/>
                <w:szCs w:val="32"/>
                <w:b w:val="1"/>
                <w:bCs w:val="1"/>
                <w:color w:val="0E1020"/>
              </w:rPr>
              <w:t>63%</w:t>
            </w:r>
          </w:p>
        </w:tc>
        <w:tc>
          <w:tcPr>
            <w:tcW w:w="0" w:type="dxa"/>
            <w:vAlign w:val="bottom"/>
          </w:tcPr>
          <w:p>
            <w:pPr>
              <w:spacing w:after="0"/>
              <w:rPr>
                <w:sz w:val="1"/>
                <w:szCs w:val="1"/>
                <w:color w:val="auto"/>
              </w:rPr>
            </w:pPr>
          </w:p>
        </w:tc>
      </w:tr>
      <w:tr>
        <w:trPr>
          <w:trHeight w:val="406"/>
        </w:trPr>
        <w:tc>
          <w:tcPr>
            <w:tcW w:w="220" w:type="dxa"/>
            <w:vAlign w:val="bottom"/>
            <w:shd w:val="clear" w:color="auto" w:fill="F6F3F0"/>
          </w:tcPr>
          <w:p>
            <w:pPr>
              <w:spacing w:after="0"/>
              <w:rPr>
                <w:sz w:val="24"/>
                <w:szCs w:val="24"/>
                <w:color w:val="auto"/>
              </w:rPr>
            </w:pPr>
          </w:p>
        </w:tc>
        <w:tc>
          <w:tcPr>
            <w:tcW w:w="2340" w:type="dxa"/>
            <w:vAlign w:val="bottom"/>
            <w:vMerge w:val="continue"/>
            <w:shd w:val="clear" w:color="auto" w:fill="F6F3F0"/>
          </w:tcPr>
          <w:p>
            <w:pPr>
              <w:spacing w:after="0"/>
              <w:rPr>
                <w:sz w:val="24"/>
                <w:szCs w:val="24"/>
                <w:color w:val="auto"/>
              </w:rPr>
            </w:pPr>
          </w:p>
        </w:tc>
        <w:tc>
          <w:tcPr>
            <w:tcW w:w="260" w:type="dxa"/>
            <w:vAlign w:val="bottom"/>
            <w:tcBorders>
              <w:right w:val="single" w:sz="8" w:color="CFCFD2"/>
            </w:tcBorders>
            <w:shd w:val="clear" w:color="auto" w:fill="F6F3F0"/>
          </w:tcPr>
          <w:p>
            <w:pPr>
              <w:spacing w:after="0"/>
              <w:rPr>
                <w:sz w:val="24"/>
                <w:szCs w:val="24"/>
                <w:color w:val="auto"/>
              </w:rPr>
            </w:pPr>
          </w:p>
        </w:tc>
        <w:tc>
          <w:tcPr>
            <w:tcW w:w="2800" w:type="dxa"/>
            <w:vAlign w:val="bottom"/>
            <w:vMerge w:val="continue"/>
            <w:shd w:val="clear" w:color="auto" w:fill="F6F3F0"/>
          </w:tcPr>
          <w:p>
            <w:pPr>
              <w:spacing w:after="0"/>
              <w:rPr>
                <w:sz w:val="24"/>
                <w:szCs w:val="24"/>
                <w:color w:val="auto"/>
              </w:rPr>
            </w:pPr>
          </w:p>
        </w:tc>
        <w:tc>
          <w:tcPr>
            <w:tcW w:w="20" w:type="dxa"/>
            <w:vAlign w:val="bottom"/>
            <w:shd w:val="clear" w:color="auto" w:fill="CFCFD2"/>
          </w:tcPr>
          <w:p>
            <w:pPr>
              <w:spacing w:after="0"/>
              <w:rPr>
                <w:sz w:val="24"/>
                <w:szCs w:val="24"/>
                <w:color w:val="auto"/>
              </w:rPr>
            </w:pPr>
          </w:p>
        </w:tc>
        <w:tc>
          <w:tcPr>
            <w:tcW w:w="2800" w:type="dxa"/>
            <w:vAlign w:val="bottom"/>
            <w:vMerge w:val="continue"/>
            <w:shd w:val="clear" w:color="auto" w:fill="F6F3F0"/>
          </w:tcPr>
          <w:p>
            <w:pPr>
              <w:spacing w:after="0"/>
              <w:rPr>
                <w:sz w:val="24"/>
                <w:szCs w:val="24"/>
                <w:color w:val="auto"/>
              </w:rPr>
            </w:pPr>
          </w:p>
        </w:tc>
        <w:tc>
          <w:tcPr>
            <w:tcW w:w="20" w:type="dxa"/>
            <w:vAlign w:val="bottom"/>
            <w:shd w:val="clear" w:color="auto" w:fill="CFCFD2"/>
          </w:tcPr>
          <w:p>
            <w:pPr>
              <w:spacing w:after="0"/>
              <w:rPr>
                <w:sz w:val="24"/>
                <w:szCs w:val="24"/>
                <w:color w:val="auto"/>
              </w:rPr>
            </w:pPr>
          </w:p>
        </w:tc>
        <w:tc>
          <w:tcPr>
            <w:tcW w:w="2780" w:type="dxa"/>
            <w:vAlign w:val="bottom"/>
            <w:vMerge w:val="continue"/>
            <w:shd w:val="clear" w:color="auto" w:fill="F6F3F0"/>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20" w:type="dxa"/>
            <w:vAlign w:val="bottom"/>
            <w:shd w:val="clear" w:color="auto" w:fill="F6F3F0"/>
          </w:tcPr>
          <w:p>
            <w:pPr>
              <w:spacing w:after="0"/>
              <w:rPr>
                <w:sz w:val="15"/>
                <w:szCs w:val="15"/>
                <w:color w:val="auto"/>
              </w:rPr>
            </w:pPr>
          </w:p>
        </w:tc>
        <w:tc>
          <w:tcPr>
            <w:tcW w:w="2340" w:type="dxa"/>
            <w:vAlign w:val="bottom"/>
            <w:shd w:val="clear" w:color="auto" w:fill="F6F3F0"/>
          </w:tcPr>
          <w:p>
            <w:pPr>
              <w:ind w:left="20"/>
              <w:spacing w:after="0"/>
              <w:rPr>
                <w:sz w:val="20"/>
                <w:szCs w:val="20"/>
                <w:color w:val="auto"/>
              </w:rPr>
            </w:pPr>
            <w:r>
              <w:rPr>
                <w:rFonts w:ascii="Arial" w:cs="Arial" w:eastAsia="Arial" w:hAnsi="Arial"/>
                <w:sz w:val="14"/>
                <w:szCs w:val="14"/>
                <w:b w:val="1"/>
                <w:bCs w:val="1"/>
                <w:color w:val="004AAC"/>
              </w:rPr>
              <w:t>reduction in Scope 1 &amp; 2</w:t>
            </w:r>
          </w:p>
        </w:tc>
        <w:tc>
          <w:tcPr>
            <w:tcW w:w="260" w:type="dxa"/>
            <w:vAlign w:val="bottom"/>
            <w:tcBorders>
              <w:right w:val="single" w:sz="8" w:color="CFCFD2"/>
            </w:tcBorders>
            <w:shd w:val="clear" w:color="auto" w:fill="F6F3F0"/>
          </w:tcPr>
          <w:p>
            <w:pPr>
              <w:spacing w:after="0"/>
              <w:rPr>
                <w:sz w:val="15"/>
                <w:szCs w:val="15"/>
                <w:color w:val="auto"/>
              </w:rPr>
            </w:pPr>
          </w:p>
        </w:tc>
        <w:tc>
          <w:tcPr>
            <w:tcW w:w="2800" w:type="dxa"/>
            <w:vAlign w:val="bottom"/>
            <w:shd w:val="clear" w:color="auto" w:fill="F6F3F0"/>
          </w:tcPr>
          <w:p>
            <w:pPr>
              <w:ind w:left="240"/>
              <w:spacing w:after="0"/>
              <w:rPr>
                <w:sz w:val="20"/>
                <w:szCs w:val="20"/>
                <w:color w:val="auto"/>
              </w:rPr>
            </w:pPr>
            <w:r>
              <w:rPr>
                <w:rFonts w:ascii="Arial" w:cs="Arial" w:eastAsia="Arial" w:hAnsi="Arial"/>
                <w:sz w:val="14"/>
                <w:szCs w:val="14"/>
                <w:b w:val="1"/>
                <w:bCs w:val="1"/>
                <w:color w:val="004AAC"/>
              </w:rPr>
              <w:t>reduction in energy consumption</w:t>
            </w:r>
          </w:p>
        </w:tc>
        <w:tc>
          <w:tcPr>
            <w:tcW w:w="20" w:type="dxa"/>
            <w:vAlign w:val="bottom"/>
            <w:shd w:val="clear" w:color="auto" w:fill="CFCFD2"/>
          </w:tcPr>
          <w:p>
            <w:pPr>
              <w:spacing w:after="0"/>
              <w:rPr>
                <w:sz w:val="15"/>
                <w:szCs w:val="15"/>
                <w:color w:val="auto"/>
              </w:rPr>
            </w:pPr>
          </w:p>
        </w:tc>
        <w:tc>
          <w:tcPr>
            <w:tcW w:w="2800" w:type="dxa"/>
            <w:vAlign w:val="bottom"/>
            <w:shd w:val="clear" w:color="auto" w:fill="F6F3F0"/>
          </w:tcPr>
          <w:p>
            <w:pPr>
              <w:ind w:left="220"/>
              <w:spacing w:after="0"/>
              <w:rPr>
                <w:sz w:val="20"/>
                <w:szCs w:val="20"/>
                <w:color w:val="auto"/>
              </w:rPr>
            </w:pPr>
            <w:r>
              <w:rPr>
                <w:rFonts w:ascii="Arial" w:cs="Arial" w:eastAsia="Arial" w:hAnsi="Arial"/>
                <w:sz w:val="14"/>
                <w:szCs w:val="14"/>
                <w:b w:val="1"/>
                <w:bCs w:val="1"/>
                <w:color w:val="004AAC"/>
              </w:rPr>
              <w:t>of electricity procured from</w:t>
            </w:r>
          </w:p>
        </w:tc>
        <w:tc>
          <w:tcPr>
            <w:tcW w:w="20" w:type="dxa"/>
            <w:vAlign w:val="bottom"/>
            <w:shd w:val="clear" w:color="auto" w:fill="CFCFD2"/>
          </w:tcPr>
          <w:p>
            <w:pPr>
              <w:spacing w:after="0"/>
              <w:rPr>
                <w:sz w:val="15"/>
                <w:szCs w:val="15"/>
                <w:color w:val="auto"/>
              </w:rPr>
            </w:pPr>
          </w:p>
        </w:tc>
        <w:tc>
          <w:tcPr>
            <w:tcW w:w="2780" w:type="dxa"/>
            <w:vAlign w:val="bottom"/>
            <w:shd w:val="clear" w:color="auto" w:fill="F6F3F0"/>
          </w:tcPr>
          <w:p>
            <w:pPr>
              <w:ind w:left="240"/>
              <w:spacing w:after="0"/>
              <w:rPr>
                <w:sz w:val="20"/>
                <w:szCs w:val="20"/>
                <w:color w:val="auto"/>
              </w:rPr>
            </w:pPr>
            <w:r>
              <w:rPr>
                <w:rFonts w:ascii="Arial" w:cs="Arial" w:eastAsia="Arial" w:hAnsi="Arial"/>
                <w:sz w:val="14"/>
                <w:szCs w:val="14"/>
                <w:b w:val="1"/>
                <w:bCs w:val="1"/>
                <w:color w:val="004AAC"/>
              </w:rPr>
              <w:t>of our suppliers by spend have</w:t>
            </w:r>
          </w:p>
        </w:tc>
        <w:tc>
          <w:tcPr>
            <w:tcW w:w="0" w:type="dxa"/>
            <w:vAlign w:val="bottom"/>
          </w:tcPr>
          <w:p>
            <w:pPr>
              <w:spacing w:after="0"/>
              <w:rPr>
                <w:sz w:val="1"/>
                <w:szCs w:val="1"/>
                <w:color w:val="auto"/>
              </w:rPr>
            </w:pPr>
          </w:p>
        </w:tc>
      </w:tr>
      <w:tr>
        <w:trPr>
          <w:trHeight w:val="174"/>
        </w:trPr>
        <w:tc>
          <w:tcPr>
            <w:tcW w:w="220" w:type="dxa"/>
            <w:vAlign w:val="bottom"/>
            <w:shd w:val="clear" w:color="auto" w:fill="F6F3F0"/>
          </w:tcPr>
          <w:p>
            <w:pPr>
              <w:spacing w:after="0"/>
              <w:rPr>
                <w:sz w:val="15"/>
                <w:szCs w:val="15"/>
                <w:color w:val="auto"/>
              </w:rPr>
            </w:pPr>
          </w:p>
        </w:tc>
        <w:tc>
          <w:tcPr>
            <w:tcW w:w="2340" w:type="dxa"/>
            <w:vAlign w:val="bottom"/>
            <w:shd w:val="clear" w:color="auto" w:fill="F6F3F0"/>
          </w:tcPr>
          <w:p>
            <w:pPr>
              <w:ind w:left="20"/>
              <w:spacing w:after="0"/>
              <w:rPr>
                <w:sz w:val="20"/>
                <w:szCs w:val="20"/>
                <w:color w:val="auto"/>
              </w:rPr>
            </w:pPr>
            <w:r>
              <w:rPr>
                <w:rFonts w:ascii="Arial" w:cs="Arial" w:eastAsia="Arial" w:hAnsi="Arial"/>
                <w:sz w:val="14"/>
                <w:szCs w:val="14"/>
                <w:b w:val="1"/>
                <w:bCs w:val="1"/>
                <w:color w:val="004AAC"/>
              </w:rPr>
              <w:t>greenhouse gas emissions</w:t>
            </w:r>
          </w:p>
        </w:tc>
        <w:tc>
          <w:tcPr>
            <w:tcW w:w="260" w:type="dxa"/>
            <w:vAlign w:val="bottom"/>
            <w:tcBorders>
              <w:right w:val="single" w:sz="8" w:color="CFCFD2"/>
            </w:tcBorders>
            <w:shd w:val="clear" w:color="auto" w:fill="F6F3F0"/>
          </w:tcPr>
          <w:p>
            <w:pPr>
              <w:spacing w:after="0"/>
              <w:rPr>
                <w:sz w:val="15"/>
                <w:szCs w:val="15"/>
                <w:color w:val="auto"/>
              </w:rPr>
            </w:pPr>
          </w:p>
        </w:tc>
        <w:tc>
          <w:tcPr>
            <w:tcW w:w="2800" w:type="dxa"/>
            <w:vAlign w:val="bottom"/>
            <w:shd w:val="clear" w:color="auto" w:fill="F6F3F0"/>
          </w:tcPr>
          <w:p>
            <w:pPr>
              <w:ind w:left="240"/>
              <w:spacing w:after="0"/>
              <w:rPr>
                <w:sz w:val="20"/>
                <w:szCs w:val="20"/>
                <w:color w:val="auto"/>
              </w:rPr>
            </w:pPr>
            <w:r>
              <w:rPr>
                <w:rFonts w:ascii="Arial" w:cs="Arial" w:eastAsia="Arial" w:hAnsi="Arial"/>
                <w:sz w:val="14"/>
                <w:szCs w:val="14"/>
                <w:b w:val="1"/>
                <w:bCs w:val="1"/>
                <w:color w:val="004AAC"/>
              </w:rPr>
              <w:t>through fiscal 2025 from a fiscal</w:t>
            </w:r>
          </w:p>
        </w:tc>
        <w:tc>
          <w:tcPr>
            <w:tcW w:w="20" w:type="dxa"/>
            <w:vAlign w:val="bottom"/>
            <w:shd w:val="clear" w:color="auto" w:fill="CFCFD2"/>
          </w:tcPr>
          <w:p>
            <w:pPr>
              <w:spacing w:after="0"/>
              <w:rPr>
                <w:sz w:val="15"/>
                <w:szCs w:val="15"/>
                <w:color w:val="auto"/>
              </w:rPr>
            </w:pPr>
          </w:p>
        </w:tc>
        <w:tc>
          <w:tcPr>
            <w:tcW w:w="2800" w:type="dxa"/>
            <w:vAlign w:val="bottom"/>
            <w:shd w:val="clear" w:color="auto" w:fill="F6F3F0"/>
          </w:tcPr>
          <w:p>
            <w:pPr>
              <w:ind w:left="220"/>
              <w:spacing w:after="0"/>
              <w:rPr>
                <w:sz w:val="20"/>
                <w:szCs w:val="20"/>
                <w:color w:val="auto"/>
              </w:rPr>
            </w:pPr>
            <w:r>
              <w:rPr>
                <w:rFonts w:ascii="Arial" w:cs="Arial" w:eastAsia="Arial" w:hAnsi="Arial"/>
                <w:sz w:val="14"/>
                <w:szCs w:val="14"/>
                <w:b w:val="1"/>
                <w:bCs w:val="1"/>
                <w:color w:val="004AAC"/>
              </w:rPr>
              <w:t>renewable sources</w:t>
            </w:r>
          </w:p>
        </w:tc>
        <w:tc>
          <w:tcPr>
            <w:tcW w:w="20" w:type="dxa"/>
            <w:vAlign w:val="bottom"/>
            <w:shd w:val="clear" w:color="auto" w:fill="CFCFD2"/>
          </w:tcPr>
          <w:p>
            <w:pPr>
              <w:spacing w:after="0"/>
              <w:rPr>
                <w:sz w:val="15"/>
                <w:szCs w:val="15"/>
                <w:color w:val="auto"/>
              </w:rPr>
            </w:pPr>
          </w:p>
        </w:tc>
        <w:tc>
          <w:tcPr>
            <w:tcW w:w="2780" w:type="dxa"/>
            <w:vAlign w:val="bottom"/>
            <w:shd w:val="clear" w:color="auto" w:fill="F6F3F0"/>
          </w:tcPr>
          <w:p>
            <w:pPr>
              <w:ind w:left="240"/>
              <w:spacing w:after="0"/>
              <w:rPr>
                <w:sz w:val="20"/>
                <w:szCs w:val="20"/>
                <w:color w:val="auto"/>
              </w:rPr>
            </w:pPr>
            <w:r>
              <w:rPr>
                <w:rFonts w:ascii="Arial" w:cs="Arial" w:eastAsia="Arial" w:hAnsi="Arial"/>
                <w:sz w:val="14"/>
                <w:szCs w:val="14"/>
                <w:b w:val="1"/>
                <w:bCs w:val="1"/>
                <w:color w:val="004AAC"/>
              </w:rPr>
              <w:t>committed to set or have</w:t>
            </w:r>
          </w:p>
        </w:tc>
        <w:tc>
          <w:tcPr>
            <w:tcW w:w="0" w:type="dxa"/>
            <w:vAlign w:val="bottom"/>
          </w:tcPr>
          <w:p>
            <w:pPr>
              <w:spacing w:after="0"/>
              <w:rPr>
                <w:sz w:val="1"/>
                <w:szCs w:val="1"/>
                <w:color w:val="auto"/>
              </w:rPr>
            </w:pPr>
          </w:p>
        </w:tc>
      </w:tr>
      <w:tr>
        <w:trPr>
          <w:trHeight w:val="174"/>
        </w:trPr>
        <w:tc>
          <w:tcPr>
            <w:tcW w:w="220" w:type="dxa"/>
            <w:vAlign w:val="bottom"/>
            <w:shd w:val="clear" w:color="auto" w:fill="F6F3F0"/>
          </w:tcPr>
          <w:p>
            <w:pPr>
              <w:spacing w:after="0"/>
              <w:rPr>
                <w:sz w:val="15"/>
                <w:szCs w:val="15"/>
                <w:color w:val="auto"/>
              </w:rPr>
            </w:pPr>
          </w:p>
        </w:tc>
        <w:tc>
          <w:tcPr>
            <w:tcW w:w="2340" w:type="dxa"/>
            <w:vAlign w:val="bottom"/>
            <w:shd w:val="clear" w:color="auto" w:fill="F6F3F0"/>
          </w:tcPr>
          <w:p>
            <w:pPr>
              <w:ind w:left="20"/>
              <w:spacing w:after="0"/>
              <w:rPr>
                <w:sz w:val="20"/>
                <w:szCs w:val="20"/>
                <w:color w:val="auto"/>
              </w:rPr>
            </w:pPr>
            <w:r>
              <w:rPr>
                <w:rFonts w:ascii="Arial" w:cs="Arial" w:eastAsia="Arial" w:hAnsi="Arial"/>
                <w:sz w:val="14"/>
                <w:szCs w:val="14"/>
                <w:b w:val="1"/>
                <w:bCs w:val="1"/>
                <w:color w:val="004AAC"/>
              </w:rPr>
              <w:t>through fiscal 2025 from a fiscal</w:t>
            </w:r>
          </w:p>
        </w:tc>
        <w:tc>
          <w:tcPr>
            <w:tcW w:w="260" w:type="dxa"/>
            <w:vAlign w:val="bottom"/>
            <w:tcBorders>
              <w:right w:val="single" w:sz="8" w:color="CFCFD2"/>
            </w:tcBorders>
            <w:shd w:val="clear" w:color="auto" w:fill="F6F3F0"/>
          </w:tcPr>
          <w:p>
            <w:pPr>
              <w:spacing w:after="0"/>
              <w:rPr>
                <w:sz w:val="15"/>
                <w:szCs w:val="15"/>
                <w:color w:val="auto"/>
              </w:rPr>
            </w:pPr>
          </w:p>
        </w:tc>
        <w:tc>
          <w:tcPr>
            <w:tcW w:w="2800" w:type="dxa"/>
            <w:vAlign w:val="bottom"/>
            <w:shd w:val="clear" w:color="auto" w:fill="F6F3F0"/>
          </w:tcPr>
          <w:p>
            <w:pPr>
              <w:ind w:left="240"/>
              <w:spacing w:after="0"/>
              <w:rPr>
                <w:sz w:val="20"/>
                <w:szCs w:val="20"/>
                <w:color w:val="auto"/>
              </w:rPr>
            </w:pPr>
            <w:r>
              <w:rPr>
                <w:rFonts w:ascii="Arial" w:cs="Arial" w:eastAsia="Arial" w:hAnsi="Arial"/>
                <w:sz w:val="14"/>
                <w:szCs w:val="14"/>
                <w:b w:val="1"/>
                <w:bCs w:val="1"/>
                <w:color w:val="004AAC"/>
              </w:rPr>
              <w:t>2019 baseline</w:t>
            </w:r>
          </w:p>
        </w:tc>
        <w:tc>
          <w:tcPr>
            <w:tcW w:w="20" w:type="dxa"/>
            <w:vAlign w:val="bottom"/>
            <w:shd w:val="clear" w:color="auto" w:fill="CFCFD2"/>
          </w:tcPr>
          <w:p>
            <w:pPr>
              <w:spacing w:after="0"/>
              <w:rPr>
                <w:sz w:val="15"/>
                <w:szCs w:val="15"/>
                <w:color w:val="auto"/>
              </w:rPr>
            </w:pPr>
          </w:p>
        </w:tc>
        <w:tc>
          <w:tcPr>
            <w:tcW w:w="2800" w:type="dxa"/>
            <w:vAlign w:val="bottom"/>
            <w:shd w:val="clear" w:color="auto" w:fill="F6F3F0"/>
          </w:tcPr>
          <w:p>
            <w:pPr>
              <w:spacing w:after="0"/>
              <w:rPr>
                <w:sz w:val="15"/>
                <w:szCs w:val="15"/>
                <w:color w:val="auto"/>
              </w:rPr>
            </w:pPr>
          </w:p>
        </w:tc>
        <w:tc>
          <w:tcPr>
            <w:tcW w:w="20" w:type="dxa"/>
            <w:vAlign w:val="bottom"/>
            <w:shd w:val="clear" w:color="auto" w:fill="CFCFD2"/>
          </w:tcPr>
          <w:p>
            <w:pPr>
              <w:spacing w:after="0"/>
              <w:rPr>
                <w:sz w:val="15"/>
                <w:szCs w:val="15"/>
                <w:color w:val="auto"/>
              </w:rPr>
            </w:pPr>
          </w:p>
        </w:tc>
        <w:tc>
          <w:tcPr>
            <w:tcW w:w="2780" w:type="dxa"/>
            <w:vAlign w:val="bottom"/>
            <w:shd w:val="clear" w:color="auto" w:fill="F6F3F0"/>
          </w:tcPr>
          <w:p>
            <w:pPr>
              <w:ind w:left="240"/>
              <w:spacing w:after="0"/>
              <w:rPr>
                <w:sz w:val="20"/>
                <w:szCs w:val="20"/>
                <w:color w:val="auto"/>
              </w:rPr>
            </w:pPr>
            <w:r>
              <w:rPr>
                <w:rFonts w:ascii="Arial" w:cs="Arial" w:eastAsia="Arial" w:hAnsi="Arial"/>
                <w:sz w:val="14"/>
                <w:szCs w:val="14"/>
                <w:b w:val="1"/>
                <w:bCs w:val="1"/>
                <w:color w:val="004AAC"/>
              </w:rPr>
              <w:t>approved science-based</w:t>
            </w:r>
          </w:p>
        </w:tc>
        <w:tc>
          <w:tcPr>
            <w:tcW w:w="0" w:type="dxa"/>
            <w:vAlign w:val="bottom"/>
          </w:tcPr>
          <w:p>
            <w:pPr>
              <w:spacing w:after="0"/>
              <w:rPr>
                <w:sz w:val="1"/>
                <w:szCs w:val="1"/>
                <w:color w:val="auto"/>
              </w:rPr>
            </w:pPr>
          </w:p>
        </w:tc>
      </w:tr>
      <w:tr>
        <w:trPr>
          <w:trHeight w:val="195"/>
        </w:trPr>
        <w:tc>
          <w:tcPr>
            <w:tcW w:w="220" w:type="dxa"/>
            <w:vAlign w:val="bottom"/>
            <w:shd w:val="clear" w:color="auto" w:fill="F6F3F0"/>
          </w:tcPr>
          <w:p>
            <w:pPr>
              <w:spacing w:after="0"/>
              <w:rPr>
                <w:sz w:val="16"/>
                <w:szCs w:val="16"/>
                <w:color w:val="auto"/>
              </w:rPr>
            </w:pPr>
          </w:p>
        </w:tc>
        <w:tc>
          <w:tcPr>
            <w:tcW w:w="2340" w:type="dxa"/>
            <w:vAlign w:val="bottom"/>
            <w:shd w:val="clear" w:color="auto" w:fill="F6F3F0"/>
          </w:tcPr>
          <w:p>
            <w:pPr>
              <w:ind w:left="20"/>
              <w:spacing w:after="0"/>
              <w:rPr>
                <w:sz w:val="20"/>
                <w:szCs w:val="20"/>
                <w:color w:val="auto"/>
              </w:rPr>
            </w:pPr>
            <w:r>
              <w:rPr>
                <w:rFonts w:ascii="Arial" w:cs="Arial" w:eastAsia="Arial" w:hAnsi="Arial"/>
                <w:sz w:val="14"/>
                <w:szCs w:val="14"/>
                <w:b w:val="1"/>
                <w:bCs w:val="1"/>
                <w:color w:val="004AAC"/>
              </w:rPr>
              <w:t>2019 baseline</w:t>
            </w:r>
          </w:p>
        </w:tc>
        <w:tc>
          <w:tcPr>
            <w:tcW w:w="260" w:type="dxa"/>
            <w:vAlign w:val="bottom"/>
            <w:tcBorders>
              <w:right w:val="single" w:sz="8" w:color="CFCFD2"/>
            </w:tcBorders>
            <w:shd w:val="clear" w:color="auto" w:fill="F6F3F0"/>
          </w:tcPr>
          <w:p>
            <w:pPr>
              <w:spacing w:after="0"/>
              <w:rPr>
                <w:sz w:val="16"/>
                <w:szCs w:val="16"/>
                <w:color w:val="auto"/>
              </w:rPr>
            </w:pPr>
          </w:p>
        </w:tc>
        <w:tc>
          <w:tcPr>
            <w:tcW w:w="2800" w:type="dxa"/>
            <w:vAlign w:val="bottom"/>
            <w:shd w:val="clear" w:color="auto" w:fill="F6F3F0"/>
          </w:tcPr>
          <w:p>
            <w:pPr>
              <w:spacing w:after="0"/>
              <w:rPr>
                <w:sz w:val="16"/>
                <w:szCs w:val="16"/>
                <w:color w:val="auto"/>
              </w:rPr>
            </w:pPr>
          </w:p>
        </w:tc>
        <w:tc>
          <w:tcPr>
            <w:tcW w:w="20" w:type="dxa"/>
            <w:vAlign w:val="bottom"/>
            <w:shd w:val="clear" w:color="auto" w:fill="CFCFD2"/>
          </w:tcPr>
          <w:p>
            <w:pPr>
              <w:spacing w:after="0"/>
              <w:rPr>
                <w:sz w:val="16"/>
                <w:szCs w:val="16"/>
                <w:color w:val="auto"/>
              </w:rPr>
            </w:pPr>
          </w:p>
        </w:tc>
        <w:tc>
          <w:tcPr>
            <w:tcW w:w="2800" w:type="dxa"/>
            <w:vAlign w:val="bottom"/>
            <w:shd w:val="clear" w:color="auto" w:fill="F6F3F0"/>
          </w:tcPr>
          <w:p>
            <w:pPr>
              <w:spacing w:after="0"/>
              <w:rPr>
                <w:sz w:val="16"/>
                <w:szCs w:val="16"/>
                <w:color w:val="auto"/>
              </w:rPr>
            </w:pPr>
          </w:p>
        </w:tc>
        <w:tc>
          <w:tcPr>
            <w:tcW w:w="20" w:type="dxa"/>
            <w:vAlign w:val="bottom"/>
            <w:shd w:val="clear" w:color="auto" w:fill="CFCFD2"/>
          </w:tcPr>
          <w:p>
            <w:pPr>
              <w:spacing w:after="0"/>
              <w:rPr>
                <w:sz w:val="16"/>
                <w:szCs w:val="16"/>
                <w:color w:val="auto"/>
              </w:rPr>
            </w:pPr>
          </w:p>
        </w:tc>
        <w:tc>
          <w:tcPr>
            <w:tcW w:w="2780" w:type="dxa"/>
            <w:vAlign w:val="bottom"/>
            <w:shd w:val="clear" w:color="auto" w:fill="F6F3F0"/>
          </w:tcPr>
          <w:p>
            <w:pPr>
              <w:ind w:left="240"/>
              <w:spacing w:after="0"/>
              <w:rPr>
                <w:sz w:val="20"/>
                <w:szCs w:val="20"/>
                <w:color w:val="auto"/>
              </w:rPr>
            </w:pPr>
            <w:r>
              <w:rPr>
                <w:rFonts w:ascii="Arial" w:cs="Arial" w:eastAsia="Arial" w:hAnsi="Arial"/>
                <w:sz w:val="14"/>
                <w:szCs w:val="14"/>
                <w:b w:val="1"/>
                <w:bCs w:val="1"/>
                <w:color w:val="004AAC"/>
              </w:rPr>
              <w:t>emissions reduction targets</w:t>
            </w:r>
          </w:p>
        </w:tc>
        <w:tc>
          <w:tcPr>
            <w:tcW w:w="0" w:type="dxa"/>
            <w:vAlign w:val="bottom"/>
          </w:tcPr>
          <w:p>
            <w:pPr>
              <w:spacing w:after="0"/>
              <w:rPr>
                <w:sz w:val="1"/>
                <w:szCs w:val="1"/>
                <w:color w:val="auto"/>
              </w:rPr>
            </w:pPr>
          </w:p>
        </w:tc>
      </w:tr>
      <w:tr>
        <w:trPr>
          <w:trHeight w:val="95"/>
        </w:trPr>
        <w:tc>
          <w:tcPr>
            <w:tcW w:w="220" w:type="dxa"/>
            <w:vAlign w:val="bottom"/>
            <w:shd w:val="clear" w:color="auto" w:fill="F6F3F0"/>
          </w:tcPr>
          <w:p>
            <w:pPr>
              <w:spacing w:after="0"/>
              <w:rPr>
                <w:sz w:val="8"/>
                <w:szCs w:val="8"/>
                <w:color w:val="auto"/>
              </w:rPr>
            </w:pPr>
          </w:p>
        </w:tc>
        <w:tc>
          <w:tcPr>
            <w:tcW w:w="2340" w:type="dxa"/>
            <w:vAlign w:val="bottom"/>
            <w:shd w:val="clear" w:color="auto" w:fill="F6F3F0"/>
          </w:tcPr>
          <w:p>
            <w:pPr>
              <w:spacing w:after="0"/>
              <w:rPr>
                <w:sz w:val="8"/>
                <w:szCs w:val="8"/>
                <w:color w:val="auto"/>
              </w:rPr>
            </w:pPr>
          </w:p>
        </w:tc>
        <w:tc>
          <w:tcPr>
            <w:tcW w:w="260" w:type="dxa"/>
            <w:vAlign w:val="bottom"/>
            <w:tcBorders>
              <w:right w:val="single" w:sz="8" w:color="CFCFD2"/>
            </w:tcBorders>
            <w:shd w:val="clear" w:color="auto" w:fill="F6F3F0"/>
          </w:tcPr>
          <w:p>
            <w:pPr>
              <w:spacing w:after="0"/>
              <w:rPr>
                <w:sz w:val="8"/>
                <w:szCs w:val="8"/>
                <w:color w:val="auto"/>
              </w:rPr>
            </w:pPr>
          </w:p>
        </w:tc>
        <w:tc>
          <w:tcPr>
            <w:tcW w:w="2800" w:type="dxa"/>
            <w:vAlign w:val="bottom"/>
            <w:shd w:val="clear" w:color="auto" w:fill="F6F3F0"/>
          </w:tcPr>
          <w:p>
            <w:pPr>
              <w:spacing w:after="0"/>
              <w:rPr>
                <w:sz w:val="8"/>
                <w:szCs w:val="8"/>
                <w:color w:val="auto"/>
              </w:rPr>
            </w:pPr>
          </w:p>
        </w:tc>
        <w:tc>
          <w:tcPr>
            <w:tcW w:w="20" w:type="dxa"/>
            <w:vAlign w:val="bottom"/>
            <w:shd w:val="clear" w:color="auto" w:fill="CFCFD2"/>
          </w:tcPr>
          <w:p>
            <w:pPr>
              <w:spacing w:after="0"/>
              <w:rPr>
                <w:sz w:val="8"/>
                <w:szCs w:val="8"/>
                <w:color w:val="auto"/>
              </w:rPr>
            </w:pPr>
          </w:p>
        </w:tc>
        <w:tc>
          <w:tcPr>
            <w:tcW w:w="2800" w:type="dxa"/>
            <w:vAlign w:val="bottom"/>
            <w:shd w:val="clear" w:color="auto" w:fill="F6F3F0"/>
          </w:tcPr>
          <w:p>
            <w:pPr>
              <w:spacing w:after="0"/>
              <w:rPr>
                <w:sz w:val="8"/>
                <w:szCs w:val="8"/>
                <w:color w:val="auto"/>
              </w:rPr>
            </w:pPr>
          </w:p>
        </w:tc>
        <w:tc>
          <w:tcPr>
            <w:tcW w:w="20" w:type="dxa"/>
            <w:vAlign w:val="bottom"/>
            <w:shd w:val="clear" w:color="auto" w:fill="CFCFD2"/>
          </w:tcPr>
          <w:p>
            <w:pPr>
              <w:spacing w:after="0"/>
              <w:rPr>
                <w:sz w:val="8"/>
                <w:szCs w:val="8"/>
                <w:color w:val="auto"/>
              </w:rPr>
            </w:pPr>
          </w:p>
        </w:tc>
        <w:tc>
          <w:tcPr>
            <w:tcW w:w="2780" w:type="dxa"/>
            <w:vAlign w:val="bottom"/>
            <w:shd w:val="clear" w:color="auto" w:fill="F6F3F0"/>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220" w:type="dxa"/>
            <w:vAlign w:val="bottom"/>
            <w:shd w:val="clear" w:color="auto" w:fill="F6F3F0"/>
          </w:tcPr>
          <w:p>
            <w:pPr>
              <w:spacing w:after="0"/>
              <w:rPr>
                <w:sz w:val="23"/>
                <w:szCs w:val="23"/>
                <w:color w:val="auto"/>
              </w:rPr>
            </w:pPr>
          </w:p>
        </w:tc>
        <w:tc>
          <w:tcPr>
            <w:tcW w:w="2340" w:type="dxa"/>
            <w:vAlign w:val="bottom"/>
            <w:shd w:val="clear" w:color="auto" w:fill="F6F3F0"/>
          </w:tcPr>
          <w:p>
            <w:pPr>
              <w:spacing w:after="0"/>
              <w:rPr>
                <w:sz w:val="23"/>
                <w:szCs w:val="23"/>
                <w:color w:val="auto"/>
              </w:rPr>
            </w:pPr>
          </w:p>
        </w:tc>
        <w:tc>
          <w:tcPr>
            <w:tcW w:w="260" w:type="dxa"/>
            <w:vAlign w:val="bottom"/>
            <w:tcBorders>
              <w:right w:val="single" w:sz="8" w:color="F6F3F0"/>
            </w:tcBorders>
            <w:shd w:val="clear" w:color="auto" w:fill="F6F3F0"/>
          </w:tcPr>
          <w:p>
            <w:pPr>
              <w:spacing w:after="0"/>
              <w:rPr>
                <w:sz w:val="23"/>
                <w:szCs w:val="23"/>
                <w:color w:val="auto"/>
              </w:rPr>
            </w:pPr>
          </w:p>
        </w:tc>
        <w:tc>
          <w:tcPr>
            <w:tcW w:w="2800" w:type="dxa"/>
            <w:vAlign w:val="bottom"/>
            <w:shd w:val="clear" w:color="auto" w:fill="F6F3F0"/>
          </w:tcPr>
          <w:p>
            <w:pPr>
              <w:spacing w:after="0"/>
              <w:rPr>
                <w:sz w:val="23"/>
                <w:szCs w:val="23"/>
                <w:color w:val="auto"/>
              </w:rPr>
            </w:pPr>
          </w:p>
        </w:tc>
        <w:tc>
          <w:tcPr>
            <w:tcW w:w="20" w:type="dxa"/>
            <w:vAlign w:val="bottom"/>
            <w:shd w:val="clear" w:color="auto" w:fill="F6F3F0"/>
          </w:tcPr>
          <w:p>
            <w:pPr>
              <w:spacing w:after="0"/>
              <w:rPr>
                <w:sz w:val="23"/>
                <w:szCs w:val="23"/>
                <w:color w:val="auto"/>
              </w:rPr>
            </w:pPr>
          </w:p>
        </w:tc>
        <w:tc>
          <w:tcPr>
            <w:tcW w:w="2800" w:type="dxa"/>
            <w:vAlign w:val="bottom"/>
            <w:shd w:val="clear" w:color="auto" w:fill="F6F3F0"/>
          </w:tcPr>
          <w:p>
            <w:pPr>
              <w:spacing w:after="0"/>
              <w:rPr>
                <w:sz w:val="23"/>
                <w:szCs w:val="23"/>
                <w:color w:val="auto"/>
              </w:rPr>
            </w:pPr>
          </w:p>
        </w:tc>
        <w:tc>
          <w:tcPr>
            <w:tcW w:w="20" w:type="dxa"/>
            <w:vAlign w:val="bottom"/>
            <w:shd w:val="clear" w:color="auto" w:fill="F6F3F0"/>
          </w:tcPr>
          <w:p>
            <w:pPr>
              <w:spacing w:after="0"/>
              <w:rPr>
                <w:sz w:val="23"/>
                <w:szCs w:val="23"/>
                <w:color w:val="auto"/>
              </w:rPr>
            </w:pPr>
          </w:p>
        </w:tc>
        <w:tc>
          <w:tcPr>
            <w:tcW w:w="2780" w:type="dxa"/>
            <w:vAlign w:val="bottom"/>
            <w:shd w:val="clear" w:color="auto" w:fill="F6F3F0"/>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45</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type w:val="continuous"/>
        </w:sectPr>
      </w:pPr>
    </w:p>
    <w:bookmarkStart w:id="53" w:name="page54"/>
    <w:bookmarkEnd w:id="53"/>
    <w:p>
      <w:pPr>
        <w:ind w:left="20"/>
        <w:spacing w:after="0"/>
        <w:tabs>
          <w:tab w:leader="none" w:pos="10100" w:val="left"/>
        </w:tabs>
        <w:rPr>
          <w:sz w:val="20"/>
          <w:szCs w:val="20"/>
          <w:color w:val="auto"/>
        </w:rPr>
      </w:pPr>
      <w:r>
        <w:rPr>
          <w:rFonts w:ascii="Arial" w:cs="Arial" w:eastAsia="Arial" w:hAnsi="Arial"/>
          <w:sz w:val="14"/>
          <w:szCs w:val="14"/>
          <w:color w:val="auto"/>
        </w:rPr>
        <w:t>Corporate Governance</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Social</w:t>
      </w:r>
    </w:p>
    <w:p>
      <w:pPr>
        <w:spacing w:after="0" w:line="84" w:lineRule="exact"/>
        <w:rPr>
          <w:sz w:val="20"/>
          <w:szCs w:val="20"/>
          <w:color w:val="auto"/>
        </w:rPr>
      </w:pPr>
    </w:p>
    <w:p>
      <w:pPr>
        <w:ind w:right="160"/>
        <w:spacing w:after="0" w:line="335" w:lineRule="auto"/>
        <w:rPr>
          <w:sz w:val="20"/>
          <w:szCs w:val="20"/>
          <w:color w:val="auto"/>
        </w:rPr>
      </w:pPr>
      <w:r>
        <w:rPr>
          <w:rFonts w:ascii="Arial" w:cs="Arial" w:eastAsia="Arial" w:hAnsi="Arial"/>
          <w:sz w:val="16"/>
          <w:szCs w:val="16"/>
          <w:color w:val="0E1020"/>
        </w:rPr>
        <w:t>We are committed to building an inclusive, values-based, and people-first culture. Inclusion and belonging is at the core of our ability to serve our customers and stockholders, and it strengthens our reputation as an employer of choice in the technology services industry and beyond.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0E1020"/>
        </w:rPr>
        <w:t>Achievements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156210</wp:posOffset>
            </wp:positionV>
            <wp:extent cx="144780" cy="22980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44780" cy="229806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40" w:type="dxa"/>
            <w:vAlign w:val="bottom"/>
            <w:shd w:val="clear" w:color="auto" w:fill="F6F3F0"/>
          </w:tcPr>
          <w:p>
            <w:pPr>
              <w:spacing w:after="0"/>
              <w:rPr>
                <w:sz w:val="23"/>
                <w:szCs w:val="23"/>
                <w:color w:val="auto"/>
              </w:rPr>
            </w:pPr>
          </w:p>
        </w:tc>
        <w:tc>
          <w:tcPr>
            <w:tcW w:w="3240" w:type="dxa"/>
            <w:vAlign w:val="bottom"/>
            <w:vMerge w:val="restart"/>
            <w:shd w:val="clear" w:color="auto" w:fill="F6F3F0"/>
          </w:tcPr>
          <w:p>
            <w:pPr>
              <w:ind w:left="20"/>
              <w:spacing w:after="0"/>
              <w:rPr>
                <w:sz w:val="20"/>
                <w:szCs w:val="20"/>
                <w:color w:val="auto"/>
              </w:rPr>
            </w:pPr>
            <w:r>
              <w:rPr>
                <w:rFonts w:ascii="Arial" w:cs="Arial" w:eastAsia="Arial" w:hAnsi="Arial"/>
                <w:sz w:val="14"/>
                <w:szCs w:val="14"/>
                <w:b w:val="1"/>
                <w:bCs w:val="1"/>
                <w:color w:val="004AAC"/>
              </w:rPr>
              <w:t>Implemented a global all-employee feedback</w:t>
            </w:r>
          </w:p>
        </w:tc>
        <w:tc>
          <w:tcPr>
            <w:tcW w:w="240" w:type="dxa"/>
            <w:vAlign w:val="bottom"/>
            <w:shd w:val="clear" w:color="auto" w:fill="F6F3F0"/>
          </w:tcPr>
          <w:p>
            <w:pPr>
              <w:spacing w:after="0"/>
              <w:rPr>
                <w:sz w:val="23"/>
                <w:szCs w:val="23"/>
                <w:color w:val="auto"/>
              </w:rPr>
            </w:pPr>
          </w:p>
        </w:tc>
        <w:tc>
          <w:tcPr>
            <w:tcW w:w="240" w:type="dxa"/>
            <w:vAlign w:val="bottom"/>
            <w:shd w:val="clear" w:color="auto" w:fill="F6F3F0"/>
          </w:tcPr>
          <w:p>
            <w:pPr>
              <w:spacing w:after="0"/>
              <w:rPr>
                <w:sz w:val="23"/>
                <w:szCs w:val="23"/>
                <w:color w:val="auto"/>
              </w:rPr>
            </w:pPr>
          </w:p>
        </w:tc>
        <w:tc>
          <w:tcPr>
            <w:tcW w:w="3740" w:type="dxa"/>
            <w:vAlign w:val="bottom"/>
            <w:gridSpan w:val="2"/>
            <w:vMerge w:val="restart"/>
            <w:shd w:val="clear" w:color="auto" w:fill="F6F3F0"/>
          </w:tcPr>
          <w:p>
            <w:pPr>
              <w:ind w:left="20"/>
              <w:spacing w:after="0"/>
              <w:rPr>
                <w:sz w:val="20"/>
                <w:szCs w:val="20"/>
                <w:color w:val="auto"/>
              </w:rPr>
            </w:pPr>
            <w:r>
              <w:rPr>
                <w:rFonts w:ascii="Arial" w:cs="Arial" w:eastAsia="Arial" w:hAnsi="Arial"/>
                <w:sz w:val="14"/>
                <w:szCs w:val="14"/>
                <w:b w:val="1"/>
                <w:bCs w:val="1"/>
                <w:color w:val="004AAC"/>
              </w:rPr>
              <w:t>Achieved a 100 rating in the 2025 Disability</w:t>
            </w:r>
          </w:p>
        </w:tc>
        <w:tc>
          <w:tcPr>
            <w:tcW w:w="3540" w:type="dxa"/>
            <w:vAlign w:val="bottom"/>
            <w:gridSpan w:val="2"/>
            <w:vMerge w:val="restart"/>
            <w:shd w:val="clear" w:color="auto" w:fill="F6F3F0"/>
          </w:tcPr>
          <w:p>
            <w:pPr>
              <w:ind w:left="20"/>
              <w:spacing w:after="0"/>
              <w:rPr>
                <w:sz w:val="20"/>
                <w:szCs w:val="20"/>
                <w:color w:val="auto"/>
              </w:rPr>
            </w:pPr>
            <w:r>
              <w:rPr>
                <w:rFonts w:ascii="Arial" w:cs="Arial" w:eastAsia="Arial" w:hAnsi="Arial"/>
                <w:sz w:val="14"/>
                <w:szCs w:val="14"/>
                <w:b w:val="1"/>
                <w:bCs w:val="1"/>
                <w:color w:val="004AAC"/>
              </w:rPr>
              <w:t>Multiple Brandon Hall awards for Excellence in</w:t>
            </w:r>
          </w:p>
        </w:tc>
        <w:tc>
          <w:tcPr>
            <w:tcW w:w="0" w:type="dxa"/>
            <w:vAlign w:val="bottom"/>
          </w:tcPr>
          <w:p>
            <w:pPr>
              <w:spacing w:after="0"/>
              <w:rPr>
                <w:sz w:val="1"/>
                <w:szCs w:val="1"/>
                <w:color w:val="auto"/>
              </w:rPr>
            </w:pPr>
          </w:p>
        </w:tc>
      </w:tr>
      <w:tr>
        <w:trPr>
          <w:trHeight w:val="741"/>
        </w:trPr>
        <w:tc>
          <w:tcPr>
            <w:tcW w:w="240" w:type="dxa"/>
            <w:vAlign w:val="bottom"/>
          </w:tcPr>
          <w:p>
            <w:pPr>
              <w:spacing w:after="0"/>
              <w:rPr>
                <w:sz w:val="24"/>
                <w:szCs w:val="24"/>
                <w:color w:val="auto"/>
              </w:rPr>
            </w:pPr>
          </w:p>
        </w:tc>
        <w:tc>
          <w:tcPr>
            <w:tcW w:w="3240" w:type="dxa"/>
            <w:vAlign w:val="bottom"/>
            <w:vMerge w:val="continue"/>
            <w:shd w:val="clear" w:color="auto" w:fill="F6F3F0"/>
          </w:tcPr>
          <w:p>
            <w:pPr>
              <w:spacing w:after="0"/>
              <w:rPr>
                <w:sz w:val="24"/>
                <w:szCs w:val="24"/>
                <w:color w:val="auto"/>
              </w:rPr>
            </w:pPr>
          </w:p>
        </w:tc>
        <w:tc>
          <w:tcPr>
            <w:tcW w:w="240" w:type="dxa"/>
            <w:vAlign w:val="bottom"/>
            <w:shd w:val="clear" w:color="auto" w:fill="F6F3F0"/>
          </w:tcPr>
          <w:p>
            <w:pPr>
              <w:spacing w:after="0"/>
              <w:rPr>
                <w:sz w:val="24"/>
                <w:szCs w:val="24"/>
                <w:color w:val="auto"/>
              </w:rPr>
            </w:pPr>
          </w:p>
        </w:tc>
        <w:tc>
          <w:tcPr>
            <w:tcW w:w="240" w:type="dxa"/>
            <w:vAlign w:val="bottom"/>
            <w:shd w:val="clear" w:color="auto" w:fill="F6F3F0"/>
          </w:tcPr>
          <w:p>
            <w:pPr>
              <w:spacing w:after="0"/>
              <w:rPr>
                <w:sz w:val="24"/>
                <w:szCs w:val="24"/>
                <w:color w:val="auto"/>
              </w:rPr>
            </w:pPr>
          </w:p>
        </w:tc>
        <w:tc>
          <w:tcPr>
            <w:tcW w:w="3740" w:type="dxa"/>
            <w:vAlign w:val="bottom"/>
            <w:gridSpan w:val="2"/>
            <w:vMerge w:val="continue"/>
            <w:shd w:val="clear" w:color="auto" w:fill="F6F3F0"/>
          </w:tcPr>
          <w:p>
            <w:pPr>
              <w:spacing w:after="0"/>
              <w:rPr>
                <w:sz w:val="24"/>
                <w:szCs w:val="24"/>
                <w:color w:val="auto"/>
              </w:rPr>
            </w:pPr>
          </w:p>
        </w:tc>
        <w:tc>
          <w:tcPr>
            <w:tcW w:w="3540" w:type="dxa"/>
            <w:vAlign w:val="bottom"/>
            <w:gridSpan w:val="2"/>
            <w:vMerge w:val="continue"/>
            <w:shd w:val="clear" w:color="auto" w:fill="F6F3F0"/>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40" w:type="dxa"/>
            <w:vAlign w:val="bottom"/>
          </w:tcPr>
          <w:p>
            <w:pPr>
              <w:spacing w:after="0"/>
              <w:rPr>
                <w:sz w:val="5"/>
                <w:szCs w:val="5"/>
                <w:color w:val="auto"/>
              </w:rPr>
            </w:pPr>
          </w:p>
        </w:tc>
        <w:tc>
          <w:tcPr>
            <w:tcW w:w="3240" w:type="dxa"/>
            <w:vAlign w:val="bottom"/>
            <w:vMerge w:val="continue"/>
            <w:shd w:val="clear" w:color="auto" w:fill="F6F3F0"/>
          </w:tcPr>
          <w:p>
            <w:pPr>
              <w:spacing w:after="0"/>
              <w:rPr>
                <w:sz w:val="5"/>
                <w:szCs w:val="5"/>
                <w:color w:val="auto"/>
              </w:rPr>
            </w:pPr>
          </w:p>
        </w:tc>
        <w:tc>
          <w:tcPr>
            <w:tcW w:w="240" w:type="dxa"/>
            <w:vAlign w:val="bottom"/>
            <w:shd w:val="clear" w:color="auto" w:fill="F6F3F0"/>
          </w:tcPr>
          <w:p>
            <w:pPr>
              <w:spacing w:after="0"/>
              <w:rPr>
                <w:sz w:val="5"/>
                <w:szCs w:val="5"/>
                <w:color w:val="auto"/>
              </w:rPr>
            </w:pPr>
          </w:p>
        </w:tc>
        <w:tc>
          <w:tcPr>
            <w:tcW w:w="240" w:type="dxa"/>
            <w:vAlign w:val="bottom"/>
            <w:shd w:val="clear" w:color="auto" w:fill="F6F3F0"/>
          </w:tcPr>
          <w:p>
            <w:pPr>
              <w:spacing w:after="0"/>
              <w:rPr>
                <w:sz w:val="5"/>
                <w:szCs w:val="5"/>
                <w:color w:val="auto"/>
              </w:rPr>
            </w:pPr>
          </w:p>
        </w:tc>
        <w:tc>
          <w:tcPr>
            <w:tcW w:w="3740" w:type="dxa"/>
            <w:vAlign w:val="bottom"/>
            <w:gridSpan w:val="2"/>
            <w:vMerge w:val="continue"/>
            <w:shd w:val="clear" w:color="auto" w:fill="F6F3F0"/>
          </w:tcPr>
          <w:p>
            <w:pPr>
              <w:spacing w:after="0"/>
              <w:rPr>
                <w:sz w:val="5"/>
                <w:szCs w:val="5"/>
                <w:color w:val="auto"/>
              </w:rPr>
            </w:pPr>
          </w:p>
        </w:tc>
        <w:tc>
          <w:tcPr>
            <w:tcW w:w="3540" w:type="dxa"/>
            <w:vAlign w:val="bottom"/>
            <w:gridSpan w:val="2"/>
            <w:vMerge w:val="restart"/>
            <w:shd w:val="clear" w:color="auto" w:fill="F6F3F0"/>
          </w:tcPr>
          <w:p>
            <w:pPr>
              <w:ind w:left="20"/>
              <w:spacing w:after="0"/>
              <w:rPr>
                <w:sz w:val="20"/>
                <w:szCs w:val="20"/>
                <w:color w:val="auto"/>
              </w:rPr>
            </w:pPr>
            <w:r>
              <w:rPr>
                <w:rFonts w:ascii="Arial" w:cs="Arial" w:eastAsia="Arial" w:hAnsi="Arial"/>
                <w:sz w:val="14"/>
                <w:szCs w:val="14"/>
                <w:b w:val="1"/>
                <w:bCs w:val="1"/>
                <w:color w:val="004AAC"/>
              </w:rPr>
              <w:t>Technical Learning and Leadership</w:t>
            </w:r>
          </w:p>
        </w:tc>
        <w:tc>
          <w:tcPr>
            <w:tcW w:w="0" w:type="dxa"/>
            <w:vAlign w:val="bottom"/>
          </w:tcPr>
          <w:p>
            <w:pPr>
              <w:spacing w:after="0"/>
              <w:rPr>
                <w:sz w:val="1"/>
                <w:szCs w:val="1"/>
                <w:color w:val="auto"/>
              </w:rPr>
            </w:pPr>
          </w:p>
        </w:tc>
      </w:tr>
      <w:tr>
        <w:trPr>
          <w:trHeight w:val="107"/>
        </w:trPr>
        <w:tc>
          <w:tcPr>
            <w:tcW w:w="240" w:type="dxa"/>
            <w:vAlign w:val="bottom"/>
          </w:tcPr>
          <w:p>
            <w:pPr>
              <w:spacing w:after="0"/>
              <w:rPr>
                <w:sz w:val="9"/>
                <w:szCs w:val="9"/>
                <w:color w:val="auto"/>
              </w:rPr>
            </w:pPr>
          </w:p>
        </w:tc>
        <w:tc>
          <w:tcPr>
            <w:tcW w:w="3240" w:type="dxa"/>
            <w:vAlign w:val="bottom"/>
            <w:vMerge w:val="restart"/>
            <w:shd w:val="clear" w:color="auto" w:fill="F6F3F0"/>
          </w:tcPr>
          <w:p>
            <w:pPr>
              <w:ind w:left="20"/>
              <w:spacing w:after="0"/>
              <w:rPr>
                <w:sz w:val="20"/>
                <w:szCs w:val="20"/>
                <w:color w:val="auto"/>
              </w:rPr>
            </w:pPr>
            <w:r>
              <w:rPr>
                <w:rFonts w:ascii="Arial" w:cs="Arial" w:eastAsia="Arial" w:hAnsi="Arial"/>
                <w:sz w:val="14"/>
                <w:szCs w:val="14"/>
                <w:b w:val="1"/>
                <w:bCs w:val="1"/>
                <w:color w:val="004AAC"/>
              </w:rPr>
              <w:t>survey to continually strengthen our culture</w:t>
            </w:r>
          </w:p>
        </w:tc>
        <w:tc>
          <w:tcPr>
            <w:tcW w:w="240" w:type="dxa"/>
            <w:vAlign w:val="bottom"/>
            <w:shd w:val="clear" w:color="auto" w:fill="F6F3F0"/>
          </w:tcPr>
          <w:p>
            <w:pPr>
              <w:spacing w:after="0"/>
              <w:rPr>
                <w:sz w:val="9"/>
                <w:szCs w:val="9"/>
                <w:color w:val="auto"/>
              </w:rPr>
            </w:pPr>
          </w:p>
        </w:tc>
        <w:tc>
          <w:tcPr>
            <w:tcW w:w="240" w:type="dxa"/>
            <w:vAlign w:val="bottom"/>
            <w:shd w:val="clear" w:color="auto" w:fill="F6F3F0"/>
          </w:tcPr>
          <w:p>
            <w:pPr>
              <w:spacing w:after="0"/>
              <w:rPr>
                <w:sz w:val="9"/>
                <w:szCs w:val="9"/>
                <w:color w:val="auto"/>
              </w:rPr>
            </w:pPr>
          </w:p>
        </w:tc>
        <w:tc>
          <w:tcPr>
            <w:tcW w:w="3740" w:type="dxa"/>
            <w:vAlign w:val="bottom"/>
            <w:gridSpan w:val="2"/>
            <w:vMerge w:val="restart"/>
            <w:shd w:val="clear" w:color="auto" w:fill="F6F3F0"/>
          </w:tcPr>
          <w:p>
            <w:pPr>
              <w:ind w:left="20"/>
              <w:spacing w:after="0"/>
              <w:rPr>
                <w:sz w:val="20"/>
                <w:szCs w:val="20"/>
                <w:color w:val="auto"/>
              </w:rPr>
            </w:pPr>
            <w:r>
              <w:rPr>
                <w:rFonts w:ascii="Arial" w:cs="Arial" w:eastAsia="Arial" w:hAnsi="Arial"/>
                <w:sz w:val="14"/>
                <w:szCs w:val="14"/>
                <w:b w:val="1"/>
                <w:bCs w:val="1"/>
                <w:color w:val="004AAC"/>
              </w:rPr>
              <w:t>Equality Index for the 7th consecutive year</w:t>
            </w:r>
          </w:p>
        </w:tc>
        <w:tc>
          <w:tcPr>
            <w:tcW w:w="3540" w:type="dxa"/>
            <w:vAlign w:val="bottom"/>
            <w:gridSpan w:val="2"/>
            <w:vMerge w:val="continue"/>
            <w:shd w:val="clear" w:color="auto" w:fill="F6F3F0"/>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40" w:type="dxa"/>
            <w:vAlign w:val="bottom"/>
          </w:tcPr>
          <w:p>
            <w:pPr>
              <w:spacing w:after="0"/>
              <w:rPr>
                <w:sz w:val="7"/>
                <w:szCs w:val="7"/>
                <w:color w:val="auto"/>
              </w:rPr>
            </w:pPr>
          </w:p>
        </w:tc>
        <w:tc>
          <w:tcPr>
            <w:tcW w:w="3240" w:type="dxa"/>
            <w:vAlign w:val="bottom"/>
            <w:vMerge w:val="continue"/>
            <w:shd w:val="clear" w:color="auto" w:fill="F6F3F0"/>
          </w:tcPr>
          <w:p>
            <w:pPr>
              <w:spacing w:after="0"/>
              <w:rPr>
                <w:sz w:val="7"/>
                <w:szCs w:val="7"/>
                <w:color w:val="auto"/>
              </w:rPr>
            </w:pPr>
          </w:p>
        </w:tc>
        <w:tc>
          <w:tcPr>
            <w:tcW w:w="240" w:type="dxa"/>
            <w:vAlign w:val="bottom"/>
            <w:shd w:val="clear" w:color="auto" w:fill="F6F3F0"/>
          </w:tcPr>
          <w:p>
            <w:pPr>
              <w:spacing w:after="0"/>
              <w:rPr>
                <w:sz w:val="7"/>
                <w:szCs w:val="7"/>
                <w:color w:val="auto"/>
              </w:rPr>
            </w:pPr>
          </w:p>
        </w:tc>
        <w:tc>
          <w:tcPr>
            <w:tcW w:w="240" w:type="dxa"/>
            <w:vAlign w:val="bottom"/>
            <w:shd w:val="clear" w:color="auto" w:fill="F6F3F0"/>
          </w:tcPr>
          <w:p>
            <w:pPr>
              <w:spacing w:after="0"/>
              <w:rPr>
                <w:sz w:val="7"/>
                <w:szCs w:val="7"/>
                <w:color w:val="auto"/>
              </w:rPr>
            </w:pPr>
          </w:p>
        </w:tc>
        <w:tc>
          <w:tcPr>
            <w:tcW w:w="3740" w:type="dxa"/>
            <w:vAlign w:val="bottom"/>
            <w:gridSpan w:val="2"/>
            <w:vMerge w:val="continue"/>
            <w:shd w:val="clear" w:color="auto" w:fill="F6F3F0"/>
          </w:tcPr>
          <w:p>
            <w:pPr>
              <w:spacing w:after="0"/>
              <w:rPr>
                <w:sz w:val="7"/>
                <w:szCs w:val="7"/>
                <w:color w:val="auto"/>
              </w:rPr>
            </w:pPr>
          </w:p>
        </w:tc>
        <w:tc>
          <w:tcPr>
            <w:tcW w:w="3540" w:type="dxa"/>
            <w:vAlign w:val="bottom"/>
            <w:gridSpan w:val="2"/>
            <w:vMerge w:val="restart"/>
            <w:shd w:val="clear" w:color="auto" w:fill="F6F3F0"/>
          </w:tcPr>
          <w:p>
            <w:pPr>
              <w:ind w:left="20"/>
              <w:spacing w:after="0"/>
              <w:rPr>
                <w:sz w:val="20"/>
                <w:szCs w:val="20"/>
                <w:color w:val="auto"/>
              </w:rPr>
            </w:pPr>
            <w:r>
              <w:rPr>
                <w:rFonts w:ascii="Arial" w:cs="Arial" w:eastAsia="Arial" w:hAnsi="Arial"/>
                <w:sz w:val="14"/>
                <w:szCs w:val="14"/>
                <w:b w:val="1"/>
                <w:bCs w:val="1"/>
                <w:color w:val="004AAC"/>
              </w:rPr>
              <w:t>Development</w:t>
            </w:r>
          </w:p>
        </w:tc>
        <w:tc>
          <w:tcPr>
            <w:tcW w:w="0" w:type="dxa"/>
            <w:vAlign w:val="bottom"/>
          </w:tcPr>
          <w:p>
            <w:pPr>
              <w:spacing w:after="0"/>
              <w:rPr>
                <w:sz w:val="1"/>
                <w:szCs w:val="1"/>
                <w:color w:val="auto"/>
              </w:rPr>
            </w:pPr>
          </w:p>
        </w:tc>
      </w:tr>
      <w:tr>
        <w:trPr>
          <w:trHeight w:val="107"/>
        </w:trPr>
        <w:tc>
          <w:tcPr>
            <w:tcW w:w="240" w:type="dxa"/>
            <w:vAlign w:val="bottom"/>
          </w:tcPr>
          <w:p>
            <w:pPr>
              <w:spacing w:after="0"/>
              <w:rPr>
                <w:sz w:val="9"/>
                <w:szCs w:val="9"/>
                <w:color w:val="auto"/>
              </w:rPr>
            </w:pPr>
          </w:p>
        </w:tc>
        <w:tc>
          <w:tcPr>
            <w:tcW w:w="3240" w:type="dxa"/>
            <w:vAlign w:val="bottom"/>
            <w:shd w:val="clear" w:color="auto" w:fill="F6F3F0"/>
          </w:tcPr>
          <w:p>
            <w:pPr>
              <w:spacing w:after="0"/>
              <w:rPr>
                <w:sz w:val="9"/>
                <w:szCs w:val="9"/>
                <w:color w:val="auto"/>
              </w:rPr>
            </w:pPr>
          </w:p>
        </w:tc>
        <w:tc>
          <w:tcPr>
            <w:tcW w:w="240" w:type="dxa"/>
            <w:vAlign w:val="bottom"/>
            <w:shd w:val="clear" w:color="auto" w:fill="F6F3F0"/>
          </w:tcPr>
          <w:p>
            <w:pPr>
              <w:spacing w:after="0"/>
              <w:rPr>
                <w:sz w:val="9"/>
                <w:szCs w:val="9"/>
                <w:color w:val="auto"/>
              </w:rPr>
            </w:pPr>
          </w:p>
        </w:tc>
        <w:tc>
          <w:tcPr>
            <w:tcW w:w="240" w:type="dxa"/>
            <w:vAlign w:val="bottom"/>
            <w:shd w:val="clear" w:color="auto" w:fill="F6F3F0"/>
          </w:tcPr>
          <w:p>
            <w:pPr>
              <w:spacing w:after="0"/>
              <w:rPr>
                <w:sz w:val="9"/>
                <w:szCs w:val="9"/>
                <w:color w:val="auto"/>
              </w:rPr>
            </w:pPr>
          </w:p>
        </w:tc>
        <w:tc>
          <w:tcPr>
            <w:tcW w:w="3260" w:type="dxa"/>
            <w:vAlign w:val="bottom"/>
            <w:shd w:val="clear" w:color="auto" w:fill="F6F3F0"/>
          </w:tcPr>
          <w:p>
            <w:pPr>
              <w:spacing w:after="0"/>
              <w:rPr>
                <w:sz w:val="9"/>
                <w:szCs w:val="9"/>
                <w:color w:val="auto"/>
              </w:rPr>
            </w:pPr>
          </w:p>
        </w:tc>
        <w:tc>
          <w:tcPr>
            <w:tcW w:w="480" w:type="dxa"/>
            <w:vAlign w:val="bottom"/>
            <w:shd w:val="clear" w:color="auto" w:fill="F6F3F0"/>
          </w:tcPr>
          <w:p>
            <w:pPr>
              <w:spacing w:after="0"/>
              <w:rPr>
                <w:sz w:val="9"/>
                <w:szCs w:val="9"/>
                <w:color w:val="auto"/>
              </w:rPr>
            </w:pPr>
          </w:p>
        </w:tc>
        <w:tc>
          <w:tcPr>
            <w:tcW w:w="3540" w:type="dxa"/>
            <w:vAlign w:val="bottom"/>
            <w:gridSpan w:val="2"/>
            <w:vMerge w:val="continue"/>
            <w:shd w:val="clear" w:color="auto" w:fill="F6F3F0"/>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3240" w:type="dxa"/>
            <w:vAlign w:val="bottom"/>
            <w:shd w:val="clear" w:color="auto" w:fill="F6F3F0"/>
          </w:tcPr>
          <w:p>
            <w:pPr>
              <w:spacing w:after="0"/>
              <w:rPr>
                <w:sz w:val="8"/>
                <w:szCs w:val="8"/>
                <w:color w:val="auto"/>
              </w:rPr>
            </w:pPr>
          </w:p>
        </w:tc>
        <w:tc>
          <w:tcPr>
            <w:tcW w:w="240" w:type="dxa"/>
            <w:vAlign w:val="bottom"/>
            <w:shd w:val="clear" w:color="auto" w:fill="F6F3F0"/>
          </w:tcPr>
          <w:p>
            <w:pPr>
              <w:spacing w:after="0"/>
              <w:rPr>
                <w:sz w:val="8"/>
                <w:szCs w:val="8"/>
                <w:color w:val="auto"/>
              </w:rPr>
            </w:pPr>
          </w:p>
        </w:tc>
        <w:tc>
          <w:tcPr>
            <w:tcW w:w="240" w:type="dxa"/>
            <w:vAlign w:val="bottom"/>
            <w:shd w:val="clear" w:color="auto" w:fill="F6F3F0"/>
          </w:tcPr>
          <w:p>
            <w:pPr>
              <w:spacing w:after="0"/>
              <w:rPr>
                <w:sz w:val="8"/>
                <w:szCs w:val="8"/>
                <w:color w:val="auto"/>
              </w:rPr>
            </w:pPr>
          </w:p>
        </w:tc>
        <w:tc>
          <w:tcPr>
            <w:tcW w:w="3260" w:type="dxa"/>
            <w:vAlign w:val="bottom"/>
            <w:shd w:val="clear" w:color="auto" w:fill="F6F3F0"/>
          </w:tcPr>
          <w:p>
            <w:pPr>
              <w:spacing w:after="0"/>
              <w:rPr>
                <w:sz w:val="8"/>
                <w:szCs w:val="8"/>
                <w:color w:val="auto"/>
              </w:rPr>
            </w:pPr>
          </w:p>
        </w:tc>
        <w:tc>
          <w:tcPr>
            <w:tcW w:w="480" w:type="dxa"/>
            <w:vAlign w:val="bottom"/>
            <w:shd w:val="clear" w:color="auto" w:fill="F6F3F0"/>
          </w:tcPr>
          <w:p>
            <w:pPr>
              <w:spacing w:after="0"/>
              <w:rPr>
                <w:sz w:val="8"/>
                <w:szCs w:val="8"/>
                <w:color w:val="auto"/>
              </w:rPr>
            </w:pPr>
          </w:p>
        </w:tc>
        <w:tc>
          <w:tcPr>
            <w:tcW w:w="3300" w:type="dxa"/>
            <w:vAlign w:val="bottom"/>
            <w:shd w:val="clear" w:color="auto" w:fill="F6F3F0"/>
          </w:tcPr>
          <w:p>
            <w:pPr>
              <w:spacing w:after="0"/>
              <w:rPr>
                <w:sz w:val="8"/>
                <w:szCs w:val="8"/>
                <w:color w:val="auto"/>
              </w:rPr>
            </w:pPr>
          </w:p>
        </w:tc>
        <w:tc>
          <w:tcPr>
            <w:tcW w:w="240" w:type="dxa"/>
            <w:vAlign w:val="bottom"/>
            <w:shd w:val="clear" w:color="auto" w:fill="F6F3F0"/>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40" w:type="dxa"/>
            <w:vAlign w:val="bottom"/>
          </w:tcPr>
          <w:p>
            <w:pPr>
              <w:spacing w:after="0"/>
              <w:rPr>
                <w:sz w:val="13"/>
                <w:szCs w:val="13"/>
                <w:color w:val="auto"/>
              </w:rPr>
            </w:pPr>
          </w:p>
        </w:tc>
        <w:tc>
          <w:tcPr>
            <w:tcW w:w="3240" w:type="dxa"/>
            <w:vAlign w:val="bottom"/>
            <w:tcBorders>
              <w:bottom w:val="single" w:sz="8" w:color="CFCFD2"/>
            </w:tcBorders>
          </w:tcPr>
          <w:p>
            <w:pPr>
              <w:spacing w:after="0"/>
              <w:rPr>
                <w:sz w:val="13"/>
                <w:szCs w:val="13"/>
                <w:color w:val="auto"/>
              </w:rPr>
            </w:pPr>
          </w:p>
        </w:tc>
        <w:tc>
          <w:tcPr>
            <w:tcW w:w="240" w:type="dxa"/>
            <w:vAlign w:val="bottom"/>
            <w:shd w:val="clear" w:color="auto" w:fill="F6F3F0"/>
          </w:tcPr>
          <w:p>
            <w:pPr>
              <w:spacing w:after="0"/>
              <w:rPr>
                <w:sz w:val="13"/>
                <w:szCs w:val="13"/>
                <w:color w:val="auto"/>
              </w:rPr>
            </w:pPr>
          </w:p>
        </w:tc>
        <w:tc>
          <w:tcPr>
            <w:tcW w:w="240" w:type="dxa"/>
            <w:vAlign w:val="bottom"/>
            <w:tcBorders>
              <w:bottom w:val="single" w:sz="8" w:color="F6F3F0"/>
            </w:tcBorders>
            <w:shd w:val="clear" w:color="auto" w:fill="F6F3F0"/>
          </w:tcPr>
          <w:p>
            <w:pPr>
              <w:spacing w:after="0"/>
              <w:rPr>
                <w:sz w:val="13"/>
                <w:szCs w:val="13"/>
                <w:color w:val="auto"/>
              </w:rPr>
            </w:pPr>
          </w:p>
        </w:tc>
        <w:tc>
          <w:tcPr>
            <w:tcW w:w="3260" w:type="dxa"/>
            <w:vAlign w:val="bottom"/>
            <w:tcBorders>
              <w:bottom w:val="single" w:sz="8" w:color="CFCFD2"/>
            </w:tcBorders>
            <w:shd w:val="clear" w:color="auto" w:fill="F6F3F0"/>
          </w:tcPr>
          <w:p>
            <w:pPr>
              <w:spacing w:after="0"/>
              <w:rPr>
                <w:sz w:val="13"/>
                <w:szCs w:val="13"/>
                <w:color w:val="auto"/>
              </w:rPr>
            </w:pPr>
          </w:p>
        </w:tc>
        <w:tc>
          <w:tcPr>
            <w:tcW w:w="480" w:type="dxa"/>
            <w:vAlign w:val="bottom"/>
            <w:tcBorders>
              <w:bottom w:val="single" w:sz="8" w:color="F6F3F0"/>
            </w:tcBorders>
            <w:shd w:val="clear" w:color="auto" w:fill="F6F3F0"/>
          </w:tcPr>
          <w:p>
            <w:pPr>
              <w:spacing w:after="0"/>
              <w:rPr>
                <w:sz w:val="13"/>
                <w:szCs w:val="13"/>
                <w:color w:val="auto"/>
              </w:rPr>
            </w:pPr>
          </w:p>
        </w:tc>
        <w:tc>
          <w:tcPr>
            <w:tcW w:w="3300" w:type="dxa"/>
            <w:vAlign w:val="bottom"/>
            <w:tcBorders>
              <w:bottom w:val="single" w:sz="8" w:color="CFCFD2"/>
            </w:tcBorders>
            <w:shd w:val="clear" w:color="auto" w:fill="F6F3F0"/>
          </w:tcPr>
          <w:p>
            <w:pPr>
              <w:spacing w:after="0"/>
              <w:rPr>
                <w:sz w:val="13"/>
                <w:szCs w:val="13"/>
                <w:color w:val="auto"/>
              </w:rPr>
            </w:pPr>
          </w:p>
        </w:tc>
        <w:tc>
          <w:tcPr>
            <w:tcW w:w="240" w:type="dxa"/>
            <w:vAlign w:val="bottom"/>
            <w:tcBorders>
              <w:bottom w:val="single" w:sz="8" w:color="F6F3F0"/>
            </w:tcBorders>
            <w:shd w:val="clear" w:color="auto" w:fill="F6F3F0"/>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shd w:val="clear" w:color="auto" w:fill="F6F3F0"/>
          </w:tcPr>
          <w:p>
            <w:pPr>
              <w:spacing w:after="0"/>
              <w:rPr>
                <w:sz w:val="12"/>
                <w:szCs w:val="12"/>
                <w:color w:val="auto"/>
              </w:rPr>
            </w:pPr>
          </w:p>
        </w:tc>
        <w:tc>
          <w:tcPr>
            <w:tcW w:w="3260" w:type="dxa"/>
            <w:vAlign w:val="bottom"/>
            <w:shd w:val="clear" w:color="auto" w:fill="F6F3F0"/>
          </w:tcPr>
          <w:p>
            <w:pPr>
              <w:spacing w:after="0"/>
              <w:rPr>
                <w:sz w:val="12"/>
                <w:szCs w:val="12"/>
                <w:color w:val="auto"/>
              </w:rPr>
            </w:pPr>
          </w:p>
        </w:tc>
        <w:tc>
          <w:tcPr>
            <w:tcW w:w="480" w:type="dxa"/>
            <w:vAlign w:val="bottom"/>
            <w:shd w:val="clear" w:color="auto" w:fill="F6F3F0"/>
          </w:tcPr>
          <w:p>
            <w:pPr>
              <w:spacing w:after="0"/>
              <w:rPr>
                <w:sz w:val="12"/>
                <w:szCs w:val="12"/>
                <w:color w:val="auto"/>
              </w:rPr>
            </w:pPr>
          </w:p>
        </w:tc>
        <w:tc>
          <w:tcPr>
            <w:tcW w:w="3300" w:type="dxa"/>
            <w:vAlign w:val="bottom"/>
            <w:shd w:val="clear" w:color="auto" w:fill="F6F3F0"/>
          </w:tcPr>
          <w:p>
            <w:pPr>
              <w:spacing w:after="0"/>
              <w:rPr>
                <w:sz w:val="12"/>
                <w:szCs w:val="12"/>
                <w:color w:val="auto"/>
              </w:rPr>
            </w:pPr>
          </w:p>
        </w:tc>
        <w:tc>
          <w:tcPr>
            <w:tcW w:w="240" w:type="dxa"/>
            <w:vAlign w:val="bottom"/>
            <w:shd w:val="clear" w:color="auto" w:fill="F6F3F0"/>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-969645</wp:posOffset>
            </wp:positionV>
            <wp:extent cx="4987925" cy="21278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987925" cy="2127885"/>
                    </a:xfrm>
                    <a:prstGeom prst="rect">
                      <a:avLst/>
                    </a:prstGeom>
                    <a:noFill/>
                  </pic:spPr>
                </pic:pic>
              </a:graphicData>
            </a:graphic>
          </wp:anchor>
        </w:drawing>
      </w:r>
    </w:p>
    <w:tbl>
      <w:tblPr>
        <w:tblLayout w:type="fixed"/>
        <w:tblInd w:w="260" w:type="dxa"/>
        <w:tblCellMar>
          <w:top w:w="0" w:type="dxa"/>
          <w:left w:w="0" w:type="dxa"/>
          <w:bottom w:w="0" w:type="dxa"/>
          <w:right w:w="0" w:type="dxa"/>
        </w:tblCellMar>
      </w:tblPr>
      <w:tr>
        <w:trPr>
          <w:trHeight w:val="386"/>
        </w:trPr>
        <w:tc>
          <w:tcPr>
            <w:tcW w:w="3700" w:type="dxa"/>
            <w:vAlign w:val="bottom"/>
          </w:tcPr>
          <w:p>
            <w:pPr>
              <w:spacing w:after="0"/>
              <w:rPr>
                <w:sz w:val="20"/>
                <w:szCs w:val="20"/>
                <w:color w:val="auto"/>
              </w:rPr>
            </w:pPr>
            <w:r>
              <w:rPr>
                <w:rFonts w:ascii="Times New Roman" w:cs="Times New Roman" w:eastAsia="Times New Roman" w:hAnsi="Times New Roman"/>
                <w:sz w:val="32"/>
                <w:szCs w:val="32"/>
                <w:b w:val="1"/>
                <w:bCs w:val="1"/>
                <w:color w:val="0E1020"/>
              </w:rPr>
              <w:t>3.2M</w:t>
            </w:r>
          </w:p>
        </w:tc>
        <w:tc>
          <w:tcPr>
            <w:tcW w:w="3260" w:type="dxa"/>
            <w:vAlign w:val="bottom"/>
            <w:shd w:val="clear" w:color="auto" w:fill="F6F3F0"/>
          </w:tcPr>
          <w:p>
            <w:pPr>
              <w:ind w:left="20"/>
              <w:spacing w:after="0"/>
              <w:rPr>
                <w:sz w:val="20"/>
                <w:szCs w:val="20"/>
                <w:color w:val="auto"/>
              </w:rPr>
            </w:pPr>
            <w:r>
              <w:rPr>
                <w:rFonts w:ascii="Times New Roman" w:cs="Times New Roman" w:eastAsia="Times New Roman" w:hAnsi="Times New Roman"/>
                <w:sz w:val="32"/>
                <w:szCs w:val="32"/>
                <w:b w:val="1"/>
                <w:bCs w:val="1"/>
                <w:color w:val="0E1020"/>
              </w:rPr>
              <w:t>20</w:t>
            </w:r>
          </w:p>
        </w:tc>
        <w:tc>
          <w:tcPr>
            <w:tcW w:w="4020" w:type="dxa"/>
            <w:vAlign w:val="bottom"/>
            <w:shd w:val="clear" w:color="auto" w:fill="F6F3F0"/>
          </w:tcPr>
          <w:p>
            <w:pPr>
              <w:ind w:left="500"/>
              <w:spacing w:after="0"/>
              <w:rPr>
                <w:sz w:val="20"/>
                <w:szCs w:val="20"/>
                <w:color w:val="auto"/>
              </w:rPr>
            </w:pPr>
            <w:r>
              <w:rPr>
                <w:rFonts w:ascii="Times New Roman" w:cs="Times New Roman" w:eastAsia="Times New Roman" w:hAnsi="Times New Roman"/>
                <w:sz w:val="32"/>
                <w:szCs w:val="32"/>
                <w:b w:val="1"/>
                <w:bCs w:val="1"/>
                <w:color w:val="0E1020"/>
              </w:rPr>
              <w:t>$2.6M</w:t>
            </w:r>
          </w:p>
        </w:tc>
      </w:tr>
      <w:tr>
        <w:trPr>
          <w:trHeight w:val="161"/>
        </w:trPr>
        <w:tc>
          <w:tcPr>
            <w:tcW w:w="3700" w:type="dxa"/>
            <w:vAlign w:val="bottom"/>
          </w:tcPr>
          <w:p>
            <w:pPr>
              <w:spacing w:after="0"/>
              <w:rPr>
                <w:sz w:val="20"/>
                <w:szCs w:val="20"/>
                <w:color w:val="auto"/>
              </w:rPr>
            </w:pPr>
            <w:r>
              <w:rPr>
                <w:rFonts w:ascii="Arial" w:cs="Arial" w:eastAsia="Arial" w:hAnsi="Arial"/>
                <w:sz w:val="14"/>
                <w:szCs w:val="14"/>
                <w:b w:val="1"/>
                <w:bCs w:val="1"/>
                <w:color w:val="004AAC"/>
              </w:rPr>
              <w:t>Employees completed 3.2 million hours of</w:t>
            </w:r>
          </w:p>
        </w:tc>
        <w:tc>
          <w:tcPr>
            <w:tcW w:w="3260" w:type="dxa"/>
            <w:vAlign w:val="bottom"/>
            <w:shd w:val="clear" w:color="auto" w:fill="F6F3F0"/>
          </w:tcPr>
          <w:p>
            <w:pPr>
              <w:ind w:left="20"/>
              <w:spacing w:after="0"/>
              <w:rPr>
                <w:sz w:val="20"/>
                <w:szCs w:val="20"/>
                <w:color w:val="auto"/>
              </w:rPr>
            </w:pPr>
            <w:r>
              <w:rPr>
                <w:rFonts w:ascii="Arial" w:cs="Arial" w:eastAsia="Arial" w:hAnsi="Arial"/>
                <w:sz w:val="14"/>
                <w:szCs w:val="14"/>
                <w:b w:val="1"/>
                <w:bCs w:val="1"/>
                <w:color w:val="004AAC"/>
              </w:rPr>
              <w:t>Sponsored 20 Employee Resource Groups</w:t>
            </w:r>
          </w:p>
        </w:tc>
        <w:tc>
          <w:tcPr>
            <w:tcW w:w="4020" w:type="dxa"/>
            <w:vAlign w:val="bottom"/>
            <w:shd w:val="clear" w:color="auto" w:fill="F6F3F0"/>
          </w:tcPr>
          <w:p>
            <w:pPr>
              <w:ind w:left="500"/>
              <w:spacing w:after="0"/>
              <w:rPr>
                <w:sz w:val="20"/>
                <w:szCs w:val="20"/>
                <w:color w:val="auto"/>
              </w:rPr>
            </w:pPr>
            <w:r>
              <w:rPr>
                <w:rFonts w:ascii="Arial" w:cs="Arial" w:eastAsia="Arial" w:hAnsi="Arial"/>
                <w:sz w:val="14"/>
                <w:szCs w:val="14"/>
                <w:b w:val="1"/>
                <w:bCs w:val="1"/>
                <w:color w:val="004AAC"/>
              </w:rPr>
              <w:t>Expanded our award-winning DXC Dandelion</w:t>
            </w:r>
          </w:p>
        </w:tc>
      </w:tr>
      <w:tr>
        <w:trPr>
          <w:trHeight w:val="174"/>
        </w:trPr>
        <w:tc>
          <w:tcPr>
            <w:tcW w:w="3700" w:type="dxa"/>
            <w:vAlign w:val="bottom"/>
          </w:tcPr>
          <w:p>
            <w:pPr>
              <w:spacing w:after="0"/>
              <w:rPr>
                <w:sz w:val="20"/>
                <w:szCs w:val="20"/>
                <w:color w:val="auto"/>
              </w:rPr>
            </w:pPr>
            <w:r>
              <w:rPr>
                <w:rFonts w:ascii="Arial" w:cs="Arial" w:eastAsia="Arial" w:hAnsi="Arial"/>
                <w:sz w:val="14"/>
                <w:szCs w:val="14"/>
                <w:b w:val="1"/>
                <w:bCs w:val="1"/>
                <w:color w:val="004AAC"/>
              </w:rPr>
              <w:t>technical and leadership training in fiscal 2025</w:t>
            </w:r>
          </w:p>
        </w:tc>
        <w:tc>
          <w:tcPr>
            <w:tcW w:w="3260" w:type="dxa"/>
            <w:vAlign w:val="bottom"/>
            <w:shd w:val="clear" w:color="auto" w:fill="F6F3F0"/>
          </w:tcPr>
          <w:p>
            <w:pPr>
              <w:ind w:left="20"/>
              <w:spacing w:after="0"/>
              <w:rPr>
                <w:sz w:val="20"/>
                <w:szCs w:val="20"/>
                <w:color w:val="auto"/>
              </w:rPr>
            </w:pPr>
            <w:r>
              <w:rPr>
                <w:rFonts w:ascii="Arial" w:cs="Arial" w:eastAsia="Arial" w:hAnsi="Arial"/>
                <w:sz w:val="14"/>
                <w:szCs w:val="14"/>
                <w:b w:val="1"/>
                <w:bCs w:val="1"/>
                <w:color w:val="004AAC"/>
              </w:rPr>
              <w:t>with regional chapters, each open to all</w:t>
            </w:r>
          </w:p>
        </w:tc>
        <w:tc>
          <w:tcPr>
            <w:tcW w:w="4020" w:type="dxa"/>
            <w:vAlign w:val="bottom"/>
            <w:shd w:val="clear" w:color="auto" w:fill="F6F3F0"/>
          </w:tcPr>
          <w:p>
            <w:pPr>
              <w:ind w:left="500"/>
              <w:spacing w:after="0"/>
              <w:rPr>
                <w:sz w:val="20"/>
                <w:szCs w:val="20"/>
                <w:color w:val="auto"/>
              </w:rPr>
            </w:pPr>
            <w:r>
              <w:rPr>
                <w:rFonts w:ascii="Arial" w:cs="Arial" w:eastAsia="Arial" w:hAnsi="Arial"/>
                <w:sz w:val="14"/>
                <w:szCs w:val="14"/>
                <w:b w:val="1"/>
                <w:bCs w:val="1"/>
                <w:color w:val="004AAC"/>
              </w:rPr>
              <w:t>Program in Europe to support neurodivergent</w:t>
            </w:r>
          </w:p>
        </w:tc>
      </w:tr>
      <w:tr>
        <w:trPr>
          <w:trHeight w:val="174"/>
        </w:trPr>
        <w:tc>
          <w:tcPr>
            <w:tcW w:w="3700" w:type="dxa"/>
            <w:vAlign w:val="bottom"/>
          </w:tcPr>
          <w:p>
            <w:pPr>
              <w:spacing w:after="0"/>
              <w:rPr>
                <w:sz w:val="20"/>
                <w:szCs w:val="20"/>
                <w:color w:val="auto"/>
              </w:rPr>
            </w:pPr>
            <w:r>
              <w:rPr>
                <w:rFonts w:ascii="Arial" w:cs="Arial" w:eastAsia="Arial" w:hAnsi="Arial"/>
                <w:sz w:val="14"/>
                <w:szCs w:val="14"/>
                <w:b w:val="1"/>
                <w:bCs w:val="1"/>
                <w:color w:val="004AAC"/>
              </w:rPr>
              <w:t>via DXC Learning</w:t>
            </w:r>
          </w:p>
        </w:tc>
        <w:tc>
          <w:tcPr>
            <w:tcW w:w="3260" w:type="dxa"/>
            <w:vAlign w:val="bottom"/>
            <w:shd w:val="clear" w:color="auto" w:fill="F6F3F0"/>
          </w:tcPr>
          <w:p>
            <w:pPr>
              <w:ind w:left="20"/>
              <w:spacing w:after="0"/>
              <w:rPr>
                <w:sz w:val="20"/>
                <w:szCs w:val="20"/>
                <w:color w:val="auto"/>
              </w:rPr>
            </w:pPr>
            <w:r>
              <w:rPr>
                <w:rFonts w:ascii="Arial" w:cs="Arial" w:eastAsia="Arial" w:hAnsi="Arial"/>
                <w:sz w:val="14"/>
                <w:szCs w:val="14"/>
                <w:b w:val="1"/>
                <w:bCs w:val="1"/>
                <w:color w:val="004AAC"/>
              </w:rPr>
              <w:t>employees, to cultivate inclusion and</w:t>
            </w:r>
          </w:p>
        </w:tc>
        <w:tc>
          <w:tcPr>
            <w:tcW w:w="4020" w:type="dxa"/>
            <w:vAlign w:val="bottom"/>
            <w:shd w:val="clear" w:color="auto" w:fill="F6F3F0"/>
          </w:tcPr>
          <w:p>
            <w:pPr>
              <w:ind w:left="500"/>
              <w:spacing w:after="0"/>
              <w:rPr>
                <w:sz w:val="20"/>
                <w:szCs w:val="20"/>
                <w:color w:val="auto"/>
              </w:rPr>
            </w:pPr>
            <w:r>
              <w:rPr>
                <w:rFonts w:ascii="Arial" w:cs="Arial" w:eastAsia="Arial" w:hAnsi="Arial"/>
                <w:sz w:val="14"/>
                <w:szCs w:val="14"/>
                <w:b w:val="1"/>
                <w:bCs w:val="1"/>
                <w:color w:val="004AAC"/>
              </w:rPr>
              <w:t>people looking to build careers in information</w:t>
            </w:r>
          </w:p>
        </w:tc>
      </w:tr>
      <w:tr>
        <w:trPr>
          <w:trHeight w:val="174"/>
        </w:trPr>
        <w:tc>
          <w:tcPr>
            <w:tcW w:w="3700" w:type="dxa"/>
            <w:vAlign w:val="bottom"/>
          </w:tcPr>
          <w:p>
            <w:pPr>
              <w:spacing w:after="0"/>
              <w:rPr>
                <w:sz w:val="15"/>
                <w:szCs w:val="15"/>
                <w:color w:val="auto"/>
              </w:rPr>
            </w:pPr>
          </w:p>
        </w:tc>
        <w:tc>
          <w:tcPr>
            <w:tcW w:w="3260" w:type="dxa"/>
            <w:vAlign w:val="bottom"/>
            <w:shd w:val="clear" w:color="auto" w:fill="F6F3F0"/>
          </w:tcPr>
          <w:p>
            <w:pPr>
              <w:ind w:left="20"/>
              <w:spacing w:after="0"/>
              <w:rPr>
                <w:sz w:val="20"/>
                <w:szCs w:val="20"/>
                <w:color w:val="auto"/>
              </w:rPr>
            </w:pPr>
            <w:r>
              <w:rPr>
                <w:rFonts w:ascii="Arial" w:cs="Arial" w:eastAsia="Arial" w:hAnsi="Arial"/>
                <w:sz w:val="14"/>
                <w:szCs w:val="14"/>
                <w:b w:val="1"/>
                <w:bCs w:val="1"/>
                <w:color w:val="004AAC"/>
              </w:rPr>
              <w:t>belonging</w:t>
            </w:r>
          </w:p>
        </w:tc>
        <w:tc>
          <w:tcPr>
            <w:tcW w:w="4020" w:type="dxa"/>
            <w:vAlign w:val="bottom"/>
            <w:shd w:val="clear" w:color="auto" w:fill="F6F3F0"/>
          </w:tcPr>
          <w:p>
            <w:pPr>
              <w:ind w:left="500"/>
              <w:spacing w:after="0"/>
              <w:rPr>
                <w:sz w:val="20"/>
                <w:szCs w:val="20"/>
                <w:color w:val="auto"/>
              </w:rPr>
            </w:pPr>
            <w:r>
              <w:rPr>
                <w:rFonts w:ascii="Arial" w:cs="Arial" w:eastAsia="Arial" w:hAnsi="Arial"/>
                <w:sz w:val="14"/>
                <w:szCs w:val="14"/>
                <w:b w:val="1"/>
                <w:bCs w:val="1"/>
                <w:color w:val="004AAC"/>
              </w:rPr>
              <w:t>and communications technology; DXC has</w:t>
            </w:r>
          </w:p>
        </w:tc>
      </w:tr>
      <w:tr>
        <w:trPr>
          <w:trHeight w:val="174"/>
        </w:trPr>
        <w:tc>
          <w:tcPr>
            <w:tcW w:w="3700" w:type="dxa"/>
            <w:vAlign w:val="bottom"/>
          </w:tcPr>
          <w:p>
            <w:pPr>
              <w:spacing w:after="0"/>
              <w:rPr>
                <w:sz w:val="15"/>
                <w:szCs w:val="15"/>
                <w:color w:val="auto"/>
              </w:rPr>
            </w:pPr>
          </w:p>
        </w:tc>
        <w:tc>
          <w:tcPr>
            <w:tcW w:w="3260" w:type="dxa"/>
            <w:vAlign w:val="bottom"/>
            <w:shd w:val="clear" w:color="auto" w:fill="F6F3F0"/>
          </w:tcPr>
          <w:p>
            <w:pPr>
              <w:spacing w:after="0"/>
              <w:rPr>
                <w:sz w:val="15"/>
                <w:szCs w:val="15"/>
                <w:color w:val="auto"/>
              </w:rPr>
            </w:pPr>
          </w:p>
        </w:tc>
        <w:tc>
          <w:tcPr>
            <w:tcW w:w="4020" w:type="dxa"/>
            <w:vAlign w:val="bottom"/>
            <w:shd w:val="clear" w:color="auto" w:fill="F6F3F0"/>
          </w:tcPr>
          <w:p>
            <w:pPr>
              <w:ind w:left="500"/>
              <w:spacing w:after="0"/>
              <w:rPr>
                <w:sz w:val="20"/>
                <w:szCs w:val="20"/>
                <w:color w:val="auto"/>
              </w:rPr>
            </w:pPr>
            <w:r>
              <w:rPr>
                <w:rFonts w:ascii="Arial" w:cs="Arial" w:eastAsia="Arial" w:hAnsi="Arial"/>
                <w:sz w:val="14"/>
                <w:szCs w:val="14"/>
                <w:b w:val="1"/>
                <w:bCs w:val="1"/>
                <w:color w:val="004AAC"/>
              </w:rPr>
              <w:t>invested $2.6M in neurodiversity and mental</w:t>
            </w:r>
          </w:p>
        </w:tc>
      </w:tr>
      <w:tr>
        <w:trPr>
          <w:trHeight w:val="195"/>
        </w:trPr>
        <w:tc>
          <w:tcPr>
            <w:tcW w:w="3700" w:type="dxa"/>
            <w:vAlign w:val="bottom"/>
          </w:tcPr>
          <w:p>
            <w:pPr>
              <w:spacing w:after="0"/>
              <w:rPr>
                <w:sz w:val="16"/>
                <w:szCs w:val="16"/>
                <w:color w:val="auto"/>
              </w:rPr>
            </w:pPr>
          </w:p>
        </w:tc>
        <w:tc>
          <w:tcPr>
            <w:tcW w:w="3260" w:type="dxa"/>
            <w:vAlign w:val="bottom"/>
            <w:shd w:val="clear" w:color="auto" w:fill="F6F3F0"/>
          </w:tcPr>
          <w:p>
            <w:pPr>
              <w:spacing w:after="0"/>
              <w:rPr>
                <w:sz w:val="16"/>
                <w:szCs w:val="16"/>
                <w:color w:val="auto"/>
              </w:rPr>
            </w:pPr>
          </w:p>
        </w:tc>
        <w:tc>
          <w:tcPr>
            <w:tcW w:w="4020" w:type="dxa"/>
            <w:vAlign w:val="bottom"/>
            <w:shd w:val="clear" w:color="auto" w:fill="F6F3F0"/>
          </w:tcPr>
          <w:p>
            <w:pPr>
              <w:ind w:left="500"/>
              <w:spacing w:after="0"/>
              <w:rPr>
                <w:sz w:val="20"/>
                <w:szCs w:val="20"/>
                <w:color w:val="auto"/>
              </w:rPr>
            </w:pPr>
            <w:r>
              <w:rPr>
                <w:rFonts w:ascii="Arial" w:cs="Arial" w:eastAsia="Arial" w:hAnsi="Arial"/>
                <w:sz w:val="14"/>
                <w:szCs w:val="14"/>
                <w:b w:val="1"/>
                <w:bCs w:val="1"/>
                <w:color w:val="004AAC"/>
              </w:rPr>
              <w:t>health research through the program</w:t>
            </w:r>
          </w:p>
        </w:tc>
      </w:tr>
      <w:tr>
        <w:trPr>
          <w:trHeight w:val="364"/>
        </w:trPr>
        <w:tc>
          <w:tcPr>
            <w:tcW w:w="3700" w:type="dxa"/>
            <w:vAlign w:val="bottom"/>
          </w:tcPr>
          <w:p>
            <w:pPr>
              <w:spacing w:after="0"/>
              <w:rPr>
                <w:sz w:val="24"/>
                <w:szCs w:val="24"/>
                <w:color w:val="auto"/>
              </w:rPr>
            </w:pPr>
          </w:p>
        </w:tc>
        <w:tc>
          <w:tcPr>
            <w:tcW w:w="3260" w:type="dxa"/>
            <w:vAlign w:val="bottom"/>
            <w:shd w:val="clear" w:color="auto" w:fill="F6F3F0"/>
          </w:tcPr>
          <w:p>
            <w:pPr>
              <w:spacing w:after="0"/>
              <w:rPr>
                <w:sz w:val="24"/>
                <w:szCs w:val="24"/>
                <w:color w:val="auto"/>
              </w:rPr>
            </w:pPr>
          </w:p>
        </w:tc>
        <w:tc>
          <w:tcPr>
            <w:tcW w:w="4020" w:type="dxa"/>
            <w:vAlign w:val="bottom"/>
            <w:shd w:val="clear" w:color="auto" w:fill="F6F3F0"/>
          </w:tcPr>
          <w:p>
            <w:pPr>
              <w:spacing w:after="0"/>
              <w:rPr>
                <w:sz w:val="24"/>
                <w:szCs w:val="24"/>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Governance</w:t>
      </w:r>
    </w:p>
    <w:p>
      <w:pPr>
        <w:spacing w:after="0" w:line="98"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0E1020"/>
        </w:rPr>
        <w:t>DXC’s governance program is structured to instill trust and garner respect among the stakeholders we serve through responsible and transparent leadership. Our Board devotes significant time and attention to ESG issues that are important to our company and our stockholders, inclusive of Information Security Risk, Ethics &amp; Compliance, and Sustainability to maintain the highest standards of corporate governance.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0E1020"/>
        </w:rPr>
        <w:t>Achievements include: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40" w:type="dxa"/>
            <w:vAlign w:val="bottom"/>
            <w:shd w:val="clear" w:color="auto" w:fill="F6F3F0"/>
          </w:tcPr>
          <w:p>
            <w:pPr>
              <w:spacing w:after="0"/>
              <w:rPr>
                <w:sz w:val="23"/>
                <w:szCs w:val="23"/>
                <w:color w:val="auto"/>
              </w:rPr>
            </w:pPr>
          </w:p>
        </w:tc>
        <w:tc>
          <w:tcPr>
            <w:tcW w:w="2320" w:type="dxa"/>
            <w:vAlign w:val="bottom"/>
            <w:vMerge w:val="restart"/>
            <w:shd w:val="clear" w:color="auto" w:fill="F6F3F0"/>
          </w:tcPr>
          <w:p>
            <w:pPr>
              <w:ind w:left="20"/>
              <w:spacing w:after="0"/>
              <w:rPr>
                <w:sz w:val="20"/>
                <w:szCs w:val="20"/>
                <w:color w:val="auto"/>
              </w:rPr>
            </w:pPr>
            <w:r>
              <w:rPr>
                <w:rFonts w:ascii="Arial" w:cs="Arial" w:eastAsia="Arial" w:hAnsi="Arial"/>
                <w:sz w:val="14"/>
                <w:szCs w:val="14"/>
                <w:b w:val="1"/>
                <w:bCs w:val="1"/>
                <w:color w:val="004AAC"/>
              </w:rPr>
              <w:t>Experienced and engaged Board</w:t>
            </w:r>
          </w:p>
        </w:tc>
        <w:tc>
          <w:tcPr>
            <w:tcW w:w="260" w:type="dxa"/>
            <w:vAlign w:val="bottom"/>
            <w:tcBorders>
              <w:right w:val="single" w:sz="8" w:color="F6F3F0"/>
            </w:tcBorders>
            <w:shd w:val="clear" w:color="auto" w:fill="F6F3F0"/>
          </w:tcPr>
          <w:p>
            <w:pPr>
              <w:spacing w:after="0"/>
              <w:rPr>
                <w:sz w:val="23"/>
                <w:szCs w:val="23"/>
                <w:color w:val="auto"/>
              </w:rPr>
            </w:pPr>
          </w:p>
        </w:tc>
        <w:tc>
          <w:tcPr>
            <w:tcW w:w="2780" w:type="dxa"/>
            <w:vAlign w:val="bottom"/>
            <w:vMerge w:val="restart"/>
            <w:shd w:val="clear" w:color="auto" w:fill="F6F3F0"/>
          </w:tcPr>
          <w:p>
            <w:pPr>
              <w:ind w:left="240"/>
              <w:spacing w:after="0"/>
              <w:rPr>
                <w:sz w:val="20"/>
                <w:szCs w:val="20"/>
                <w:color w:val="auto"/>
              </w:rPr>
            </w:pPr>
            <w:r>
              <w:rPr>
                <w:rFonts w:ascii="Arial" w:cs="Arial" w:eastAsia="Arial" w:hAnsi="Arial"/>
                <w:sz w:val="14"/>
                <w:szCs w:val="14"/>
                <w:b w:val="1"/>
                <w:bCs w:val="1"/>
                <w:color w:val="004AAC"/>
              </w:rPr>
              <w:t>Global ethics &amp; compliance</w:t>
            </w:r>
          </w:p>
        </w:tc>
        <w:tc>
          <w:tcPr>
            <w:tcW w:w="20" w:type="dxa"/>
            <w:vAlign w:val="bottom"/>
            <w:shd w:val="clear" w:color="auto" w:fill="F6F3F0"/>
          </w:tcPr>
          <w:p>
            <w:pPr>
              <w:spacing w:after="0"/>
              <w:rPr>
                <w:sz w:val="23"/>
                <w:szCs w:val="23"/>
                <w:color w:val="auto"/>
              </w:rPr>
            </w:pPr>
          </w:p>
        </w:tc>
        <w:tc>
          <w:tcPr>
            <w:tcW w:w="2820" w:type="dxa"/>
            <w:vAlign w:val="bottom"/>
            <w:vMerge w:val="restart"/>
            <w:shd w:val="clear" w:color="auto" w:fill="F6F3F0"/>
          </w:tcPr>
          <w:p>
            <w:pPr>
              <w:ind w:left="240"/>
              <w:spacing w:after="0"/>
              <w:rPr>
                <w:sz w:val="20"/>
                <w:szCs w:val="20"/>
                <w:color w:val="auto"/>
              </w:rPr>
            </w:pPr>
            <w:r>
              <w:rPr>
                <w:rFonts w:ascii="Arial" w:cs="Arial" w:eastAsia="Arial" w:hAnsi="Arial"/>
                <w:sz w:val="14"/>
                <w:szCs w:val="14"/>
                <w:b w:val="1"/>
                <w:bCs w:val="1"/>
                <w:color w:val="004AAC"/>
              </w:rPr>
              <w:t>Continual investment</w:t>
            </w:r>
          </w:p>
        </w:tc>
        <w:tc>
          <w:tcPr>
            <w:tcW w:w="20" w:type="dxa"/>
            <w:vAlign w:val="bottom"/>
            <w:shd w:val="clear" w:color="auto" w:fill="F6F3F0"/>
          </w:tcPr>
          <w:p>
            <w:pPr>
              <w:spacing w:after="0"/>
              <w:rPr>
                <w:sz w:val="23"/>
                <w:szCs w:val="23"/>
                <w:color w:val="auto"/>
              </w:rPr>
            </w:pPr>
          </w:p>
        </w:tc>
        <w:tc>
          <w:tcPr>
            <w:tcW w:w="2780" w:type="dxa"/>
            <w:vAlign w:val="bottom"/>
            <w:vMerge w:val="restart"/>
            <w:shd w:val="clear" w:color="auto" w:fill="F6F3F0"/>
          </w:tcPr>
          <w:p>
            <w:pPr>
              <w:ind w:left="240"/>
              <w:spacing w:after="0"/>
              <w:rPr>
                <w:sz w:val="20"/>
                <w:szCs w:val="20"/>
                <w:color w:val="auto"/>
              </w:rPr>
            </w:pPr>
            <w:r>
              <w:rPr>
                <w:rFonts w:ascii="Arial" w:cs="Arial" w:eastAsia="Arial" w:hAnsi="Arial"/>
                <w:sz w:val="14"/>
                <w:szCs w:val="14"/>
                <w:b w:val="1"/>
                <w:bCs w:val="1"/>
                <w:color w:val="004AAC"/>
              </w:rPr>
              <w:t>100% of multi-tenant data centers</w:t>
            </w:r>
          </w:p>
        </w:tc>
        <w:tc>
          <w:tcPr>
            <w:tcW w:w="0" w:type="dxa"/>
            <w:vAlign w:val="bottom"/>
          </w:tcPr>
          <w:p>
            <w:pPr>
              <w:spacing w:after="0"/>
              <w:rPr>
                <w:sz w:val="1"/>
                <w:szCs w:val="1"/>
                <w:color w:val="auto"/>
              </w:rPr>
            </w:pPr>
          </w:p>
        </w:tc>
      </w:tr>
      <w:tr>
        <w:trPr>
          <w:trHeight w:val="822"/>
        </w:trPr>
        <w:tc>
          <w:tcPr>
            <w:tcW w:w="240" w:type="dxa"/>
            <w:vAlign w:val="bottom"/>
            <w:shd w:val="clear" w:color="auto" w:fill="F6F3F0"/>
          </w:tcPr>
          <w:p>
            <w:pPr>
              <w:spacing w:after="0"/>
              <w:rPr>
                <w:sz w:val="24"/>
                <w:szCs w:val="24"/>
                <w:color w:val="auto"/>
              </w:rPr>
            </w:pPr>
          </w:p>
        </w:tc>
        <w:tc>
          <w:tcPr>
            <w:tcW w:w="2320" w:type="dxa"/>
            <w:vAlign w:val="bottom"/>
            <w:vMerge w:val="continue"/>
            <w:shd w:val="clear" w:color="auto" w:fill="F6F3F0"/>
          </w:tcPr>
          <w:p>
            <w:pPr>
              <w:spacing w:after="0"/>
              <w:rPr>
                <w:sz w:val="24"/>
                <w:szCs w:val="24"/>
                <w:color w:val="auto"/>
              </w:rPr>
            </w:pPr>
          </w:p>
        </w:tc>
        <w:tc>
          <w:tcPr>
            <w:tcW w:w="260" w:type="dxa"/>
            <w:vAlign w:val="bottom"/>
            <w:tcBorders>
              <w:right w:val="single" w:sz="8" w:color="CFCFD2"/>
            </w:tcBorders>
            <w:shd w:val="clear" w:color="auto" w:fill="F6F3F0"/>
          </w:tcPr>
          <w:p>
            <w:pPr>
              <w:spacing w:after="0"/>
              <w:rPr>
                <w:sz w:val="24"/>
                <w:szCs w:val="24"/>
                <w:color w:val="auto"/>
              </w:rPr>
            </w:pPr>
          </w:p>
        </w:tc>
        <w:tc>
          <w:tcPr>
            <w:tcW w:w="2780" w:type="dxa"/>
            <w:vAlign w:val="bottom"/>
            <w:vMerge w:val="continue"/>
            <w:shd w:val="clear" w:color="auto" w:fill="F6F3F0"/>
          </w:tcPr>
          <w:p>
            <w:pPr>
              <w:spacing w:after="0"/>
              <w:rPr>
                <w:sz w:val="24"/>
                <w:szCs w:val="24"/>
                <w:color w:val="auto"/>
              </w:rPr>
            </w:pPr>
          </w:p>
        </w:tc>
        <w:tc>
          <w:tcPr>
            <w:tcW w:w="20" w:type="dxa"/>
            <w:vAlign w:val="bottom"/>
            <w:shd w:val="clear" w:color="auto" w:fill="CFCFD2"/>
          </w:tcPr>
          <w:p>
            <w:pPr>
              <w:spacing w:after="0"/>
              <w:rPr>
                <w:sz w:val="24"/>
                <w:szCs w:val="24"/>
                <w:color w:val="auto"/>
              </w:rPr>
            </w:pPr>
          </w:p>
        </w:tc>
        <w:tc>
          <w:tcPr>
            <w:tcW w:w="2820" w:type="dxa"/>
            <w:vAlign w:val="bottom"/>
            <w:vMerge w:val="continue"/>
            <w:shd w:val="clear" w:color="auto" w:fill="F6F3F0"/>
          </w:tcPr>
          <w:p>
            <w:pPr>
              <w:spacing w:after="0"/>
              <w:rPr>
                <w:sz w:val="24"/>
                <w:szCs w:val="24"/>
                <w:color w:val="auto"/>
              </w:rPr>
            </w:pPr>
          </w:p>
        </w:tc>
        <w:tc>
          <w:tcPr>
            <w:tcW w:w="20" w:type="dxa"/>
            <w:vAlign w:val="bottom"/>
            <w:shd w:val="clear" w:color="auto" w:fill="CFCFD2"/>
          </w:tcPr>
          <w:p>
            <w:pPr>
              <w:spacing w:after="0"/>
              <w:rPr>
                <w:sz w:val="24"/>
                <w:szCs w:val="24"/>
                <w:color w:val="auto"/>
              </w:rPr>
            </w:pPr>
          </w:p>
        </w:tc>
        <w:tc>
          <w:tcPr>
            <w:tcW w:w="2780" w:type="dxa"/>
            <w:vAlign w:val="bottom"/>
            <w:vMerge w:val="continue"/>
            <w:shd w:val="clear" w:color="auto" w:fill="F6F3F0"/>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40" w:type="dxa"/>
            <w:vAlign w:val="bottom"/>
            <w:shd w:val="clear" w:color="auto" w:fill="F6F3F0"/>
          </w:tcPr>
          <w:p>
            <w:pPr>
              <w:spacing w:after="0"/>
              <w:rPr>
                <w:sz w:val="13"/>
                <w:szCs w:val="13"/>
                <w:color w:val="auto"/>
              </w:rPr>
            </w:pPr>
          </w:p>
        </w:tc>
        <w:tc>
          <w:tcPr>
            <w:tcW w:w="2320" w:type="dxa"/>
            <w:vAlign w:val="bottom"/>
            <w:shd w:val="clear" w:color="auto" w:fill="F6F3F0"/>
          </w:tcPr>
          <w:p>
            <w:pPr>
              <w:ind w:left="20"/>
              <w:spacing w:after="0"/>
              <w:rPr>
                <w:sz w:val="20"/>
                <w:szCs w:val="20"/>
                <w:color w:val="auto"/>
              </w:rPr>
            </w:pPr>
            <w:r>
              <w:rPr>
                <w:rFonts w:ascii="Arial" w:cs="Arial" w:eastAsia="Arial" w:hAnsi="Arial"/>
                <w:sz w:val="14"/>
                <w:szCs w:val="14"/>
                <w:b w:val="1"/>
                <w:bCs w:val="1"/>
                <w:color w:val="004AAC"/>
              </w:rPr>
              <w:t>of Directors and key committees</w:t>
            </w:r>
          </w:p>
        </w:tc>
        <w:tc>
          <w:tcPr>
            <w:tcW w:w="260" w:type="dxa"/>
            <w:vAlign w:val="bottom"/>
            <w:tcBorders>
              <w:right w:val="single" w:sz="8" w:color="CFCFD2"/>
            </w:tcBorders>
            <w:shd w:val="clear" w:color="auto" w:fill="F6F3F0"/>
          </w:tcPr>
          <w:p>
            <w:pPr>
              <w:spacing w:after="0"/>
              <w:rPr>
                <w:sz w:val="13"/>
                <w:szCs w:val="13"/>
                <w:color w:val="auto"/>
              </w:rPr>
            </w:pPr>
          </w:p>
        </w:tc>
        <w:tc>
          <w:tcPr>
            <w:tcW w:w="2780" w:type="dxa"/>
            <w:vAlign w:val="bottom"/>
            <w:shd w:val="clear" w:color="auto" w:fill="F6F3F0"/>
          </w:tcPr>
          <w:p>
            <w:pPr>
              <w:ind w:left="240"/>
              <w:spacing w:after="0"/>
              <w:rPr>
                <w:sz w:val="20"/>
                <w:szCs w:val="20"/>
                <w:color w:val="auto"/>
              </w:rPr>
            </w:pPr>
            <w:r>
              <w:rPr>
                <w:rFonts w:ascii="Arial" w:cs="Arial" w:eastAsia="Arial" w:hAnsi="Arial"/>
                <w:sz w:val="14"/>
                <w:szCs w:val="14"/>
                <w:b w:val="1"/>
                <w:bCs w:val="1"/>
                <w:color w:val="004AAC"/>
              </w:rPr>
              <w:t>program, leveraging advanced</w:t>
            </w:r>
          </w:p>
        </w:tc>
        <w:tc>
          <w:tcPr>
            <w:tcW w:w="20" w:type="dxa"/>
            <w:vAlign w:val="bottom"/>
            <w:shd w:val="clear" w:color="auto" w:fill="CFCFD2"/>
          </w:tcPr>
          <w:p>
            <w:pPr>
              <w:spacing w:after="0"/>
              <w:rPr>
                <w:sz w:val="13"/>
                <w:szCs w:val="13"/>
                <w:color w:val="auto"/>
              </w:rPr>
            </w:pPr>
          </w:p>
        </w:tc>
        <w:tc>
          <w:tcPr>
            <w:tcW w:w="2820" w:type="dxa"/>
            <w:vAlign w:val="bottom"/>
            <w:shd w:val="clear" w:color="auto" w:fill="F6F3F0"/>
          </w:tcPr>
          <w:p>
            <w:pPr>
              <w:ind w:left="240"/>
              <w:spacing w:after="0"/>
              <w:rPr>
                <w:sz w:val="20"/>
                <w:szCs w:val="20"/>
                <w:color w:val="auto"/>
              </w:rPr>
            </w:pPr>
            <w:r>
              <w:rPr>
                <w:rFonts w:ascii="Arial" w:cs="Arial" w:eastAsia="Arial" w:hAnsi="Arial"/>
                <w:sz w:val="14"/>
                <w:szCs w:val="14"/>
                <w:b w:val="1"/>
                <w:bCs w:val="1"/>
                <w:color w:val="004AAC"/>
              </w:rPr>
              <w:t>in information security and data</w:t>
            </w:r>
          </w:p>
        </w:tc>
        <w:tc>
          <w:tcPr>
            <w:tcW w:w="20" w:type="dxa"/>
            <w:vAlign w:val="bottom"/>
            <w:shd w:val="clear" w:color="auto" w:fill="CFCFD2"/>
          </w:tcPr>
          <w:p>
            <w:pPr>
              <w:spacing w:after="0"/>
              <w:rPr>
                <w:sz w:val="13"/>
                <w:szCs w:val="13"/>
                <w:color w:val="auto"/>
              </w:rPr>
            </w:pPr>
          </w:p>
        </w:tc>
        <w:tc>
          <w:tcPr>
            <w:tcW w:w="2780" w:type="dxa"/>
            <w:vAlign w:val="bottom"/>
            <w:shd w:val="clear" w:color="auto" w:fill="F6F3F0"/>
          </w:tcPr>
          <w:p>
            <w:pPr>
              <w:ind w:left="240"/>
              <w:spacing w:after="0"/>
              <w:rPr>
                <w:sz w:val="20"/>
                <w:szCs w:val="20"/>
                <w:color w:val="auto"/>
              </w:rPr>
            </w:pPr>
            <w:r>
              <w:rPr>
                <w:rFonts w:ascii="Arial" w:cs="Arial" w:eastAsia="Arial" w:hAnsi="Arial"/>
                <w:sz w:val="14"/>
                <w:szCs w:val="14"/>
                <w:b w:val="1"/>
                <w:bCs w:val="1"/>
                <w:color w:val="004AAC"/>
              </w:rPr>
              <w:t>are certified to ISO 27001, the</w:t>
            </w:r>
          </w:p>
        </w:tc>
        <w:tc>
          <w:tcPr>
            <w:tcW w:w="0" w:type="dxa"/>
            <w:vAlign w:val="bottom"/>
          </w:tcPr>
          <w:p>
            <w:pPr>
              <w:spacing w:after="0"/>
              <w:rPr>
                <w:sz w:val="1"/>
                <w:szCs w:val="1"/>
                <w:color w:val="auto"/>
              </w:rPr>
            </w:pPr>
          </w:p>
        </w:tc>
      </w:tr>
      <w:tr>
        <w:trPr>
          <w:trHeight w:val="174"/>
        </w:trPr>
        <w:tc>
          <w:tcPr>
            <w:tcW w:w="240" w:type="dxa"/>
            <w:vAlign w:val="bottom"/>
            <w:shd w:val="clear" w:color="auto" w:fill="F6F3F0"/>
          </w:tcPr>
          <w:p>
            <w:pPr>
              <w:spacing w:after="0"/>
              <w:rPr>
                <w:sz w:val="15"/>
                <w:szCs w:val="15"/>
                <w:color w:val="auto"/>
              </w:rPr>
            </w:pPr>
          </w:p>
        </w:tc>
        <w:tc>
          <w:tcPr>
            <w:tcW w:w="2320" w:type="dxa"/>
            <w:vAlign w:val="bottom"/>
            <w:shd w:val="clear" w:color="auto" w:fill="F6F3F0"/>
          </w:tcPr>
          <w:p>
            <w:pPr>
              <w:spacing w:after="0"/>
              <w:rPr>
                <w:sz w:val="15"/>
                <w:szCs w:val="15"/>
                <w:color w:val="auto"/>
              </w:rPr>
            </w:pPr>
          </w:p>
        </w:tc>
        <w:tc>
          <w:tcPr>
            <w:tcW w:w="260" w:type="dxa"/>
            <w:vAlign w:val="bottom"/>
            <w:tcBorders>
              <w:right w:val="single" w:sz="8" w:color="CFCFD2"/>
            </w:tcBorders>
            <w:shd w:val="clear" w:color="auto" w:fill="F6F3F0"/>
          </w:tcPr>
          <w:p>
            <w:pPr>
              <w:spacing w:after="0"/>
              <w:rPr>
                <w:sz w:val="15"/>
                <w:szCs w:val="15"/>
                <w:color w:val="auto"/>
              </w:rPr>
            </w:pPr>
          </w:p>
        </w:tc>
        <w:tc>
          <w:tcPr>
            <w:tcW w:w="2780" w:type="dxa"/>
            <w:vAlign w:val="bottom"/>
            <w:shd w:val="clear" w:color="auto" w:fill="F6F3F0"/>
          </w:tcPr>
          <w:p>
            <w:pPr>
              <w:ind w:left="240"/>
              <w:spacing w:after="0"/>
              <w:rPr>
                <w:sz w:val="20"/>
                <w:szCs w:val="20"/>
                <w:color w:val="auto"/>
              </w:rPr>
            </w:pPr>
            <w:r>
              <w:rPr>
                <w:rFonts w:ascii="Arial" w:cs="Arial" w:eastAsia="Arial" w:hAnsi="Arial"/>
                <w:sz w:val="14"/>
                <w:szCs w:val="14"/>
                <w:b w:val="1"/>
                <w:bCs w:val="1"/>
                <w:color w:val="004AAC"/>
              </w:rPr>
              <w:t>technology to proactively identify</w:t>
            </w:r>
          </w:p>
        </w:tc>
        <w:tc>
          <w:tcPr>
            <w:tcW w:w="20" w:type="dxa"/>
            <w:vAlign w:val="bottom"/>
            <w:shd w:val="clear" w:color="auto" w:fill="CFCFD2"/>
          </w:tcPr>
          <w:p>
            <w:pPr>
              <w:spacing w:after="0"/>
              <w:rPr>
                <w:sz w:val="15"/>
                <w:szCs w:val="15"/>
                <w:color w:val="auto"/>
              </w:rPr>
            </w:pPr>
          </w:p>
        </w:tc>
        <w:tc>
          <w:tcPr>
            <w:tcW w:w="2820" w:type="dxa"/>
            <w:vAlign w:val="bottom"/>
            <w:shd w:val="clear" w:color="auto" w:fill="F6F3F0"/>
          </w:tcPr>
          <w:p>
            <w:pPr>
              <w:ind w:left="240"/>
              <w:spacing w:after="0"/>
              <w:rPr>
                <w:sz w:val="20"/>
                <w:szCs w:val="20"/>
                <w:color w:val="auto"/>
              </w:rPr>
            </w:pPr>
            <w:r>
              <w:rPr>
                <w:rFonts w:ascii="Arial" w:cs="Arial" w:eastAsia="Arial" w:hAnsi="Arial"/>
                <w:sz w:val="14"/>
                <w:szCs w:val="14"/>
                <w:b w:val="1"/>
                <w:bCs w:val="1"/>
                <w:color w:val="004AAC"/>
              </w:rPr>
              <w:t>privacy to aggressively maintain</w:t>
            </w:r>
          </w:p>
        </w:tc>
        <w:tc>
          <w:tcPr>
            <w:tcW w:w="20" w:type="dxa"/>
            <w:vAlign w:val="bottom"/>
            <w:shd w:val="clear" w:color="auto" w:fill="CFCFD2"/>
          </w:tcPr>
          <w:p>
            <w:pPr>
              <w:spacing w:after="0"/>
              <w:rPr>
                <w:sz w:val="15"/>
                <w:szCs w:val="15"/>
                <w:color w:val="auto"/>
              </w:rPr>
            </w:pPr>
          </w:p>
        </w:tc>
        <w:tc>
          <w:tcPr>
            <w:tcW w:w="2780" w:type="dxa"/>
            <w:vAlign w:val="bottom"/>
            <w:shd w:val="clear" w:color="auto" w:fill="F6F3F0"/>
          </w:tcPr>
          <w:p>
            <w:pPr>
              <w:ind w:left="240"/>
              <w:spacing w:after="0"/>
              <w:rPr>
                <w:sz w:val="20"/>
                <w:szCs w:val="20"/>
                <w:color w:val="auto"/>
              </w:rPr>
            </w:pPr>
            <w:r>
              <w:rPr>
                <w:rFonts w:ascii="Arial" w:cs="Arial" w:eastAsia="Arial" w:hAnsi="Arial"/>
                <w:sz w:val="14"/>
                <w:szCs w:val="14"/>
                <w:b w:val="1"/>
                <w:bCs w:val="1"/>
                <w:color w:val="004AAC"/>
              </w:rPr>
              <w:t>international standard</w:t>
            </w:r>
          </w:p>
        </w:tc>
        <w:tc>
          <w:tcPr>
            <w:tcW w:w="0" w:type="dxa"/>
            <w:vAlign w:val="bottom"/>
          </w:tcPr>
          <w:p>
            <w:pPr>
              <w:spacing w:after="0"/>
              <w:rPr>
                <w:sz w:val="1"/>
                <w:szCs w:val="1"/>
                <w:color w:val="auto"/>
              </w:rPr>
            </w:pPr>
          </w:p>
        </w:tc>
      </w:tr>
      <w:tr>
        <w:trPr>
          <w:trHeight w:val="174"/>
        </w:trPr>
        <w:tc>
          <w:tcPr>
            <w:tcW w:w="240" w:type="dxa"/>
            <w:vAlign w:val="bottom"/>
            <w:shd w:val="clear" w:color="auto" w:fill="F6F3F0"/>
          </w:tcPr>
          <w:p>
            <w:pPr>
              <w:spacing w:after="0"/>
              <w:rPr>
                <w:sz w:val="15"/>
                <w:szCs w:val="15"/>
                <w:color w:val="auto"/>
              </w:rPr>
            </w:pPr>
          </w:p>
        </w:tc>
        <w:tc>
          <w:tcPr>
            <w:tcW w:w="2320" w:type="dxa"/>
            <w:vAlign w:val="bottom"/>
            <w:shd w:val="clear" w:color="auto" w:fill="F6F3F0"/>
          </w:tcPr>
          <w:p>
            <w:pPr>
              <w:spacing w:after="0"/>
              <w:rPr>
                <w:sz w:val="15"/>
                <w:szCs w:val="15"/>
                <w:color w:val="auto"/>
              </w:rPr>
            </w:pPr>
          </w:p>
        </w:tc>
        <w:tc>
          <w:tcPr>
            <w:tcW w:w="260" w:type="dxa"/>
            <w:vAlign w:val="bottom"/>
            <w:tcBorders>
              <w:right w:val="single" w:sz="8" w:color="CFCFD2"/>
            </w:tcBorders>
            <w:shd w:val="clear" w:color="auto" w:fill="F6F3F0"/>
          </w:tcPr>
          <w:p>
            <w:pPr>
              <w:spacing w:after="0"/>
              <w:rPr>
                <w:sz w:val="15"/>
                <w:szCs w:val="15"/>
                <w:color w:val="auto"/>
              </w:rPr>
            </w:pPr>
          </w:p>
        </w:tc>
        <w:tc>
          <w:tcPr>
            <w:tcW w:w="2780" w:type="dxa"/>
            <w:vAlign w:val="bottom"/>
            <w:shd w:val="clear" w:color="auto" w:fill="F6F3F0"/>
          </w:tcPr>
          <w:p>
            <w:pPr>
              <w:ind w:left="240"/>
              <w:spacing w:after="0"/>
              <w:rPr>
                <w:sz w:val="20"/>
                <w:szCs w:val="20"/>
                <w:color w:val="auto"/>
              </w:rPr>
            </w:pPr>
            <w:r>
              <w:rPr>
                <w:rFonts w:ascii="Arial" w:cs="Arial" w:eastAsia="Arial" w:hAnsi="Arial"/>
                <w:sz w:val="14"/>
                <w:szCs w:val="14"/>
                <w:b w:val="1"/>
                <w:bCs w:val="1"/>
                <w:color w:val="004AAC"/>
              </w:rPr>
              <w:t>and mitigate risk, establish clear</w:t>
            </w:r>
          </w:p>
        </w:tc>
        <w:tc>
          <w:tcPr>
            <w:tcW w:w="20" w:type="dxa"/>
            <w:vAlign w:val="bottom"/>
            <w:shd w:val="clear" w:color="auto" w:fill="CFCFD2"/>
          </w:tcPr>
          <w:p>
            <w:pPr>
              <w:spacing w:after="0"/>
              <w:rPr>
                <w:sz w:val="15"/>
                <w:szCs w:val="15"/>
                <w:color w:val="auto"/>
              </w:rPr>
            </w:pPr>
          </w:p>
        </w:tc>
        <w:tc>
          <w:tcPr>
            <w:tcW w:w="2820" w:type="dxa"/>
            <w:vAlign w:val="bottom"/>
            <w:shd w:val="clear" w:color="auto" w:fill="F6F3F0"/>
          </w:tcPr>
          <w:p>
            <w:pPr>
              <w:ind w:left="240"/>
              <w:spacing w:after="0"/>
              <w:rPr>
                <w:sz w:val="20"/>
                <w:szCs w:val="20"/>
                <w:color w:val="auto"/>
              </w:rPr>
            </w:pPr>
            <w:r>
              <w:rPr>
                <w:rFonts w:ascii="Arial" w:cs="Arial" w:eastAsia="Arial" w:hAnsi="Arial"/>
                <w:sz w:val="14"/>
                <w:szCs w:val="14"/>
                <w:b w:val="1"/>
                <w:bCs w:val="1"/>
                <w:color w:val="004AAC"/>
              </w:rPr>
              <w:t>best-in-class assurances</w:t>
            </w:r>
          </w:p>
        </w:tc>
        <w:tc>
          <w:tcPr>
            <w:tcW w:w="20" w:type="dxa"/>
            <w:vAlign w:val="bottom"/>
            <w:shd w:val="clear" w:color="auto" w:fill="CFCFD2"/>
          </w:tcPr>
          <w:p>
            <w:pPr>
              <w:spacing w:after="0"/>
              <w:rPr>
                <w:sz w:val="15"/>
                <w:szCs w:val="15"/>
                <w:color w:val="auto"/>
              </w:rPr>
            </w:pPr>
          </w:p>
        </w:tc>
        <w:tc>
          <w:tcPr>
            <w:tcW w:w="2780" w:type="dxa"/>
            <w:vAlign w:val="bottom"/>
            <w:shd w:val="clear" w:color="auto" w:fill="F6F3F0"/>
          </w:tcPr>
          <w:p>
            <w:pPr>
              <w:ind w:left="240"/>
              <w:spacing w:after="0"/>
              <w:rPr>
                <w:sz w:val="20"/>
                <w:szCs w:val="20"/>
                <w:color w:val="auto"/>
              </w:rPr>
            </w:pPr>
            <w:r>
              <w:rPr>
                <w:rFonts w:ascii="Arial" w:cs="Arial" w:eastAsia="Arial" w:hAnsi="Arial"/>
                <w:sz w:val="14"/>
                <w:szCs w:val="14"/>
                <w:b w:val="1"/>
                <w:bCs w:val="1"/>
                <w:color w:val="004AAC"/>
              </w:rPr>
              <w:t>for information security</w:t>
            </w:r>
          </w:p>
        </w:tc>
        <w:tc>
          <w:tcPr>
            <w:tcW w:w="0" w:type="dxa"/>
            <w:vAlign w:val="bottom"/>
          </w:tcPr>
          <w:p>
            <w:pPr>
              <w:spacing w:after="0"/>
              <w:rPr>
                <w:sz w:val="1"/>
                <w:szCs w:val="1"/>
                <w:color w:val="auto"/>
              </w:rPr>
            </w:pPr>
          </w:p>
        </w:tc>
      </w:tr>
      <w:tr>
        <w:trPr>
          <w:trHeight w:val="174"/>
        </w:trPr>
        <w:tc>
          <w:tcPr>
            <w:tcW w:w="240" w:type="dxa"/>
            <w:vAlign w:val="bottom"/>
            <w:shd w:val="clear" w:color="auto" w:fill="F6F3F0"/>
          </w:tcPr>
          <w:p>
            <w:pPr>
              <w:spacing w:after="0"/>
              <w:rPr>
                <w:sz w:val="15"/>
                <w:szCs w:val="15"/>
                <w:color w:val="auto"/>
              </w:rPr>
            </w:pPr>
          </w:p>
        </w:tc>
        <w:tc>
          <w:tcPr>
            <w:tcW w:w="2320" w:type="dxa"/>
            <w:vAlign w:val="bottom"/>
            <w:shd w:val="clear" w:color="auto" w:fill="F6F3F0"/>
          </w:tcPr>
          <w:p>
            <w:pPr>
              <w:spacing w:after="0"/>
              <w:rPr>
                <w:sz w:val="15"/>
                <w:szCs w:val="15"/>
                <w:color w:val="auto"/>
              </w:rPr>
            </w:pPr>
          </w:p>
        </w:tc>
        <w:tc>
          <w:tcPr>
            <w:tcW w:w="260" w:type="dxa"/>
            <w:vAlign w:val="bottom"/>
            <w:tcBorders>
              <w:right w:val="single" w:sz="8" w:color="CFCFD2"/>
            </w:tcBorders>
            <w:shd w:val="clear" w:color="auto" w:fill="F6F3F0"/>
          </w:tcPr>
          <w:p>
            <w:pPr>
              <w:spacing w:after="0"/>
              <w:rPr>
                <w:sz w:val="15"/>
                <w:szCs w:val="15"/>
                <w:color w:val="auto"/>
              </w:rPr>
            </w:pPr>
          </w:p>
        </w:tc>
        <w:tc>
          <w:tcPr>
            <w:tcW w:w="2780" w:type="dxa"/>
            <w:vAlign w:val="bottom"/>
            <w:shd w:val="clear" w:color="auto" w:fill="F6F3F0"/>
          </w:tcPr>
          <w:p>
            <w:pPr>
              <w:ind w:left="240"/>
              <w:spacing w:after="0"/>
              <w:rPr>
                <w:sz w:val="20"/>
                <w:szCs w:val="20"/>
                <w:color w:val="auto"/>
              </w:rPr>
            </w:pPr>
            <w:r>
              <w:rPr>
                <w:rFonts w:ascii="Arial" w:cs="Arial" w:eastAsia="Arial" w:hAnsi="Arial"/>
                <w:sz w:val="14"/>
                <w:szCs w:val="14"/>
                <w:b w:val="1"/>
                <w:bCs w:val="1"/>
                <w:color w:val="004AAC"/>
              </w:rPr>
              <w:t>visibility for leadership, and</w:t>
            </w:r>
          </w:p>
        </w:tc>
        <w:tc>
          <w:tcPr>
            <w:tcW w:w="20" w:type="dxa"/>
            <w:vAlign w:val="bottom"/>
            <w:shd w:val="clear" w:color="auto" w:fill="CFCFD2"/>
          </w:tcPr>
          <w:p>
            <w:pPr>
              <w:spacing w:after="0"/>
              <w:rPr>
                <w:sz w:val="15"/>
                <w:szCs w:val="15"/>
                <w:color w:val="auto"/>
              </w:rPr>
            </w:pPr>
          </w:p>
        </w:tc>
        <w:tc>
          <w:tcPr>
            <w:tcW w:w="2820" w:type="dxa"/>
            <w:vAlign w:val="bottom"/>
            <w:shd w:val="clear" w:color="auto" w:fill="F6F3F0"/>
          </w:tcPr>
          <w:p>
            <w:pPr>
              <w:spacing w:after="0"/>
              <w:rPr>
                <w:sz w:val="15"/>
                <w:szCs w:val="15"/>
                <w:color w:val="auto"/>
              </w:rPr>
            </w:pPr>
          </w:p>
        </w:tc>
        <w:tc>
          <w:tcPr>
            <w:tcW w:w="20" w:type="dxa"/>
            <w:vAlign w:val="bottom"/>
            <w:shd w:val="clear" w:color="auto" w:fill="CFCFD2"/>
          </w:tcPr>
          <w:p>
            <w:pPr>
              <w:spacing w:after="0"/>
              <w:rPr>
                <w:sz w:val="15"/>
                <w:szCs w:val="15"/>
                <w:color w:val="auto"/>
              </w:rPr>
            </w:pPr>
          </w:p>
        </w:tc>
        <w:tc>
          <w:tcPr>
            <w:tcW w:w="2780" w:type="dxa"/>
            <w:vAlign w:val="bottom"/>
            <w:shd w:val="clear" w:color="auto" w:fill="F6F3F0"/>
          </w:tcPr>
          <w:p>
            <w:pPr>
              <w:ind w:left="240"/>
              <w:spacing w:after="0"/>
              <w:rPr>
                <w:sz w:val="20"/>
                <w:szCs w:val="20"/>
                <w:color w:val="auto"/>
              </w:rPr>
            </w:pPr>
            <w:r>
              <w:rPr>
                <w:rFonts w:ascii="Arial" w:cs="Arial" w:eastAsia="Arial" w:hAnsi="Arial"/>
                <w:sz w:val="14"/>
                <w:szCs w:val="14"/>
                <w:b w:val="1"/>
                <w:bCs w:val="1"/>
                <w:color w:val="004AAC"/>
              </w:rPr>
              <w:t>management systems.</w:t>
            </w:r>
          </w:p>
        </w:tc>
        <w:tc>
          <w:tcPr>
            <w:tcW w:w="0" w:type="dxa"/>
            <w:vAlign w:val="bottom"/>
          </w:tcPr>
          <w:p>
            <w:pPr>
              <w:spacing w:after="0"/>
              <w:rPr>
                <w:sz w:val="1"/>
                <w:szCs w:val="1"/>
                <w:color w:val="auto"/>
              </w:rPr>
            </w:pPr>
          </w:p>
        </w:tc>
      </w:tr>
      <w:tr>
        <w:trPr>
          <w:trHeight w:val="195"/>
        </w:trPr>
        <w:tc>
          <w:tcPr>
            <w:tcW w:w="240" w:type="dxa"/>
            <w:vAlign w:val="bottom"/>
            <w:shd w:val="clear" w:color="auto" w:fill="F6F3F0"/>
          </w:tcPr>
          <w:p>
            <w:pPr>
              <w:spacing w:after="0"/>
              <w:rPr>
                <w:sz w:val="16"/>
                <w:szCs w:val="16"/>
                <w:color w:val="auto"/>
              </w:rPr>
            </w:pPr>
          </w:p>
        </w:tc>
        <w:tc>
          <w:tcPr>
            <w:tcW w:w="2320" w:type="dxa"/>
            <w:vAlign w:val="bottom"/>
            <w:shd w:val="clear" w:color="auto" w:fill="F6F3F0"/>
          </w:tcPr>
          <w:p>
            <w:pPr>
              <w:spacing w:after="0"/>
              <w:rPr>
                <w:sz w:val="16"/>
                <w:szCs w:val="16"/>
                <w:color w:val="auto"/>
              </w:rPr>
            </w:pPr>
          </w:p>
        </w:tc>
        <w:tc>
          <w:tcPr>
            <w:tcW w:w="260" w:type="dxa"/>
            <w:vAlign w:val="bottom"/>
            <w:tcBorders>
              <w:right w:val="single" w:sz="8" w:color="CFCFD2"/>
            </w:tcBorders>
            <w:shd w:val="clear" w:color="auto" w:fill="F6F3F0"/>
          </w:tcPr>
          <w:p>
            <w:pPr>
              <w:spacing w:after="0"/>
              <w:rPr>
                <w:sz w:val="16"/>
                <w:szCs w:val="16"/>
                <w:color w:val="auto"/>
              </w:rPr>
            </w:pPr>
          </w:p>
        </w:tc>
        <w:tc>
          <w:tcPr>
            <w:tcW w:w="2780" w:type="dxa"/>
            <w:vAlign w:val="bottom"/>
            <w:shd w:val="clear" w:color="auto" w:fill="F6F3F0"/>
          </w:tcPr>
          <w:p>
            <w:pPr>
              <w:ind w:left="240"/>
              <w:spacing w:after="0"/>
              <w:rPr>
                <w:sz w:val="20"/>
                <w:szCs w:val="20"/>
                <w:color w:val="auto"/>
              </w:rPr>
            </w:pPr>
            <w:r>
              <w:rPr>
                <w:rFonts w:ascii="Arial" w:cs="Arial" w:eastAsia="Arial" w:hAnsi="Arial"/>
                <w:sz w:val="14"/>
                <w:szCs w:val="14"/>
                <w:b w:val="1"/>
                <w:bCs w:val="1"/>
                <w:color w:val="004AAC"/>
              </w:rPr>
              <w:t>cultivate a risk intelligent culture</w:t>
            </w:r>
          </w:p>
        </w:tc>
        <w:tc>
          <w:tcPr>
            <w:tcW w:w="20" w:type="dxa"/>
            <w:vAlign w:val="bottom"/>
            <w:shd w:val="clear" w:color="auto" w:fill="CFCFD2"/>
          </w:tcPr>
          <w:p>
            <w:pPr>
              <w:spacing w:after="0"/>
              <w:rPr>
                <w:sz w:val="16"/>
                <w:szCs w:val="16"/>
                <w:color w:val="auto"/>
              </w:rPr>
            </w:pPr>
          </w:p>
        </w:tc>
        <w:tc>
          <w:tcPr>
            <w:tcW w:w="2820" w:type="dxa"/>
            <w:vAlign w:val="bottom"/>
            <w:shd w:val="clear" w:color="auto" w:fill="F6F3F0"/>
          </w:tcPr>
          <w:p>
            <w:pPr>
              <w:spacing w:after="0"/>
              <w:rPr>
                <w:sz w:val="16"/>
                <w:szCs w:val="16"/>
                <w:color w:val="auto"/>
              </w:rPr>
            </w:pPr>
          </w:p>
        </w:tc>
        <w:tc>
          <w:tcPr>
            <w:tcW w:w="20" w:type="dxa"/>
            <w:vAlign w:val="bottom"/>
            <w:shd w:val="clear" w:color="auto" w:fill="CFCFD2"/>
          </w:tcPr>
          <w:p>
            <w:pPr>
              <w:spacing w:after="0"/>
              <w:rPr>
                <w:sz w:val="16"/>
                <w:szCs w:val="16"/>
                <w:color w:val="auto"/>
              </w:rPr>
            </w:pPr>
          </w:p>
        </w:tc>
        <w:tc>
          <w:tcPr>
            <w:tcW w:w="2780" w:type="dxa"/>
            <w:vAlign w:val="bottom"/>
            <w:shd w:val="clear" w:color="auto" w:fill="F6F3F0"/>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40" w:type="dxa"/>
            <w:vAlign w:val="bottom"/>
            <w:shd w:val="clear" w:color="auto" w:fill="F6F3F0"/>
          </w:tcPr>
          <w:p>
            <w:pPr>
              <w:spacing w:after="0"/>
              <w:rPr>
                <w:sz w:val="8"/>
                <w:szCs w:val="8"/>
                <w:color w:val="auto"/>
              </w:rPr>
            </w:pPr>
          </w:p>
        </w:tc>
        <w:tc>
          <w:tcPr>
            <w:tcW w:w="2320" w:type="dxa"/>
            <w:vAlign w:val="bottom"/>
            <w:shd w:val="clear" w:color="auto" w:fill="F6F3F0"/>
          </w:tcPr>
          <w:p>
            <w:pPr>
              <w:spacing w:after="0"/>
              <w:rPr>
                <w:sz w:val="8"/>
                <w:szCs w:val="8"/>
                <w:color w:val="auto"/>
              </w:rPr>
            </w:pPr>
          </w:p>
        </w:tc>
        <w:tc>
          <w:tcPr>
            <w:tcW w:w="260" w:type="dxa"/>
            <w:vAlign w:val="bottom"/>
            <w:tcBorders>
              <w:right w:val="single" w:sz="8" w:color="CFCFD2"/>
            </w:tcBorders>
            <w:shd w:val="clear" w:color="auto" w:fill="F6F3F0"/>
          </w:tcPr>
          <w:p>
            <w:pPr>
              <w:spacing w:after="0"/>
              <w:rPr>
                <w:sz w:val="8"/>
                <w:szCs w:val="8"/>
                <w:color w:val="auto"/>
              </w:rPr>
            </w:pPr>
          </w:p>
        </w:tc>
        <w:tc>
          <w:tcPr>
            <w:tcW w:w="2780" w:type="dxa"/>
            <w:vAlign w:val="bottom"/>
            <w:shd w:val="clear" w:color="auto" w:fill="F6F3F0"/>
          </w:tcPr>
          <w:p>
            <w:pPr>
              <w:spacing w:after="0"/>
              <w:rPr>
                <w:sz w:val="8"/>
                <w:szCs w:val="8"/>
                <w:color w:val="auto"/>
              </w:rPr>
            </w:pPr>
          </w:p>
        </w:tc>
        <w:tc>
          <w:tcPr>
            <w:tcW w:w="20" w:type="dxa"/>
            <w:vAlign w:val="bottom"/>
            <w:shd w:val="clear" w:color="auto" w:fill="CFCFD2"/>
          </w:tcPr>
          <w:p>
            <w:pPr>
              <w:spacing w:after="0"/>
              <w:rPr>
                <w:sz w:val="8"/>
                <w:szCs w:val="8"/>
                <w:color w:val="auto"/>
              </w:rPr>
            </w:pPr>
          </w:p>
        </w:tc>
        <w:tc>
          <w:tcPr>
            <w:tcW w:w="2820" w:type="dxa"/>
            <w:vAlign w:val="bottom"/>
            <w:shd w:val="clear" w:color="auto" w:fill="F6F3F0"/>
          </w:tcPr>
          <w:p>
            <w:pPr>
              <w:spacing w:after="0"/>
              <w:rPr>
                <w:sz w:val="8"/>
                <w:szCs w:val="8"/>
                <w:color w:val="auto"/>
              </w:rPr>
            </w:pPr>
          </w:p>
        </w:tc>
        <w:tc>
          <w:tcPr>
            <w:tcW w:w="20" w:type="dxa"/>
            <w:vAlign w:val="bottom"/>
            <w:shd w:val="clear" w:color="auto" w:fill="CFCFD2"/>
          </w:tcPr>
          <w:p>
            <w:pPr>
              <w:spacing w:after="0"/>
              <w:rPr>
                <w:sz w:val="8"/>
                <w:szCs w:val="8"/>
                <w:color w:val="auto"/>
              </w:rPr>
            </w:pPr>
          </w:p>
        </w:tc>
        <w:tc>
          <w:tcPr>
            <w:tcW w:w="2780" w:type="dxa"/>
            <w:vAlign w:val="bottom"/>
            <w:shd w:val="clear" w:color="auto" w:fill="F6F3F0"/>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240" w:type="dxa"/>
            <w:vAlign w:val="bottom"/>
            <w:shd w:val="clear" w:color="auto" w:fill="F6F3F0"/>
          </w:tcPr>
          <w:p>
            <w:pPr>
              <w:spacing w:after="0"/>
              <w:rPr>
                <w:sz w:val="23"/>
                <w:szCs w:val="23"/>
                <w:color w:val="auto"/>
              </w:rPr>
            </w:pPr>
          </w:p>
        </w:tc>
        <w:tc>
          <w:tcPr>
            <w:tcW w:w="2320" w:type="dxa"/>
            <w:vAlign w:val="bottom"/>
            <w:shd w:val="clear" w:color="auto" w:fill="F6F3F0"/>
          </w:tcPr>
          <w:p>
            <w:pPr>
              <w:spacing w:after="0"/>
              <w:rPr>
                <w:sz w:val="23"/>
                <w:szCs w:val="23"/>
                <w:color w:val="auto"/>
              </w:rPr>
            </w:pPr>
          </w:p>
        </w:tc>
        <w:tc>
          <w:tcPr>
            <w:tcW w:w="260" w:type="dxa"/>
            <w:vAlign w:val="bottom"/>
            <w:tcBorders>
              <w:right w:val="single" w:sz="8" w:color="F6F3F0"/>
            </w:tcBorders>
            <w:shd w:val="clear" w:color="auto" w:fill="F6F3F0"/>
          </w:tcPr>
          <w:p>
            <w:pPr>
              <w:spacing w:after="0"/>
              <w:rPr>
                <w:sz w:val="23"/>
                <w:szCs w:val="23"/>
                <w:color w:val="auto"/>
              </w:rPr>
            </w:pPr>
          </w:p>
        </w:tc>
        <w:tc>
          <w:tcPr>
            <w:tcW w:w="2780" w:type="dxa"/>
            <w:vAlign w:val="bottom"/>
            <w:shd w:val="clear" w:color="auto" w:fill="F6F3F0"/>
          </w:tcPr>
          <w:p>
            <w:pPr>
              <w:spacing w:after="0"/>
              <w:rPr>
                <w:sz w:val="23"/>
                <w:szCs w:val="23"/>
                <w:color w:val="auto"/>
              </w:rPr>
            </w:pPr>
          </w:p>
        </w:tc>
        <w:tc>
          <w:tcPr>
            <w:tcW w:w="20" w:type="dxa"/>
            <w:vAlign w:val="bottom"/>
            <w:shd w:val="clear" w:color="auto" w:fill="F6F3F0"/>
          </w:tcPr>
          <w:p>
            <w:pPr>
              <w:spacing w:after="0"/>
              <w:rPr>
                <w:sz w:val="23"/>
                <w:szCs w:val="23"/>
                <w:color w:val="auto"/>
              </w:rPr>
            </w:pPr>
          </w:p>
        </w:tc>
        <w:tc>
          <w:tcPr>
            <w:tcW w:w="2820" w:type="dxa"/>
            <w:vAlign w:val="bottom"/>
            <w:shd w:val="clear" w:color="auto" w:fill="F6F3F0"/>
          </w:tcPr>
          <w:p>
            <w:pPr>
              <w:spacing w:after="0"/>
              <w:rPr>
                <w:sz w:val="23"/>
                <w:szCs w:val="23"/>
                <w:color w:val="auto"/>
              </w:rPr>
            </w:pPr>
          </w:p>
        </w:tc>
        <w:tc>
          <w:tcPr>
            <w:tcW w:w="20" w:type="dxa"/>
            <w:vAlign w:val="bottom"/>
            <w:shd w:val="clear" w:color="auto" w:fill="F6F3F0"/>
          </w:tcPr>
          <w:p>
            <w:pPr>
              <w:spacing w:after="0"/>
              <w:rPr>
                <w:sz w:val="23"/>
                <w:szCs w:val="23"/>
                <w:color w:val="auto"/>
              </w:rPr>
            </w:pPr>
          </w:p>
        </w:tc>
        <w:tc>
          <w:tcPr>
            <w:tcW w:w="2780" w:type="dxa"/>
            <w:vAlign w:val="bottom"/>
            <w:shd w:val="clear" w:color="auto" w:fill="F6F3F0"/>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-1293495</wp:posOffset>
            </wp:positionV>
            <wp:extent cx="280670" cy="2806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80670" cy="280670"/>
                    </a:xfrm>
                    <a:prstGeom prst="rect">
                      <a:avLst/>
                    </a:prstGeom>
                    <a:noFill/>
                  </pic:spPr>
                </pic:pic>
              </a:graphicData>
            </a:graphic>
          </wp:anchor>
        </w:drawing>
        <w:drawing>
          <wp:anchor simplePos="0" relativeHeight="251657728" behindDoc="1" locked="0" layoutInCell="0" allowOverlap="1">
            <wp:simplePos x="0" y="0"/>
            <wp:positionH relativeFrom="column">
              <wp:posOffset>1936750</wp:posOffset>
            </wp:positionH>
            <wp:positionV relativeFrom="paragraph">
              <wp:posOffset>-1293495</wp:posOffset>
            </wp:positionV>
            <wp:extent cx="280670" cy="2806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80670" cy="280670"/>
                    </a:xfrm>
                    <a:prstGeom prst="rect">
                      <a:avLst/>
                    </a:prstGeom>
                    <a:noFill/>
                  </pic:spPr>
                </pic:pic>
              </a:graphicData>
            </a:graphic>
          </wp:anchor>
        </w:drawing>
        <w:drawing>
          <wp:anchor simplePos="0" relativeHeight="251657728" behindDoc="1" locked="0" layoutInCell="0" allowOverlap="1">
            <wp:simplePos x="0" y="0"/>
            <wp:positionH relativeFrom="column">
              <wp:posOffset>3716020</wp:posOffset>
            </wp:positionH>
            <wp:positionV relativeFrom="paragraph">
              <wp:posOffset>-1293495</wp:posOffset>
            </wp:positionV>
            <wp:extent cx="280670" cy="2806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80670" cy="280670"/>
                    </a:xfrm>
                    <a:prstGeom prst="rect">
                      <a:avLst/>
                    </a:prstGeom>
                    <a:noFill/>
                  </pic:spPr>
                </pic:pic>
              </a:graphicData>
            </a:graphic>
          </wp:anchor>
        </w:drawing>
        <w:drawing>
          <wp:anchor simplePos="0" relativeHeight="251657728" behindDoc="1" locked="0" layoutInCell="0" allowOverlap="1">
            <wp:simplePos x="0" y="0"/>
            <wp:positionH relativeFrom="column">
              <wp:posOffset>5520690</wp:posOffset>
            </wp:positionH>
            <wp:positionV relativeFrom="paragraph">
              <wp:posOffset>-1293495</wp:posOffset>
            </wp:positionV>
            <wp:extent cx="280670" cy="2806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80670"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46</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54" w:name="page55"/>
    <w:bookmarkEnd w:id="54"/>
    <w:p>
      <w:pPr>
        <w:ind w:left="20"/>
        <w:spacing w:after="0"/>
        <w:tabs>
          <w:tab w:leader="none" w:pos="976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0E1020"/>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ESG Oversight</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0E1020"/>
        </w:rPr>
        <w:t>The governance of DXC’s ESG program is a multitiered process involving the Board, members of our executive staff, and internal leadership.</w:t>
      </w:r>
    </w:p>
    <w:p>
      <w:pPr>
        <w:spacing w:after="0" w:line="138" w:lineRule="exact"/>
        <w:rPr>
          <w:sz w:val="20"/>
          <w:szCs w:val="20"/>
          <w:color w:val="auto"/>
        </w:rPr>
      </w:pPr>
    </w:p>
    <w:p>
      <w:pPr>
        <w:ind w:left="320" w:right="300" w:hanging="313"/>
        <w:spacing w:after="0" w:line="335" w:lineRule="auto"/>
        <w:tabs>
          <w:tab w:leader="none" w:pos="282" w:val="left"/>
        </w:tabs>
        <w:numPr>
          <w:ilvl w:val="0"/>
          <w:numId w:val="41"/>
        </w:numPr>
        <w:rPr>
          <w:rFonts w:ascii="Arial" w:cs="Arial" w:eastAsia="Arial" w:hAnsi="Arial"/>
          <w:sz w:val="16"/>
          <w:szCs w:val="16"/>
          <w:color w:val="0E1020"/>
        </w:rPr>
      </w:pPr>
      <w:r>
        <w:rPr>
          <w:rFonts w:ascii="Arial" w:cs="Arial" w:eastAsia="Arial" w:hAnsi="Arial"/>
          <w:sz w:val="16"/>
          <w:szCs w:val="16"/>
          <w:color w:val="0E1020"/>
        </w:rPr>
        <w:t>Our Board provides oversight of our ESG program, enabling us to have the governance, long-term strategy, and processes to manage ESG outcomes and meet the needs of our stakeholders.</w:t>
      </w:r>
    </w:p>
    <w:p>
      <w:pPr>
        <w:spacing w:after="0" w:line="22" w:lineRule="exact"/>
        <w:rPr>
          <w:rFonts w:ascii="Arial" w:cs="Arial" w:eastAsia="Arial" w:hAnsi="Arial"/>
          <w:sz w:val="16"/>
          <w:szCs w:val="16"/>
          <w:color w:val="0E1020"/>
        </w:rPr>
      </w:pPr>
    </w:p>
    <w:p>
      <w:pPr>
        <w:ind w:left="300" w:hanging="293"/>
        <w:spacing w:after="0"/>
        <w:tabs>
          <w:tab w:leader="none" w:pos="300" w:val="left"/>
        </w:tabs>
        <w:numPr>
          <w:ilvl w:val="0"/>
          <w:numId w:val="41"/>
        </w:numPr>
        <w:rPr>
          <w:rFonts w:ascii="Arial" w:cs="Arial" w:eastAsia="Arial" w:hAnsi="Arial"/>
          <w:sz w:val="16"/>
          <w:szCs w:val="16"/>
          <w:color w:val="0E1020"/>
        </w:rPr>
      </w:pPr>
      <w:r>
        <w:rPr>
          <w:rFonts w:ascii="Arial" w:cs="Arial" w:eastAsia="Arial" w:hAnsi="Arial"/>
          <w:sz w:val="16"/>
          <w:szCs w:val="16"/>
          <w:color w:val="0E1020"/>
        </w:rPr>
        <w:t>The Nominating/Corporate Governance Committee has specific oversight of ESG.</w:t>
      </w:r>
    </w:p>
    <w:p>
      <w:pPr>
        <w:spacing w:after="0" w:line="137" w:lineRule="exact"/>
        <w:rPr>
          <w:rFonts w:ascii="Arial" w:cs="Arial" w:eastAsia="Arial" w:hAnsi="Arial"/>
          <w:sz w:val="16"/>
          <w:szCs w:val="16"/>
          <w:color w:val="0E1020"/>
        </w:rPr>
      </w:pPr>
    </w:p>
    <w:p>
      <w:pPr>
        <w:ind w:left="320" w:right="180" w:hanging="313"/>
        <w:spacing w:after="0" w:line="318" w:lineRule="auto"/>
        <w:tabs>
          <w:tab w:leader="none" w:pos="282" w:val="left"/>
        </w:tabs>
        <w:numPr>
          <w:ilvl w:val="0"/>
          <w:numId w:val="41"/>
        </w:numPr>
        <w:rPr>
          <w:rFonts w:ascii="Arial" w:cs="Arial" w:eastAsia="Arial" w:hAnsi="Arial"/>
          <w:sz w:val="16"/>
          <w:szCs w:val="16"/>
          <w:color w:val="0E1020"/>
        </w:rPr>
      </w:pPr>
      <w:r>
        <w:rPr>
          <w:rFonts w:ascii="Arial" w:cs="Arial" w:eastAsia="Arial" w:hAnsi="Arial"/>
          <w:sz w:val="16"/>
          <w:szCs w:val="16"/>
          <w:color w:val="0E1020"/>
        </w:rPr>
        <w:t>The Nominating/Corporate Governance Committee receives quarterly updates on ESG, information security and artificial intelligence programs, and the committee chair provides a report to the Board at each regular Board meeting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ESG Disclosures and Key Documents</w:t>
      </w:r>
    </w:p>
    <w:p>
      <w:pPr>
        <w:spacing w:after="0" w:line="133"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0E1020"/>
        </w:rPr>
        <w:t>DXC publishes ESG performance annually in accordance with four disclosure frameworks: Global Reporting Initiative (GRI), Sustainability Accounting Standards Board (SASB), the Task Force on Climate-related Financial Disclosures (TCFD) and Carbon Disclosure Project (CDP). Our disclosures reference policies, which outline DXC’s approach to various environmental, social and governance programs. Examples include Integrity Matters at DXC, Code of Conduct, Government Affairs, Modern Slavery Statement, Environmental Policy, Health and Safety Policy, Data Security and Privacy and Supply Chain Principles. DXC’s disclosures and related documents are publicly available on dxc.com/us/en/about-us/corporate-responsibility/disclosures. However, for the avoidance of doubt, these disclosures and key documents are not hereby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135890" cy="22815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35890" cy="228155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20" w:type="dxa"/>
            <w:vAlign w:val="bottom"/>
            <w:shd w:val="clear" w:color="auto" w:fill="F6F3F0"/>
          </w:tcPr>
          <w:p>
            <w:pPr>
              <w:spacing w:after="0"/>
              <w:rPr>
                <w:sz w:val="23"/>
                <w:szCs w:val="23"/>
                <w:color w:val="auto"/>
              </w:rPr>
            </w:pPr>
          </w:p>
        </w:tc>
        <w:tc>
          <w:tcPr>
            <w:tcW w:w="1860" w:type="dxa"/>
            <w:vAlign w:val="bottom"/>
            <w:shd w:val="clear" w:color="auto" w:fill="F6F3F0"/>
          </w:tcPr>
          <w:p>
            <w:pPr>
              <w:spacing w:after="0"/>
              <w:rPr>
                <w:sz w:val="23"/>
                <w:szCs w:val="23"/>
                <w:color w:val="auto"/>
              </w:rPr>
            </w:pPr>
          </w:p>
        </w:tc>
        <w:tc>
          <w:tcPr>
            <w:tcW w:w="3540" w:type="dxa"/>
            <w:vAlign w:val="bottom"/>
            <w:vMerge w:val="restart"/>
            <w:shd w:val="clear" w:color="auto" w:fill="F6F3F0"/>
          </w:tcPr>
          <w:p>
            <w:pPr>
              <w:ind w:left="280"/>
              <w:spacing w:after="0"/>
              <w:rPr>
                <w:sz w:val="20"/>
                <w:szCs w:val="20"/>
                <w:color w:val="auto"/>
              </w:rPr>
            </w:pPr>
            <w:r>
              <w:rPr>
                <w:rFonts w:ascii="Arial" w:cs="Arial" w:eastAsia="Arial" w:hAnsi="Arial"/>
                <w:sz w:val="16"/>
                <w:szCs w:val="16"/>
                <w:color w:val="0E1020"/>
              </w:rPr>
              <w:t>GRI reporting since DXC’s inception</w:t>
            </w:r>
          </w:p>
        </w:tc>
        <w:tc>
          <w:tcPr>
            <w:tcW w:w="20" w:type="dxa"/>
            <w:vAlign w:val="bottom"/>
            <w:shd w:val="clear" w:color="auto" w:fill="F6F3F0"/>
          </w:tcPr>
          <w:p>
            <w:pPr>
              <w:spacing w:after="0"/>
              <w:rPr>
                <w:sz w:val="23"/>
                <w:szCs w:val="23"/>
                <w:color w:val="auto"/>
              </w:rPr>
            </w:pPr>
          </w:p>
        </w:tc>
        <w:tc>
          <w:tcPr>
            <w:tcW w:w="5600" w:type="dxa"/>
            <w:vAlign w:val="bottom"/>
            <w:gridSpan w:val="2"/>
            <w:vMerge w:val="restart"/>
            <w:shd w:val="clear" w:color="auto" w:fill="F6F3F0"/>
          </w:tcPr>
          <w:p>
            <w:pPr>
              <w:ind w:left="2340"/>
              <w:spacing w:after="0"/>
              <w:rPr>
                <w:sz w:val="20"/>
                <w:szCs w:val="20"/>
                <w:color w:val="auto"/>
              </w:rPr>
            </w:pPr>
            <w:r>
              <w:rPr>
                <w:rFonts w:ascii="Arial" w:cs="Arial" w:eastAsia="Arial" w:hAnsi="Arial"/>
                <w:sz w:val="16"/>
                <w:szCs w:val="16"/>
                <w:color w:val="0E1020"/>
              </w:rPr>
              <w:t>SASB reporting since 2021</w:t>
            </w:r>
          </w:p>
        </w:tc>
        <w:tc>
          <w:tcPr>
            <w:tcW w:w="0" w:type="dxa"/>
            <w:vAlign w:val="bottom"/>
          </w:tcPr>
          <w:p>
            <w:pPr>
              <w:spacing w:after="0"/>
              <w:rPr>
                <w:sz w:val="1"/>
                <w:szCs w:val="1"/>
                <w:color w:val="auto"/>
              </w:rPr>
            </w:pPr>
          </w:p>
        </w:tc>
      </w:tr>
      <w:tr>
        <w:trPr>
          <w:trHeight w:val="454"/>
        </w:trPr>
        <w:tc>
          <w:tcPr>
            <w:tcW w:w="220" w:type="dxa"/>
            <w:vAlign w:val="bottom"/>
          </w:tcPr>
          <w:p>
            <w:pPr>
              <w:spacing w:after="0"/>
              <w:rPr>
                <w:sz w:val="24"/>
                <w:szCs w:val="24"/>
                <w:color w:val="auto"/>
              </w:rPr>
            </w:pPr>
          </w:p>
        </w:tc>
        <w:tc>
          <w:tcPr>
            <w:tcW w:w="1860" w:type="dxa"/>
            <w:vAlign w:val="bottom"/>
            <w:shd w:val="clear" w:color="auto" w:fill="F6F3F0"/>
          </w:tcPr>
          <w:p>
            <w:pPr>
              <w:spacing w:after="0"/>
              <w:rPr>
                <w:sz w:val="24"/>
                <w:szCs w:val="24"/>
                <w:color w:val="auto"/>
              </w:rPr>
            </w:pPr>
          </w:p>
        </w:tc>
        <w:tc>
          <w:tcPr>
            <w:tcW w:w="3540" w:type="dxa"/>
            <w:vAlign w:val="bottom"/>
            <w:vMerge w:val="continue"/>
            <w:shd w:val="clear" w:color="auto" w:fill="F6F3F0"/>
          </w:tcPr>
          <w:p>
            <w:pPr>
              <w:spacing w:after="0"/>
              <w:rPr>
                <w:sz w:val="24"/>
                <w:szCs w:val="24"/>
                <w:color w:val="auto"/>
              </w:rPr>
            </w:pPr>
          </w:p>
        </w:tc>
        <w:tc>
          <w:tcPr>
            <w:tcW w:w="20" w:type="dxa"/>
            <w:vAlign w:val="bottom"/>
            <w:shd w:val="clear" w:color="auto" w:fill="CFCFD2"/>
          </w:tcPr>
          <w:p>
            <w:pPr>
              <w:spacing w:after="0"/>
              <w:rPr>
                <w:sz w:val="24"/>
                <w:szCs w:val="24"/>
                <w:color w:val="auto"/>
              </w:rPr>
            </w:pPr>
          </w:p>
        </w:tc>
        <w:tc>
          <w:tcPr>
            <w:tcW w:w="5600" w:type="dxa"/>
            <w:vAlign w:val="bottom"/>
            <w:gridSpan w:val="2"/>
            <w:vMerge w:val="continue"/>
            <w:shd w:val="clear" w:color="auto" w:fill="F6F3F0"/>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20" w:type="dxa"/>
            <w:vAlign w:val="bottom"/>
          </w:tcPr>
          <w:p>
            <w:pPr>
              <w:spacing w:after="0"/>
              <w:rPr>
                <w:sz w:val="24"/>
                <w:szCs w:val="24"/>
                <w:color w:val="auto"/>
              </w:rPr>
            </w:pPr>
          </w:p>
        </w:tc>
        <w:tc>
          <w:tcPr>
            <w:tcW w:w="1860" w:type="dxa"/>
            <w:vAlign w:val="bottom"/>
            <w:shd w:val="clear" w:color="auto" w:fill="F6F3F0"/>
          </w:tcPr>
          <w:p>
            <w:pPr>
              <w:spacing w:after="0"/>
              <w:rPr>
                <w:sz w:val="24"/>
                <w:szCs w:val="24"/>
                <w:color w:val="auto"/>
              </w:rPr>
            </w:pPr>
          </w:p>
        </w:tc>
        <w:tc>
          <w:tcPr>
            <w:tcW w:w="3540" w:type="dxa"/>
            <w:vAlign w:val="bottom"/>
            <w:shd w:val="clear" w:color="auto" w:fill="F6F3F0"/>
          </w:tcPr>
          <w:p>
            <w:pPr>
              <w:spacing w:after="0"/>
              <w:rPr>
                <w:sz w:val="24"/>
                <w:szCs w:val="24"/>
                <w:color w:val="auto"/>
              </w:rPr>
            </w:pPr>
          </w:p>
        </w:tc>
        <w:tc>
          <w:tcPr>
            <w:tcW w:w="20" w:type="dxa"/>
            <w:vAlign w:val="bottom"/>
            <w:shd w:val="clear" w:color="auto" w:fill="CFCFD2"/>
          </w:tcPr>
          <w:p>
            <w:pPr>
              <w:spacing w:after="0"/>
              <w:rPr>
                <w:sz w:val="24"/>
                <w:szCs w:val="24"/>
                <w:color w:val="auto"/>
              </w:rPr>
            </w:pPr>
          </w:p>
        </w:tc>
        <w:tc>
          <w:tcPr>
            <w:tcW w:w="5360" w:type="dxa"/>
            <w:vAlign w:val="bottom"/>
            <w:shd w:val="clear" w:color="auto" w:fill="F6F3F0"/>
          </w:tcPr>
          <w:p>
            <w:pPr>
              <w:spacing w:after="0"/>
              <w:rPr>
                <w:sz w:val="24"/>
                <w:szCs w:val="24"/>
                <w:color w:val="auto"/>
              </w:rPr>
            </w:pPr>
          </w:p>
        </w:tc>
        <w:tc>
          <w:tcPr>
            <w:tcW w:w="240" w:type="dxa"/>
            <w:vAlign w:val="bottom"/>
            <w:shd w:val="clear" w:color="auto" w:fill="F6F3F0"/>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20" w:type="dxa"/>
            <w:vAlign w:val="bottom"/>
          </w:tcPr>
          <w:p>
            <w:pPr>
              <w:spacing w:after="0"/>
              <w:rPr>
                <w:sz w:val="13"/>
                <w:szCs w:val="13"/>
                <w:color w:val="auto"/>
              </w:rPr>
            </w:pPr>
          </w:p>
        </w:tc>
        <w:tc>
          <w:tcPr>
            <w:tcW w:w="1860" w:type="dxa"/>
            <w:vAlign w:val="bottom"/>
            <w:tcBorders>
              <w:bottom w:val="single" w:sz="8" w:color="CFCFD2"/>
            </w:tcBorders>
            <w:shd w:val="clear" w:color="auto" w:fill="F6F3F0"/>
          </w:tcPr>
          <w:p>
            <w:pPr>
              <w:spacing w:after="0"/>
              <w:rPr>
                <w:sz w:val="13"/>
                <w:szCs w:val="13"/>
                <w:color w:val="auto"/>
              </w:rPr>
            </w:pPr>
          </w:p>
        </w:tc>
        <w:tc>
          <w:tcPr>
            <w:tcW w:w="3540" w:type="dxa"/>
            <w:vAlign w:val="bottom"/>
            <w:tcBorders>
              <w:bottom w:val="single" w:sz="8" w:color="CFCFD2"/>
            </w:tcBorders>
            <w:shd w:val="clear" w:color="auto" w:fill="F6F3F0"/>
          </w:tcPr>
          <w:p>
            <w:pPr>
              <w:spacing w:after="0"/>
              <w:rPr>
                <w:sz w:val="13"/>
                <w:szCs w:val="13"/>
                <w:color w:val="auto"/>
              </w:rPr>
            </w:pPr>
          </w:p>
        </w:tc>
        <w:tc>
          <w:tcPr>
            <w:tcW w:w="20" w:type="dxa"/>
            <w:vAlign w:val="bottom"/>
            <w:tcBorders>
              <w:bottom w:val="single" w:sz="8" w:color="CFCFD2"/>
            </w:tcBorders>
            <w:shd w:val="clear" w:color="auto" w:fill="F6F3F0"/>
          </w:tcPr>
          <w:p>
            <w:pPr>
              <w:spacing w:after="0"/>
              <w:rPr>
                <w:sz w:val="13"/>
                <w:szCs w:val="13"/>
                <w:color w:val="auto"/>
              </w:rPr>
            </w:pPr>
          </w:p>
        </w:tc>
        <w:tc>
          <w:tcPr>
            <w:tcW w:w="5360" w:type="dxa"/>
            <w:vAlign w:val="bottom"/>
            <w:tcBorders>
              <w:bottom w:val="single" w:sz="8" w:color="CFCFD2"/>
            </w:tcBorders>
            <w:shd w:val="clear" w:color="auto" w:fill="F6F3F0"/>
          </w:tcPr>
          <w:p>
            <w:pPr>
              <w:spacing w:after="0"/>
              <w:rPr>
                <w:sz w:val="13"/>
                <w:szCs w:val="13"/>
                <w:color w:val="auto"/>
              </w:rPr>
            </w:pPr>
          </w:p>
        </w:tc>
        <w:tc>
          <w:tcPr>
            <w:tcW w:w="240" w:type="dxa"/>
            <w:vAlign w:val="bottom"/>
            <w:tcBorders>
              <w:bottom w:val="single" w:sz="8" w:color="F6F3F0"/>
            </w:tcBorders>
            <w:shd w:val="clear" w:color="auto" w:fill="F6F3F0"/>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20" w:type="dxa"/>
            <w:vAlign w:val="bottom"/>
          </w:tcPr>
          <w:p>
            <w:pPr>
              <w:spacing w:after="0"/>
              <w:rPr>
                <w:sz w:val="12"/>
                <w:szCs w:val="12"/>
                <w:color w:val="auto"/>
              </w:rPr>
            </w:pPr>
          </w:p>
        </w:tc>
        <w:tc>
          <w:tcPr>
            <w:tcW w:w="1860" w:type="dxa"/>
            <w:vAlign w:val="bottom"/>
            <w:shd w:val="clear" w:color="auto" w:fill="F6F3F0"/>
          </w:tcPr>
          <w:p>
            <w:pPr>
              <w:spacing w:after="0"/>
              <w:rPr>
                <w:sz w:val="12"/>
                <w:szCs w:val="12"/>
                <w:color w:val="auto"/>
              </w:rPr>
            </w:pPr>
          </w:p>
        </w:tc>
        <w:tc>
          <w:tcPr>
            <w:tcW w:w="3540" w:type="dxa"/>
            <w:vAlign w:val="bottom"/>
            <w:vMerge w:val="restart"/>
            <w:shd w:val="clear" w:color="auto" w:fill="F6F3F0"/>
          </w:tcPr>
          <w:p>
            <w:pPr>
              <w:ind w:left="280"/>
              <w:spacing w:after="0"/>
              <w:rPr>
                <w:sz w:val="20"/>
                <w:szCs w:val="20"/>
                <w:color w:val="auto"/>
              </w:rPr>
            </w:pPr>
            <w:r>
              <w:rPr>
                <w:rFonts w:ascii="Arial" w:cs="Arial" w:eastAsia="Arial" w:hAnsi="Arial"/>
                <w:sz w:val="16"/>
                <w:szCs w:val="16"/>
                <w:color w:val="0E1020"/>
              </w:rPr>
              <w:t>CDP respondent since 2018; Named to</w:t>
            </w:r>
          </w:p>
        </w:tc>
        <w:tc>
          <w:tcPr>
            <w:tcW w:w="20" w:type="dxa"/>
            <w:vAlign w:val="bottom"/>
            <w:shd w:val="clear" w:color="auto" w:fill="F6F3F0"/>
          </w:tcPr>
          <w:p>
            <w:pPr>
              <w:spacing w:after="0"/>
              <w:rPr>
                <w:sz w:val="12"/>
                <w:szCs w:val="12"/>
                <w:color w:val="auto"/>
              </w:rPr>
            </w:pPr>
          </w:p>
        </w:tc>
        <w:tc>
          <w:tcPr>
            <w:tcW w:w="5600" w:type="dxa"/>
            <w:vAlign w:val="bottom"/>
            <w:gridSpan w:val="2"/>
            <w:vMerge w:val="restart"/>
            <w:shd w:val="clear" w:color="auto" w:fill="F6F3F0"/>
          </w:tcPr>
          <w:p>
            <w:pPr>
              <w:ind w:left="2340"/>
              <w:spacing w:after="0"/>
              <w:rPr>
                <w:sz w:val="20"/>
                <w:szCs w:val="20"/>
                <w:color w:val="auto"/>
              </w:rPr>
            </w:pPr>
            <w:r>
              <w:rPr>
                <w:rFonts w:ascii="Arial" w:cs="Arial" w:eastAsia="Arial" w:hAnsi="Arial"/>
                <w:sz w:val="16"/>
                <w:szCs w:val="16"/>
                <w:color w:val="0E1020"/>
              </w:rPr>
              <w:t>TCFD reporting since 2021</w:t>
            </w:r>
          </w:p>
        </w:tc>
        <w:tc>
          <w:tcPr>
            <w:tcW w:w="0" w:type="dxa"/>
            <w:vAlign w:val="bottom"/>
          </w:tcPr>
          <w:p>
            <w:pPr>
              <w:spacing w:after="0"/>
              <w:rPr>
                <w:sz w:val="1"/>
                <w:szCs w:val="1"/>
                <w:color w:val="auto"/>
              </w:rPr>
            </w:pPr>
          </w:p>
        </w:tc>
      </w:tr>
      <w:tr>
        <w:trPr>
          <w:trHeight w:val="280"/>
        </w:trPr>
        <w:tc>
          <w:tcPr>
            <w:tcW w:w="220" w:type="dxa"/>
            <w:vAlign w:val="bottom"/>
          </w:tcPr>
          <w:p>
            <w:pPr>
              <w:spacing w:after="0"/>
              <w:rPr>
                <w:sz w:val="24"/>
                <w:szCs w:val="24"/>
                <w:color w:val="auto"/>
              </w:rPr>
            </w:pPr>
          </w:p>
        </w:tc>
        <w:tc>
          <w:tcPr>
            <w:tcW w:w="1860" w:type="dxa"/>
            <w:vAlign w:val="bottom"/>
            <w:shd w:val="clear" w:color="auto" w:fill="F6F3F0"/>
          </w:tcPr>
          <w:p>
            <w:pPr>
              <w:spacing w:after="0"/>
              <w:rPr>
                <w:sz w:val="24"/>
                <w:szCs w:val="24"/>
                <w:color w:val="auto"/>
              </w:rPr>
            </w:pPr>
          </w:p>
        </w:tc>
        <w:tc>
          <w:tcPr>
            <w:tcW w:w="3540" w:type="dxa"/>
            <w:vAlign w:val="bottom"/>
            <w:vMerge w:val="continue"/>
            <w:shd w:val="clear" w:color="auto" w:fill="F6F3F0"/>
          </w:tcPr>
          <w:p>
            <w:pPr>
              <w:spacing w:after="0"/>
              <w:rPr>
                <w:sz w:val="24"/>
                <w:szCs w:val="24"/>
                <w:color w:val="auto"/>
              </w:rPr>
            </w:pPr>
          </w:p>
        </w:tc>
        <w:tc>
          <w:tcPr>
            <w:tcW w:w="20" w:type="dxa"/>
            <w:vAlign w:val="bottom"/>
            <w:shd w:val="clear" w:color="auto" w:fill="CFCFD2"/>
          </w:tcPr>
          <w:p>
            <w:pPr>
              <w:spacing w:after="0"/>
              <w:rPr>
                <w:sz w:val="24"/>
                <w:szCs w:val="24"/>
                <w:color w:val="auto"/>
              </w:rPr>
            </w:pPr>
          </w:p>
        </w:tc>
        <w:tc>
          <w:tcPr>
            <w:tcW w:w="5600" w:type="dxa"/>
            <w:vAlign w:val="bottom"/>
            <w:gridSpan w:val="2"/>
            <w:vMerge w:val="continue"/>
            <w:shd w:val="clear" w:color="auto" w:fill="F6F3F0"/>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20" w:type="dxa"/>
            <w:vAlign w:val="bottom"/>
          </w:tcPr>
          <w:p>
            <w:pPr>
              <w:spacing w:after="0"/>
              <w:rPr>
                <w:sz w:val="9"/>
                <w:szCs w:val="9"/>
                <w:color w:val="auto"/>
              </w:rPr>
            </w:pPr>
          </w:p>
        </w:tc>
        <w:tc>
          <w:tcPr>
            <w:tcW w:w="1860" w:type="dxa"/>
            <w:vAlign w:val="bottom"/>
            <w:shd w:val="clear" w:color="auto" w:fill="F6F3F0"/>
          </w:tcPr>
          <w:p>
            <w:pPr>
              <w:spacing w:after="0"/>
              <w:rPr>
                <w:sz w:val="9"/>
                <w:szCs w:val="9"/>
                <w:color w:val="auto"/>
              </w:rPr>
            </w:pPr>
          </w:p>
        </w:tc>
        <w:tc>
          <w:tcPr>
            <w:tcW w:w="3540" w:type="dxa"/>
            <w:vAlign w:val="bottom"/>
            <w:vMerge w:val="restart"/>
            <w:shd w:val="clear" w:color="auto" w:fill="F6F3F0"/>
          </w:tcPr>
          <w:p>
            <w:pPr>
              <w:ind w:left="280"/>
              <w:spacing w:after="0"/>
              <w:rPr>
                <w:sz w:val="20"/>
                <w:szCs w:val="20"/>
                <w:color w:val="auto"/>
              </w:rPr>
            </w:pPr>
            <w:r>
              <w:rPr>
                <w:rFonts w:ascii="Arial" w:cs="Arial" w:eastAsia="Arial" w:hAnsi="Arial"/>
                <w:sz w:val="16"/>
                <w:szCs w:val="16"/>
                <w:color w:val="0E1020"/>
              </w:rPr>
              <w:t>the 2025 A List</w:t>
            </w:r>
          </w:p>
        </w:tc>
        <w:tc>
          <w:tcPr>
            <w:tcW w:w="20" w:type="dxa"/>
            <w:vAlign w:val="bottom"/>
            <w:shd w:val="clear" w:color="auto" w:fill="CFCFD2"/>
          </w:tcPr>
          <w:p>
            <w:pPr>
              <w:spacing w:after="0"/>
              <w:rPr>
                <w:sz w:val="9"/>
                <w:szCs w:val="9"/>
                <w:color w:val="auto"/>
              </w:rPr>
            </w:pPr>
          </w:p>
        </w:tc>
        <w:tc>
          <w:tcPr>
            <w:tcW w:w="5600" w:type="dxa"/>
            <w:vAlign w:val="bottom"/>
            <w:gridSpan w:val="2"/>
            <w:vMerge w:val="continue"/>
            <w:shd w:val="clear" w:color="auto" w:fill="F6F3F0"/>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1860" w:type="dxa"/>
            <w:vAlign w:val="bottom"/>
            <w:shd w:val="clear" w:color="auto" w:fill="F6F3F0"/>
          </w:tcPr>
          <w:p>
            <w:pPr>
              <w:spacing w:after="0"/>
              <w:rPr>
                <w:sz w:val="10"/>
                <w:szCs w:val="10"/>
                <w:color w:val="auto"/>
              </w:rPr>
            </w:pPr>
          </w:p>
        </w:tc>
        <w:tc>
          <w:tcPr>
            <w:tcW w:w="3540" w:type="dxa"/>
            <w:vAlign w:val="bottom"/>
            <w:vMerge w:val="continue"/>
            <w:shd w:val="clear" w:color="auto" w:fill="F6F3F0"/>
          </w:tcPr>
          <w:p>
            <w:pPr>
              <w:spacing w:after="0"/>
              <w:rPr>
                <w:sz w:val="10"/>
                <w:szCs w:val="10"/>
                <w:color w:val="auto"/>
              </w:rPr>
            </w:pPr>
          </w:p>
        </w:tc>
        <w:tc>
          <w:tcPr>
            <w:tcW w:w="20" w:type="dxa"/>
            <w:vAlign w:val="bottom"/>
            <w:shd w:val="clear" w:color="auto" w:fill="CFCFD2"/>
          </w:tcPr>
          <w:p>
            <w:pPr>
              <w:spacing w:after="0"/>
              <w:rPr>
                <w:sz w:val="10"/>
                <w:szCs w:val="10"/>
                <w:color w:val="auto"/>
              </w:rPr>
            </w:pPr>
          </w:p>
        </w:tc>
        <w:tc>
          <w:tcPr>
            <w:tcW w:w="5360" w:type="dxa"/>
            <w:vAlign w:val="bottom"/>
            <w:shd w:val="clear" w:color="auto" w:fill="F6F3F0"/>
          </w:tcPr>
          <w:p>
            <w:pPr>
              <w:spacing w:after="0"/>
              <w:rPr>
                <w:sz w:val="10"/>
                <w:szCs w:val="10"/>
                <w:color w:val="auto"/>
              </w:rPr>
            </w:pPr>
          </w:p>
        </w:tc>
        <w:tc>
          <w:tcPr>
            <w:tcW w:w="240" w:type="dxa"/>
            <w:vAlign w:val="bottom"/>
            <w:shd w:val="clear" w:color="auto" w:fill="F6F3F0"/>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1860" w:type="dxa"/>
            <w:vAlign w:val="bottom"/>
            <w:shd w:val="clear" w:color="auto" w:fill="F6F3F0"/>
          </w:tcPr>
          <w:p>
            <w:pPr>
              <w:spacing w:after="0"/>
              <w:rPr>
                <w:sz w:val="14"/>
                <w:szCs w:val="14"/>
                <w:color w:val="auto"/>
              </w:rPr>
            </w:pPr>
          </w:p>
        </w:tc>
        <w:tc>
          <w:tcPr>
            <w:tcW w:w="3540" w:type="dxa"/>
            <w:vAlign w:val="bottom"/>
            <w:shd w:val="clear" w:color="auto" w:fill="F6F3F0"/>
          </w:tcPr>
          <w:p>
            <w:pPr>
              <w:spacing w:after="0"/>
              <w:rPr>
                <w:sz w:val="14"/>
                <w:szCs w:val="14"/>
                <w:color w:val="auto"/>
              </w:rPr>
            </w:pPr>
          </w:p>
        </w:tc>
        <w:tc>
          <w:tcPr>
            <w:tcW w:w="20" w:type="dxa"/>
            <w:vAlign w:val="bottom"/>
            <w:shd w:val="clear" w:color="auto" w:fill="CFCFD2"/>
          </w:tcPr>
          <w:p>
            <w:pPr>
              <w:spacing w:after="0"/>
              <w:rPr>
                <w:sz w:val="14"/>
                <w:szCs w:val="14"/>
                <w:color w:val="auto"/>
              </w:rPr>
            </w:pPr>
          </w:p>
        </w:tc>
        <w:tc>
          <w:tcPr>
            <w:tcW w:w="5360" w:type="dxa"/>
            <w:vAlign w:val="bottom"/>
            <w:shd w:val="clear" w:color="auto" w:fill="F6F3F0"/>
          </w:tcPr>
          <w:p>
            <w:pPr>
              <w:spacing w:after="0"/>
              <w:rPr>
                <w:sz w:val="14"/>
                <w:szCs w:val="14"/>
                <w:color w:val="auto"/>
              </w:rPr>
            </w:pPr>
          </w:p>
        </w:tc>
        <w:tc>
          <w:tcPr>
            <w:tcW w:w="240" w:type="dxa"/>
            <w:vAlign w:val="bottom"/>
            <w:shd w:val="clear" w:color="auto" w:fill="F6F3F0"/>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0" w:type="dxa"/>
            <w:vAlign w:val="bottom"/>
          </w:tcPr>
          <w:p>
            <w:pPr>
              <w:spacing w:after="0"/>
              <w:rPr>
                <w:sz w:val="13"/>
                <w:szCs w:val="13"/>
                <w:color w:val="auto"/>
              </w:rPr>
            </w:pPr>
          </w:p>
        </w:tc>
        <w:tc>
          <w:tcPr>
            <w:tcW w:w="1860" w:type="dxa"/>
            <w:vAlign w:val="bottom"/>
            <w:tcBorders>
              <w:bottom w:val="single" w:sz="8" w:color="CFCFD2"/>
            </w:tcBorders>
            <w:shd w:val="clear" w:color="auto" w:fill="F6F3F0"/>
          </w:tcPr>
          <w:p>
            <w:pPr>
              <w:spacing w:after="0"/>
              <w:rPr>
                <w:sz w:val="13"/>
                <w:szCs w:val="13"/>
                <w:color w:val="auto"/>
              </w:rPr>
            </w:pPr>
          </w:p>
        </w:tc>
        <w:tc>
          <w:tcPr>
            <w:tcW w:w="3540" w:type="dxa"/>
            <w:vAlign w:val="bottom"/>
            <w:tcBorders>
              <w:bottom w:val="single" w:sz="8" w:color="CFCFD2"/>
            </w:tcBorders>
            <w:shd w:val="clear" w:color="auto" w:fill="F6F3F0"/>
          </w:tcPr>
          <w:p>
            <w:pPr>
              <w:spacing w:after="0"/>
              <w:rPr>
                <w:sz w:val="13"/>
                <w:szCs w:val="13"/>
                <w:color w:val="auto"/>
              </w:rPr>
            </w:pPr>
          </w:p>
        </w:tc>
        <w:tc>
          <w:tcPr>
            <w:tcW w:w="20" w:type="dxa"/>
            <w:vAlign w:val="bottom"/>
            <w:tcBorders>
              <w:bottom w:val="single" w:sz="8" w:color="CFCFD2"/>
            </w:tcBorders>
            <w:shd w:val="clear" w:color="auto" w:fill="F6F3F0"/>
          </w:tcPr>
          <w:p>
            <w:pPr>
              <w:spacing w:after="0"/>
              <w:rPr>
                <w:sz w:val="13"/>
                <w:szCs w:val="13"/>
                <w:color w:val="auto"/>
              </w:rPr>
            </w:pPr>
          </w:p>
        </w:tc>
        <w:tc>
          <w:tcPr>
            <w:tcW w:w="5360" w:type="dxa"/>
            <w:vAlign w:val="bottom"/>
            <w:tcBorders>
              <w:bottom w:val="single" w:sz="8" w:color="CFCFD2"/>
            </w:tcBorders>
            <w:shd w:val="clear" w:color="auto" w:fill="F6F3F0"/>
          </w:tcPr>
          <w:p>
            <w:pPr>
              <w:spacing w:after="0"/>
              <w:rPr>
                <w:sz w:val="13"/>
                <w:szCs w:val="13"/>
                <w:color w:val="auto"/>
              </w:rPr>
            </w:pPr>
          </w:p>
        </w:tc>
        <w:tc>
          <w:tcPr>
            <w:tcW w:w="240" w:type="dxa"/>
            <w:vAlign w:val="bottom"/>
            <w:tcBorders>
              <w:bottom w:val="single" w:sz="8" w:color="F6F3F0"/>
            </w:tcBorders>
            <w:shd w:val="clear" w:color="auto" w:fill="F6F3F0"/>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540" w:type="dxa"/>
            <w:vAlign w:val="bottom"/>
            <w:shd w:val="clear" w:color="auto" w:fill="F6F3F0"/>
          </w:tcPr>
          <w:p>
            <w:pPr>
              <w:spacing w:after="0"/>
              <w:rPr>
                <w:sz w:val="12"/>
                <w:szCs w:val="12"/>
                <w:color w:val="auto"/>
              </w:rPr>
            </w:pPr>
          </w:p>
        </w:tc>
        <w:tc>
          <w:tcPr>
            <w:tcW w:w="20" w:type="dxa"/>
            <w:vAlign w:val="bottom"/>
            <w:shd w:val="clear" w:color="auto" w:fill="F6F3F0"/>
          </w:tcPr>
          <w:p>
            <w:pPr>
              <w:spacing w:after="0"/>
              <w:rPr>
                <w:sz w:val="12"/>
                <w:szCs w:val="12"/>
                <w:color w:val="auto"/>
              </w:rPr>
            </w:pPr>
          </w:p>
        </w:tc>
        <w:tc>
          <w:tcPr>
            <w:tcW w:w="5360" w:type="dxa"/>
            <w:vAlign w:val="bottom"/>
            <w:shd w:val="clear" w:color="auto" w:fill="F6F3F0"/>
          </w:tcPr>
          <w:p>
            <w:pPr>
              <w:spacing w:after="0"/>
              <w:rPr>
                <w:sz w:val="12"/>
                <w:szCs w:val="12"/>
                <w:color w:val="auto"/>
              </w:rPr>
            </w:pPr>
          </w:p>
        </w:tc>
        <w:tc>
          <w:tcPr>
            <w:tcW w:w="240" w:type="dxa"/>
            <w:vAlign w:val="bottom"/>
            <w:shd w:val="clear" w:color="auto" w:fill="F6F3F0"/>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-1336040</wp:posOffset>
            </wp:positionV>
            <wp:extent cx="6997065" cy="21107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7065" cy="2110740"/>
                    </a:xfrm>
                    <a:prstGeom prst="rect">
                      <a:avLst/>
                    </a:prstGeom>
                    <a:noFill/>
                  </pic:spPr>
                </pic:pic>
              </a:graphicData>
            </a:graphic>
          </wp:anchor>
        </w:drawing>
      </w:r>
    </w:p>
    <w:p>
      <w:pPr>
        <w:spacing w:after="0" w:line="301" w:lineRule="exact"/>
        <w:rPr>
          <w:sz w:val="20"/>
          <w:szCs w:val="20"/>
          <w:color w:val="auto"/>
        </w:rPr>
      </w:pPr>
    </w:p>
    <w:p>
      <w:pPr>
        <w:ind w:left="4480"/>
        <w:spacing w:after="0"/>
        <w:rPr>
          <w:sz w:val="20"/>
          <w:szCs w:val="20"/>
          <w:color w:val="auto"/>
        </w:rPr>
      </w:pPr>
      <w:r>
        <w:rPr>
          <w:rFonts w:ascii="Arial" w:cs="Arial" w:eastAsia="Arial" w:hAnsi="Arial"/>
          <w:sz w:val="16"/>
          <w:szCs w:val="16"/>
          <w:color w:val="0E1020"/>
        </w:rPr>
        <w:t>UN Global Compact Signatory since DXC’s inception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Accolades</w:t>
      </w:r>
    </w:p>
    <w:p>
      <w:pPr>
        <w:spacing w:after="0" w:line="133" w:lineRule="exact"/>
        <w:rPr>
          <w:sz w:val="20"/>
          <w:szCs w:val="20"/>
          <w:color w:val="auto"/>
        </w:rPr>
      </w:pPr>
    </w:p>
    <w:p>
      <w:pPr>
        <w:ind w:left="300" w:hanging="293"/>
        <w:spacing w:after="0"/>
        <w:tabs>
          <w:tab w:leader="none" w:pos="300" w:val="left"/>
        </w:tabs>
        <w:numPr>
          <w:ilvl w:val="0"/>
          <w:numId w:val="42"/>
        </w:numPr>
        <w:rPr>
          <w:rFonts w:ascii="Arial" w:cs="Arial" w:eastAsia="Arial" w:hAnsi="Arial"/>
          <w:sz w:val="16"/>
          <w:szCs w:val="16"/>
          <w:color w:val="0E1020"/>
        </w:rPr>
      </w:pPr>
      <w:r>
        <w:rPr>
          <w:rFonts w:ascii="Arial" w:cs="Arial" w:eastAsia="Arial" w:hAnsi="Arial"/>
          <w:sz w:val="16"/>
          <w:szCs w:val="16"/>
          <w:color w:val="0E1020"/>
        </w:rPr>
        <w:t>ISS ESG awarded DXC Prime status in recognition of exemplary ESG performance</w:t>
      </w:r>
    </w:p>
    <w:p>
      <w:pPr>
        <w:spacing w:after="0" w:line="124" w:lineRule="exact"/>
        <w:rPr>
          <w:rFonts w:ascii="Arial" w:cs="Arial" w:eastAsia="Arial" w:hAnsi="Arial"/>
          <w:sz w:val="16"/>
          <w:szCs w:val="16"/>
          <w:color w:val="0E1020"/>
        </w:rPr>
      </w:pPr>
    </w:p>
    <w:p>
      <w:pPr>
        <w:ind w:left="300" w:hanging="293"/>
        <w:spacing w:after="0"/>
        <w:tabs>
          <w:tab w:leader="none" w:pos="300" w:val="left"/>
        </w:tabs>
        <w:numPr>
          <w:ilvl w:val="0"/>
          <w:numId w:val="42"/>
        </w:numPr>
        <w:rPr>
          <w:rFonts w:ascii="Arial" w:cs="Arial" w:eastAsia="Arial" w:hAnsi="Arial"/>
          <w:sz w:val="16"/>
          <w:szCs w:val="16"/>
          <w:color w:val="0E1020"/>
        </w:rPr>
      </w:pPr>
      <w:r>
        <w:rPr>
          <w:rFonts w:ascii="Arial" w:cs="Arial" w:eastAsia="Arial" w:hAnsi="Arial"/>
          <w:sz w:val="16"/>
          <w:szCs w:val="16"/>
          <w:color w:val="0E1020"/>
        </w:rPr>
        <w:t>EcoVadis awarded DXC a 2025 silver medal for outstanding sustainability performance</w:t>
      </w:r>
    </w:p>
    <w:p>
      <w:pPr>
        <w:spacing w:after="0" w:line="137" w:lineRule="exact"/>
        <w:rPr>
          <w:rFonts w:ascii="Arial" w:cs="Arial" w:eastAsia="Arial" w:hAnsi="Arial"/>
          <w:sz w:val="16"/>
          <w:szCs w:val="16"/>
          <w:color w:val="0E1020"/>
        </w:rPr>
      </w:pPr>
    </w:p>
    <w:p>
      <w:pPr>
        <w:ind w:left="300" w:hanging="293"/>
        <w:spacing w:after="0"/>
        <w:tabs>
          <w:tab w:leader="none" w:pos="300" w:val="left"/>
        </w:tabs>
        <w:numPr>
          <w:ilvl w:val="0"/>
          <w:numId w:val="42"/>
        </w:numPr>
        <w:rPr>
          <w:rFonts w:ascii="Arial" w:cs="Arial" w:eastAsia="Arial" w:hAnsi="Arial"/>
          <w:sz w:val="16"/>
          <w:szCs w:val="16"/>
          <w:color w:val="0E1020"/>
        </w:rPr>
      </w:pPr>
      <w:r>
        <w:rPr>
          <w:rFonts w:ascii="Arial" w:cs="Arial" w:eastAsia="Arial" w:hAnsi="Arial"/>
          <w:sz w:val="16"/>
          <w:szCs w:val="16"/>
          <w:color w:val="0E1020"/>
        </w:rPr>
        <w:t>Dell Technologies awarded DXC the 2025 ESG Partner of the Year for outstanding commitment to ESG collaboration</w:t>
      </w:r>
    </w:p>
    <w:p>
      <w:pPr>
        <w:spacing w:after="0" w:line="124" w:lineRule="exact"/>
        <w:rPr>
          <w:rFonts w:ascii="Arial" w:cs="Arial" w:eastAsia="Arial" w:hAnsi="Arial"/>
          <w:sz w:val="16"/>
          <w:szCs w:val="16"/>
          <w:color w:val="0E1020"/>
        </w:rPr>
      </w:pPr>
    </w:p>
    <w:p>
      <w:pPr>
        <w:ind w:left="300" w:hanging="293"/>
        <w:spacing w:after="0"/>
        <w:tabs>
          <w:tab w:leader="none" w:pos="300" w:val="left"/>
        </w:tabs>
        <w:numPr>
          <w:ilvl w:val="0"/>
          <w:numId w:val="42"/>
        </w:numPr>
        <w:rPr>
          <w:rFonts w:ascii="Arial" w:cs="Arial" w:eastAsia="Arial" w:hAnsi="Arial"/>
          <w:sz w:val="16"/>
          <w:szCs w:val="16"/>
          <w:color w:val="0E1020"/>
        </w:rPr>
      </w:pPr>
      <w:r>
        <w:rPr>
          <w:rFonts w:ascii="Arial" w:cs="Arial" w:eastAsia="Arial" w:hAnsi="Arial"/>
          <w:sz w:val="16"/>
          <w:szCs w:val="16"/>
          <w:color w:val="0E1020"/>
        </w:rPr>
        <w:t>DXC Technology was ranked in Newsweek’s America’s Most Responsible Companies 2025 list</w:t>
      </w:r>
    </w:p>
    <w:p>
      <w:pPr>
        <w:spacing w:after="0" w:line="137" w:lineRule="exact"/>
        <w:rPr>
          <w:rFonts w:ascii="Arial" w:cs="Arial" w:eastAsia="Arial" w:hAnsi="Arial"/>
          <w:sz w:val="16"/>
          <w:szCs w:val="16"/>
          <w:color w:val="0E1020"/>
        </w:rPr>
      </w:pPr>
    </w:p>
    <w:p>
      <w:pPr>
        <w:ind w:left="300" w:hanging="293"/>
        <w:spacing w:after="0"/>
        <w:tabs>
          <w:tab w:leader="none" w:pos="300" w:val="left"/>
        </w:tabs>
        <w:numPr>
          <w:ilvl w:val="0"/>
          <w:numId w:val="42"/>
        </w:numPr>
        <w:rPr>
          <w:rFonts w:ascii="Arial" w:cs="Arial" w:eastAsia="Arial" w:hAnsi="Arial"/>
          <w:sz w:val="16"/>
          <w:szCs w:val="16"/>
          <w:color w:val="0E1020"/>
        </w:rPr>
      </w:pPr>
      <w:r>
        <w:rPr>
          <w:rFonts w:ascii="Arial" w:cs="Arial" w:eastAsia="Arial" w:hAnsi="Arial"/>
          <w:sz w:val="16"/>
          <w:szCs w:val="16"/>
          <w:color w:val="0E1020"/>
        </w:rPr>
        <w:t>DXC Technology was ranked in Newsweek’s America’s Greatest Workplaces 2025 list</w:t>
      </w:r>
    </w:p>
    <w:p>
      <w:pPr>
        <w:spacing w:after="0" w:line="124" w:lineRule="exact"/>
        <w:rPr>
          <w:rFonts w:ascii="Arial" w:cs="Arial" w:eastAsia="Arial" w:hAnsi="Arial"/>
          <w:sz w:val="16"/>
          <w:szCs w:val="16"/>
          <w:color w:val="0E1020"/>
        </w:rPr>
      </w:pPr>
    </w:p>
    <w:p>
      <w:pPr>
        <w:ind w:left="300" w:hanging="293"/>
        <w:spacing w:after="0"/>
        <w:tabs>
          <w:tab w:leader="none" w:pos="300" w:val="left"/>
        </w:tabs>
        <w:numPr>
          <w:ilvl w:val="0"/>
          <w:numId w:val="42"/>
        </w:numPr>
        <w:rPr>
          <w:rFonts w:ascii="Arial" w:cs="Arial" w:eastAsia="Arial" w:hAnsi="Arial"/>
          <w:sz w:val="16"/>
          <w:szCs w:val="16"/>
          <w:color w:val="0E1020"/>
        </w:rPr>
      </w:pPr>
      <w:r>
        <w:rPr>
          <w:rFonts w:ascii="Arial" w:cs="Arial" w:eastAsia="Arial" w:hAnsi="Arial"/>
          <w:sz w:val="16"/>
          <w:szCs w:val="16"/>
          <w:color w:val="0E1020"/>
        </w:rPr>
        <w:t>DXC Technology achieved a top score of 100 in the 2025 Disability Equality Index — Best Place to Work for Disability Inclusion</w:t>
      </w:r>
    </w:p>
    <w:p>
      <w:pPr>
        <w:spacing w:after="0" w:line="137" w:lineRule="exact"/>
        <w:rPr>
          <w:rFonts w:ascii="Arial" w:cs="Arial" w:eastAsia="Arial" w:hAnsi="Arial"/>
          <w:sz w:val="16"/>
          <w:szCs w:val="16"/>
          <w:color w:val="0E1020"/>
        </w:rPr>
      </w:pPr>
    </w:p>
    <w:p>
      <w:pPr>
        <w:ind w:left="320" w:right="220" w:hanging="313"/>
        <w:spacing w:after="0" w:line="318" w:lineRule="auto"/>
        <w:tabs>
          <w:tab w:leader="none" w:pos="282" w:val="left"/>
        </w:tabs>
        <w:numPr>
          <w:ilvl w:val="0"/>
          <w:numId w:val="42"/>
        </w:numPr>
        <w:rPr>
          <w:rFonts w:ascii="Arial" w:cs="Arial" w:eastAsia="Arial" w:hAnsi="Arial"/>
          <w:sz w:val="16"/>
          <w:szCs w:val="16"/>
          <w:color w:val="0E1020"/>
        </w:rPr>
      </w:pPr>
      <w:r>
        <w:rPr>
          <w:rFonts w:ascii="Arial" w:cs="Arial" w:eastAsia="Arial" w:hAnsi="Arial"/>
          <w:sz w:val="16"/>
          <w:szCs w:val="16"/>
          <w:color w:val="0E1020"/>
        </w:rPr>
        <w:t>DXC Technology was awarded 16 gold and silver medals by Brandon Hall Group in 2025 for excellence in Learning and Development, and fostering an inclusive workplace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47</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55" w:name="page56"/>
    <w:bookmarkEnd w:id="55"/>
    <w:p>
      <w:pPr>
        <w:ind w:left="20"/>
        <w:spacing w:after="0"/>
        <w:tabs>
          <w:tab w:leader="none" w:pos="10100" w:val="left"/>
        </w:tabs>
        <w:rPr>
          <w:sz w:val="20"/>
          <w:szCs w:val="20"/>
          <w:color w:val="auto"/>
        </w:rPr>
      </w:pPr>
      <w:r>
        <w:rPr>
          <w:rFonts w:ascii="Arial" w:cs="Arial" w:eastAsia="Arial" w:hAnsi="Arial"/>
          <w:sz w:val="14"/>
          <w:szCs w:val="14"/>
          <w:color w:val="auto"/>
        </w:rPr>
        <w:t>Corporate Governance</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0E1020"/>
        </w:rPr>
        <w:t>We maintain a page on our corporate website at dxc.com/us/en/about-us/corporate-responsibility where information regarding our ESG program, including our corporate responsibility reports and our accomplishments on ESG related matters, among others, may be found. We seek to be responsive to key areas of stakeholder interest through our ESG disclosures, however, we do not incorporate by reference the ESG disclosures on our website, including our Corporate Responsibility Reports, or our website itself into this Proxy Statement or our other filings with the SEC. Moreover, certain of the disclosures (either in this Proxy Statement or elsewhere) are informed by various third-party frameworks or stakeholder expectations and are not material under the federal securities law definition of materiality or otherwise responsive to our reporting obligations under U.S. federal securities laws or similar regulations.</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Political Contributions and Lobbying</w:t>
      </w:r>
    </w:p>
    <w:p>
      <w:pPr>
        <w:spacing w:after="0" w:line="148"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0E1020"/>
        </w:rPr>
        <w:t>In keeping with DXC’s Code of Conduct, DXC pursues its public policy agenda in strict accordance with the law and its global Government Affairs Policy which, among other things, establishes clear governance for Lobbying, Political Contributions and Contact with Government Officials.</w:t>
      </w:r>
    </w:p>
    <w:p>
      <w:pPr>
        <w:ind w:left="300" w:hanging="293"/>
        <w:spacing w:after="0"/>
        <w:tabs>
          <w:tab w:leader="none" w:pos="300" w:val="left"/>
        </w:tabs>
        <w:numPr>
          <w:ilvl w:val="0"/>
          <w:numId w:val="43"/>
        </w:numPr>
        <w:rPr>
          <w:rFonts w:ascii="Arial" w:cs="Arial" w:eastAsia="Arial" w:hAnsi="Arial"/>
          <w:sz w:val="16"/>
          <w:szCs w:val="16"/>
          <w:i w:val="1"/>
          <w:iCs w:val="1"/>
          <w:color w:val="0E1020"/>
        </w:rPr>
      </w:pPr>
      <w:r>
        <w:rPr>
          <w:rFonts w:ascii="Arial" w:cs="Arial" w:eastAsia="Arial" w:hAnsi="Arial"/>
          <w:sz w:val="16"/>
          <w:szCs w:val="16"/>
          <w:i w:val="1"/>
          <w:iCs w:val="1"/>
          <w:color w:val="0E1020"/>
        </w:rPr>
        <w:t>Lobbying</w:t>
      </w:r>
      <w:r>
        <w:rPr>
          <w:rFonts w:ascii="Arial" w:cs="Arial" w:eastAsia="Arial" w:hAnsi="Arial"/>
          <w:sz w:val="16"/>
          <w:szCs w:val="16"/>
          <w:color w:val="0E1020"/>
        </w:rPr>
        <w:t>. The company discloses its international, U.S. federal, state and local lobbying activity and expenditures as required by law.</w:t>
      </w:r>
    </w:p>
    <w:p>
      <w:pPr>
        <w:spacing w:after="0" w:line="124" w:lineRule="exact"/>
        <w:rPr>
          <w:rFonts w:ascii="Arial" w:cs="Arial" w:eastAsia="Arial" w:hAnsi="Arial"/>
          <w:sz w:val="16"/>
          <w:szCs w:val="16"/>
          <w:i w:val="1"/>
          <w:iCs w:val="1"/>
          <w:color w:val="0E1020"/>
        </w:rPr>
      </w:pPr>
    </w:p>
    <w:p>
      <w:pPr>
        <w:ind w:left="320" w:right="180" w:hanging="313"/>
        <w:spacing w:after="0" w:line="316" w:lineRule="auto"/>
        <w:tabs>
          <w:tab w:leader="none" w:pos="282" w:val="left"/>
        </w:tabs>
        <w:numPr>
          <w:ilvl w:val="0"/>
          <w:numId w:val="43"/>
        </w:numPr>
        <w:rPr>
          <w:rFonts w:ascii="Arial" w:cs="Arial" w:eastAsia="Arial" w:hAnsi="Arial"/>
          <w:sz w:val="16"/>
          <w:szCs w:val="16"/>
          <w:i w:val="1"/>
          <w:iCs w:val="1"/>
          <w:color w:val="0E1020"/>
        </w:rPr>
      </w:pPr>
      <w:r>
        <w:rPr>
          <w:rFonts w:ascii="Arial" w:cs="Arial" w:eastAsia="Arial" w:hAnsi="Arial"/>
          <w:sz w:val="16"/>
          <w:szCs w:val="16"/>
          <w:i w:val="1"/>
          <w:iCs w:val="1"/>
          <w:color w:val="0E1020"/>
        </w:rPr>
        <w:t>Political Contributions</w:t>
      </w:r>
      <w:r>
        <w:rPr>
          <w:rFonts w:ascii="Arial" w:cs="Arial" w:eastAsia="Arial" w:hAnsi="Arial"/>
          <w:sz w:val="16"/>
          <w:szCs w:val="16"/>
          <w:color w:val="0E1020"/>
        </w:rPr>
        <w:t>. DXC’s Government Affairs Policy does not allow DXC to use corporate funds or assets for contributions to candidates for U.S.</w:t>
      </w:r>
      <w:r>
        <w:rPr>
          <w:rFonts w:ascii="Arial" w:cs="Arial" w:eastAsia="Arial" w:hAnsi="Arial"/>
          <w:sz w:val="16"/>
          <w:szCs w:val="16"/>
          <w:i w:val="1"/>
          <w:iCs w:val="1"/>
          <w:color w:val="0E1020"/>
        </w:rPr>
        <w:t xml:space="preserve"> </w:t>
      </w:r>
      <w:r>
        <w:rPr>
          <w:rFonts w:ascii="Arial" w:cs="Arial" w:eastAsia="Arial" w:hAnsi="Arial"/>
          <w:sz w:val="16"/>
          <w:szCs w:val="16"/>
          <w:color w:val="0E1020"/>
        </w:rPr>
        <w:t>federal political office, or for federal office in any country. DXC did not make political contributions in fiscal 2026 to U.S. state candidates or to state and local government ballot measures, Political Action Committees and political party committees.</w:t>
      </w:r>
    </w:p>
    <w:p>
      <w:pPr>
        <w:spacing w:after="0" w:line="37" w:lineRule="exact"/>
        <w:rPr>
          <w:rFonts w:ascii="Arial" w:cs="Arial" w:eastAsia="Arial" w:hAnsi="Arial"/>
          <w:sz w:val="16"/>
          <w:szCs w:val="16"/>
          <w:i w:val="1"/>
          <w:iCs w:val="1"/>
          <w:color w:val="0E1020"/>
        </w:rPr>
      </w:pPr>
    </w:p>
    <w:p>
      <w:pPr>
        <w:ind w:left="300" w:hanging="293"/>
        <w:spacing w:after="0"/>
        <w:tabs>
          <w:tab w:leader="none" w:pos="300" w:val="left"/>
        </w:tabs>
        <w:numPr>
          <w:ilvl w:val="0"/>
          <w:numId w:val="43"/>
        </w:numPr>
        <w:rPr>
          <w:rFonts w:ascii="Arial" w:cs="Arial" w:eastAsia="Arial" w:hAnsi="Arial"/>
          <w:sz w:val="16"/>
          <w:szCs w:val="16"/>
          <w:i w:val="1"/>
          <w:iCs w:val="1"/>
          <w:color w:val="0E1020"/>
        </w:rPr>
      </w:pPr>
      <w:r>
        <w:rPr>
          <w:rFonts w:ascii="Arial" w:cs="Arial" w:eastAsia="Arial" w:hAnsi="Arial"/>
          <w:sz w:val="16"/>
          <w:szCs w:val="16"/>
          <w:i w:val="1"/>
          <w:iCs w:val="1"/>
          <w:color w:val="0E1020"/>
        </w:rPr>
        <w:t xml:space="preserve">Trade Associations. </w:t>
      </w:r>
      <w:r>
        <w:rPr>
          <w:rFonts w:ascii="Arial" w:cs="Arial" w:eastAsia="Arial" w:hAnsi="Arial"/>
          <w:sz w:val="16"/>
          <w:szCs w:val="16"/>
          <w:color w:val="0E1020"/>
        </w:rPr>
        <w:t>DXC did not make any trade association payments used for political contributions in fiscal 2026.</w:t>
      </w:r>
    </w:p>
    <w:p>
      <w:pPr>
        <w:spacing w:after="0" w:line="218" w:lineRule="exact"/>
        <w:rPr>
          <w:sz w:val="20"/>
          <w:szCs w:val="20"/>
          <w:color w:val="auto"/>
        </w:rPr>
      </w:pPr>
    </w:p>
    <w:p>
      <w:pPr>
        <w:ind w:right="300"/>
        <w:spacing w:after="0" w:line="346" w:lineRule="auto"/>
        <w:rPr>
          <w:sz w:val="20"/>
          <w:szCs w:val="20"/>
          <w:color w:val="auto"/>
        </w:rPr>
      </w:pPr>
      <w:r>
        <w:rPr>
          <w:rFonts w:ascii="Arial" w:cs="Arial" w:eastAsia="Arial" w:hAnsi="Arial"/>
          <w:sz w:val="16"/>
          <w:szCs w:val="16"/>
          <w:color w:val="0E1020"/>
        </w:rPr>
        <w:t xml:space="preserve">The Company’s Government Affairs policy is available on our website at </w:t>
      </w:r>
      <w:r>
        <w:rPr>
          <w:rFonts w:ascii="Arial" w:cs="Arial" w:eastAsia="Arial" w:hAnsi="Arial"/>
          <w:sz w:val="16"/>
          <w:szCs w:val="16"/>
          <w:b w:val="1"/>
          <w:bCs w:val="1"/>
          <w:color w:val="0E1020"/>
        </w:rPr>
        <w:t>www.dxc.com/us/en/about-us/leadership-and-governance/dxc-government-affairs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48</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56" w:name="page57"/>
    <w:bookmarkEnd w:id="56"/>
    <w:p>
      <w:pPr>
        <w:ind w:left="2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6166485</wp:posOffset>
            </wp:positionH>
            <wp:positionV relativeFrom="page">
              <wp:posOffset>106045</wp:posOffset>
            </wp:positionV>
            <wp:extent cx="1166495" cy="3232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232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39"/>
          <w:szCs w:val="39"/>
          <w:b w:val="1"/>
          <w:bCs w:val="1"/>
          <w:color w:val="0E1020"/>
        </w:rPr>
        <w:t>AUDIT COMMITTEE REPORT</w:t>
      </w:r>
    </w:p>
    <w:p>
      <w:pPr>
        <w:spacing w:after="0" w:line="15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0E1020"/>
        </w:rPr>
        <w:t>Management is responsible for DXC’s financial statements, accounting policies and internal control over financial reporting. Deloitte &amp; Touche LLP, DXC’s independent auditor, is responsible for performing an independent audit of DXC’s consolidated financial statements and expressing an opinion on the effectiveness of DXC’s internal control over financial reporting. The Audit Committee’s role is to assist the Board in its oversight of the integrity of DXC’s financial statements, the Company’s compliance with legal and regulatory requirements, the independent auditor’s qualifications and independence, and the performance of DXC’s internal audit function and independent auditor.</w:t>
      </w:r>
    </w:p>
    <w:p>
      <w:pPr>
        <w:spacing w:after="0" w:line="49" w:lineRule="exact"/>
        <w:rPr>
          <w:sz w:val="20"/>
          <w:szCs w:val="20"/>
          <w:color w:val="auto"/>
        </w:rPr>
      </w:pPr>
    </w:p>
    <w:p>
      <w:pPr>
        <w:spacing w:after="0" w:line="301" w:lineRule="auto"/>
        <w:rPr>
          <w:sz w:val="20"/>
          <w:szCs w:val="20"/>
          <w:color w:val="auto"/>
        </w:rPr>
      </w:pPr>
      <w:r>
        <w:rPr>
          <w:rFonts w:ascii="Arial" w:cs="Arial" w:eastAsia="Arial" w:hAnsi="Arial"/>
          <w:sz w:val="16"/>
          <w:szCs w:val="16"/>
          <w:color w:val="0E1020"/>
        </w:rPr>
        <w:t>The Audit Committee reviewed and discussed with management and Deloitte &amp; Touche LLP DXC’s audited financial statements for the fiscal year ended March 31, 2026, management’s assessment of the effectiveness of DXC’s internal control over financial reporting, and Deloitte &amp; Touche LLP’s evaluation of DXC’s internal control over financial reporting. The Audit Committee also discussed with the independent auditor the matters required to be discussed by the applicable requirements of the Public Company Accounting Oversight Board (PCAOB) and the SEC. In addition, the Audit Committee received from Deloitte &amp; Touche LLP the written disclosures and the letter required by the applicable requirements of the PCAOB regarding Deloitte &amp; Touche LLP’s communications with the Audit Committee concerning independence and discussed with them their independence.</w:t>
      </w:r>
    </w:p>
    <w:p>
      <w:pPr>
        <w:spacing w:after="0" w:line="63" w:lineRule="exact"/>
        <w:rPr>
          <w:sz w:val="20"/>
          <w:szCs w:val="20"/>
          <w:color w:val="auto"/>
        </w:rPr>
      </w:pPr>
    </w:p>
    <w:p>
      <w:pPr>
        <w:ind w:right="220"/>
        <w:spacing w:after="0" w:line="318" w:lineRule="auto"/>
        <w:rPr>
          <w:sz w:val="20"/>
          <w:szCs w:val="20"/>
          <w:color w:val="auto"/>
        </w:rPr>
      </w:pPr>
      <w:r>
        <w:rPr>
          <w:rFonts w:ascii="Arial" w:cs="Arial" w:eastAsia="Arial" w:hAnsi="Arial"/>
          <w:sz w:val="16"/>
          <w:szCs w:val="16"/>
          <w:color w:val="0E1020"/>
        </w:rPr>
        <w:t>Based on such review and discussions, the Audit Committee recommended to the Board of Directors, and the Board of Directors approved, the inclusion of the audited financial statements of DXC in DXC’s Annual Report on Form 10-K for the fiscal year ended March 31, 2026, for filing with the SEC.</w:t>
      </w:r>
    </w:p>
    <w:p>
      <w:pPr>
        <w:spacing w:after="0" w:line="49" w:lineRule="exact"/>
        <w:rPr>
          <w:sz w:val="20"/>
          <w:szCs w:val="20"/>
          <w:color w:val="auto"/>
        </w:rPr>
      </w:pPr>
    </w:p>
    <w:p>
      <w:pPr>
        <w:ind w:right="240"/>
        <w:spacing w:after="0" w:line="335" w:lineRule="auto"/>
        <w:rPr>
          <w:sz w:val="20"/>
          <w:szCs w:val="20"/>
          <w:color w:val="auto"/>
        </w:rPr>
      </w:pPr>
      <w:r>
        <w:rPr>
          <w:rFonts w:ascii="Arial" w:cs="Arial" w:eastAsia="Arial" w:hAnsi="Arial"/>
          <w:sz w:val="16"/>
          <w:szCs w:val="16"/>
          <w:color w:val="0E1020"/>
        </w:rPr>
        <w:t>The Audit Committee also appointed Deloitte &amp; Touche LLP as DXC’s independent auditor for the fiscal year ending March 31, 2027, and recommended to the Board of Directors that such appointment be submitted to our stockholders for ratification.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0E1020"/>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154940</wp:posOffset>
            </wp:positionV>
            <wp:extent cx="808355" cy="8083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08355" cy="808355"/>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154940</wp:posOffset>
            </wp:positionV>
            <wp:extent cx="808355" cy="800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08355" cy="800100"/>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154940</wp:posOffset>
            </wp:positionV>
            <wp:extent cx="808355" cy="800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08355" cy="800100"/>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154940</wp:posOffset>
            </wp:positionV>
            <wp:extent cx="808355" cy="800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08355" cy="800100"/>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0E1020"/>
        </w:rPr>
        <w:t>ROBERT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E1020"/>
        </w:rPr>
        <w:t>DAVID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5"/>
          <w:szCs w:val="15"/>
          <w:b w:val="1"/>
          <w:bCs w:val="1"/>
          <w:color w:val="0E1020"/>
        </w:rPr>
        <w:t>DAVID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E1020"/>
        </w:rPr>
        <w:t>CARRIE</w:t>
      </w:r>
    </w:p>
    <w:p>
      <w:pPr>
        <w:spacing w:after="0" w:line="54" w:lineRule="exact"/>
        <w:rPr>
          <w:sz w:val="20"/>
          <w:szCs w:val="20"/>
          <w:color w:val="auto"/>
        </w:rPr>
      </w:pPr>
    </w:p>
    <w:p>
      <w:pPr>
        <w:sectPr>
          <w:pgSz w:w="11900" w:h="16838" w:orient="portrait"/>
          <w:cols w:equalWidth="0" w:num="4">
            <w:col w:w="1580" w:space="720"/>
            <w:col w:w="1480" w:space="720"/>
            <w:col w:w="1500" w:space="720"/>
            <w:col w:w="4520"/>
          </w:cols>
          <w:pgMar w:left="320" w:top="224" w:right="339" w:bottom="1440" w:gutter="0" w:footer="0" w:header="0"/>
          <w:type w:val="continuous"/>
        </w:sectPr>
      </w:pP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0E1020"/>
        </w:rPr>
        <w:t>WOODS</w:t>
      </w:r>
    </w:p>
    <w:p>
      <w:pPr>
        <w:spacing w:after="0" w:line="20" w:lineRule="exact"/>
        <w:rPr>
          <w:sz w:val="20"/>
          <w:szCs w:val="20"/>
          <w:color w:val="auto"/>
        </w:rPr>
      </w:pPr>
      <w:r>
        <w:rPr>
          <w:sz w:val="20"/>
          <w:szCs w:val="20"/>
          <w:color w:val="auto"/>
        </w:rPr>
        <w:br w:type="column"/>
      </w:r>
    </w:p>
    <w:p>
      <w:pPr>
        <w:jc w:val="center"/>
        <w:ind w:right="840"/>
        <w:spacing w:after="0"/>
        <w:rPr>
          <w:sz w:val="20"/>
          <w:szCs w:val="20"/>
          <w:color w:val="auto"/>
        </w:rPr>
      </w:pPr>
      <w:r>
        <w:rPr>
          <w:rFonts w:ascii="Times New Roman" w:cs="Times New Roman" w:eastAsia="Times New Roman" w:hAnsi="Times New Roman"/>
          <w:sz w:val="15"/>
          <w:szCs w:val="15"/>
          <w:b w:val="1"/>
          <w:bCs w:val="1"/>
          <w:color w:val="0E1020"/>
        </w:rPr>
        <w:t>BARNES</w:t>
      </w:r>
    </w:p>
    <w:p>
      <w:pPr>
        <w:spacing w:after="0" w:line="20" w:lineRule="exact"/>
        <w:rPr>
          <w:sz w:val="20"/>
          <w:szCs w:val="20"/>
          <w:color w:val="auto"/>
        </w:rPr>
      </w:pPr>
      <w:r>
        <w:rPr>
          <w:sz w:val="20"/>
          <w:szCs w:val="20"/>
          <w:color w:val="auto"/>
        </w:rPr>
        <w:br w:type="column"/>
      </w:r>
    </w:p>
    <w:p>
      <w:pPr>
        <w:jc w:val="center"/>
        <w:ind w:right="800"/>
        <w:spacing w:after="0"/>
        <w:rPr>
          <w:sz w:val="20"/>
          <w:szCs w:val="20"/>
          <w:color w:val="auto"/>
        </w:rPr>
      </w:pPr>
      <w:r>
        <w:rPr>
          <w:rFonts w:ascii="Times New Roman" w:cs="Times New Roman" w:eastAsia="Times New Roman" w:hAnsi="Times New Roman"/>
          <w:sz w:val="15"/>
          <w:szCs w:val="15"/>
          <w:b w:val="1"/>
          <w:bCs w:val="1"/>
          <w:color w:val="0E1020"/>
        </w:rPr>
        <w:t>HERZOG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0E1020"/>
        </w:rPr>
        <w:t>TEFFNER</w:t>
      </w:r>
    </w:p>
    <w:p>
      <w:pPr>
        <w:spacing w:after="0" w:line="51" w:lineRule="exact"/>
        <w:rPr>
          <w:sz w:val="20"/>
          <w:szCs w:val="20"/>
          <w:color w:val="auto"/>
        </w:rPr>
      </w:pPr>
    </w:p>
    <w:p>
      <w:pPr>
        <w:sectPr>
          <w:pgSz w:w="11900" w:h="16838" w:orient="portrait"/>
          <w:cols w:equalWidth="0" w:num="4">
            <w:col w:w="1580" w:space="720"/>
            <w:col w:w="1480" w:space="720"/>
            <w:col w:w="1500" w:space="720"/>
            <w:col w:w="4520"/>
          </w:cols>
          <w:pgMar w:left="320" w:top="224" w:right="339" w:bottom="1440" w:gutter="0" w:footer="0" w:header="0"/>
          <w:type w:val="continuous"/>
        </w:sectPr>
      </w:pPr>
    </w:p>
    <w:p>
      <w:pPr>
        <w:ind w:left="100"/>
        <w:spacing w:after="0"/>
        <w:rPr>
          <w:sz w:val="20"/>
          <w:szCs w:val="20"/>
          <w:color w:val="auto"/>
        </w:rPr>
      </w:pPr>
      <w:r>
        <w:rPr>
          <w:rFonts w:ascii="Arial" w:cs="Arial" w:eastAsia="Arial" w:hAnsi="Arial"/>
          <w:sz w:val="14"/>
          <w:szCs w:val="14"/>
          <w:color w:val="0E1020"/>
        </w:rPr>
        <w:t>Chair</w:t>
      </w:r>
    </w:p>
    <w:p>
      <w:pPr>
        <w:sectPr>
          <w:pgSz w:w="11900" w:h="16838" w:orient="portrait"/>
          <w:cols w:equalWidth="0" w:num="1">
            <w:col w:w="11240"/>
          </w:cols>
          <w:pgMar w:left="320" w:top="22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49</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type w:val="continuous"/>
        </w:sectPr>
      </w:pPr>
    </w:p>
    <w:bookmarkStart w:id="57" w:name="page58"/>
    <w:bookmarkEnd w:id="57"/>
    <w:p>
      <w:pPr>
        <w:ind w:left="1012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216535</wp:posOffset>
            </wp:positionH>
            <wp:positionV relativeFrom="page">
              <wp:posOffset>106045</wp:posOffset>
            </wp:positionV>
            <wp:extent cx="1166495" cy="3232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232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39"/>
          <w:szCs w:val="39"/>
          <w:b w:val="1"/>
          <w:bCs w:val="1"/>
          <w:color w:val="0E1020"/>
        </w:rPr>
        <w:t>DIRECTOR COMPENSATION</w:t>
      </w:r>
    </w:p>
    <w:p>
      <w:pPr>
        <w:spacing w:after="0" w:line="154" w:lineRule="exact"/>
        <w:rPr>
          <w:sz w:val="20"/>
          <w:szCs w:val="20"/>
          <w:color w:val="auto"/>
        </w:rPr>
      </w:pPr>
    </w:p>
    <w:p>
      <w:pPr>
        <w:ind w:right="220"/>
        <w:spacing w:after="0" w:line="307" w:lineRule="auto"/>
        <w:rPr>
          <w:sz w:val="20"/>
          <w:szCs w:val="20"/>
          <w:color w:val="auto"/>
        </w:rPr>
      </w:pPr>
      <w:r>
        <w:rPr>
          <w:rFonts w:ascii="Arial" w:cs="Arial" w:eastAsia="Arial" w:hAnsi="Arial"/>
          <w:sz w:val="16"/>
          <w:szCs w:val="16"/>
          <w:color w:val="0E1020"/>
        </w:rPr>
        <w:t>Director compensation is reviewed annually and approved by the Board of Directors at the recommendation of the Compensation Committee. The annual review includes an analysis by the Compensation Committee’s independent compensation consultant of the program’s framework and pay levels relative to DXC’s peer group.</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0E1020"/>
        </w:rPr>
        <w:t>The director compensation program reflects several best practices to ensure sound governance and alignment with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113665</wp:posOffset>
            </wp:positionV>
            <wp:extent cx="7133590" cy="2127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3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E1020"/>
        </w:rPr>
        <w:t>Director 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65405</wp:posOffset>
            </wp:positionV>
            <wp:extent cx="71335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E1020"/>
              </w:rPr>
              <w:t>Annual Benchmarking</w:t>
            </w:r>
          </w:p>
        </w:tc>
        <w:tc>
          <w:tcPr>
            <w:tcW w:w="8860" w:type="dxa"/>
            <w:vAlign w:val="bottom"/>
            <w:tcBorders>
              <w:bottom w:val="single" w:sz="8" w:color="CFCFD2"/>
            </w:tcBorders>
          </w:tcPr>
          <w:p>
            <w:pPr>
              <w:ind w:left="60"/>
              <w:spacing w:after="0"/>
              <w:rPr>
                <w:sz w:val="20"/>
                <w:szCs w:val="20"/>
                <w:color w:val="auto"/>
              </w:rPr>
            </w:pPr>
            <w:r>
              <w:rPr>
                <w:rFonts w:ascii="Arial" w:cs="Arial" w:eastAsia="Arial" w:hAnsi="Arial"/>
                <w:sz w:val="14"/>
                <w:szCs w:val="14"/>
                <w:color w:val="0E1020"/>
              </w:rPr>
              <w:t>Director compensation is reviewed annually relative to DXC’s peer group to ensure it is market-competitive.</w:t>
            </w:r>
          </w:p>
        </w:tc>
      </w:tr>
      <w:tr>
        <w:trPr>
          <w:trHeight w:val="221"/>
        </w:trPr>
        <w:tc>
          <w:tcPr>
            <w:tcW w:w="238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E1020"/>
              </w:rPr>
              <w:t>Mix of Cash and Equity</w:t>
            </w:r>
          </w:p>
        </w:tc>
        <w:tc>
          <w:tcPr>
            <w:tcW w:w="8860" w:type="dxa"/>
            <w:vAlign w:val="bottom"/>
            <w:tcBorders>
              <w:bottom w:val="single" w:sz="8" w:color="CFCFD2"/>
            </w:tcBorders>
          </w:tcPr>
          <w:p>
            <w:pPr>
              <w:ind w:left="60"/>
              <w:spacing w:after="0"/>
              <w:rPr>
                <w:sz w:val="20"/>
                <w:szCs w:val="20"/>
                <w:color w:val="auto"/>
              </w:rPr>
            </w:pPr>
            <w:r>
              <w:rPr>
                <w:rFonts w:ascii="Arial" w:cs="Arial" w:eastAsia="Arial" w:hAnsi="Arial"/>
                <w:sz w:val="14"/>
                <w:szCs w:val="14"/>
                <w:color w:val="0E1020"/>
              </w:rPr>
              <w:t>The program includes an appropriate mix of annual cash compensation and equity awards.</w:t>
            </w:r>
          </w:p>
        </w:tc>
      </w:tr>
      <w:tr>
        <w:trPr>
          <w:trHeight w:val="178"/>
        </w:trPr>
        <w:tc>
          <w:tcPr>
            <w:tcW w:w="2380" w:type="dxa"/>
            <w:vAlign w:val="bottom"/>
          </w:tcPr>
          <w:p>
            <w:pPr>
              <w:ind w:left="100"/>
              <w:spacing w:after="0"/>
              <w:rPr>
                <w:sz w:val="20"/>
                <w:szCs w:val="20"/>
                <w:color w:val="auto"/>
              </w:rPr>
            </w:pPr>
            <w:r>
              <w:rPr>
                <w:rFonts w:ascii="Arial" w:cs="Arial" w:eastAsia="Arial" w:hAnsi="Arial"/>
                <w:sz w:val="14"/>
                <w:szCs w:val="14"/>
                <w:b w:val="1"/>
                <w:bCs w:val="1"/>
                <w:color w:val="0E1020"/>
              </w:rPr>
              <w:t>Vesting Requirements of Annual</w:t>
            </w:r>
          </w:p>
        </w:tc>
        <w:tc>
          <w:tcPr>
            <w:tcW w:w="8860" w:type="dxa"/>
            <w:vAlign w:val="bottom"/>
          </w:tcPr>
          <w:p>
            <w:pPr>
              <w:ind w:left="60"/>
              <w:spacing w:after="0"/>
              <w:rPr>
                <w:sz w:val="20"/>
                <w:szCs w:val="20"/>
                <w:color w:val="auto"/>
              </w:rPr>
            </w:pPr>
            <w:r>
              <w:rPr>
                <w:rFonts w:ascii="Arial" w:cs="Arial" w:eastAsia="Arial" w:hAnsi="Arial"/>
                <w:sz w:val="14"/>
                <w:szCs w:val="14"/>
                <w:color w:val="0E1020"/>
              </w:rPr>
              <w:t>Restricted stock units granted under the Director Plan are scheduled to vest in full at the earlier of the first anniversary of the grant date, or</w:t>
            </w:r>
          </w:p>
        </w:tc>
      </w:tr>
      <w:tr>
        <w:trPr>
          <w:trHeight w:val="195"/>
        </w:trPr>
        <w:tc>
          <w:tcPr>
            <w:tcW w:w="2380" w:type="dxa"/>
            <w:vAlign w:val="bottom"/>
          </w:tcPr>
          <w:p>
            <w:pPr>
              <w:ind w:left="100"/>
              <w:spacing w:after="0"/>
              <w:rPr>
                <w:sz w:val="20"/>
                <w:szCs w:val="20"/>
                <w:color w:val="auto"/>
              </w:rPr>
            </w:pPr>
            <w:r>
              <w:rPr>
                <w:rFonts w:ascii="Arial" w:cs="Arial" w:eastAsia="Arial" w:hAnsi="Arial"/>
                <w:sz w:val="14"/>
                <w:szCs w:val="14"/>
                <w:b w:val="1"/>
                <w:bCs w:val="1"/>
                <w:color w:val="0E1020"/>
              </w:rPr>
              <w:t>Equity Awards</w:t>
            </w:r>
          </w:p>
        </w:tc>
        <w:tc>
          <w:tcPr>
            <w:tcW w:w="8860" w:type="dxa"/>
            <w:vAlign w:val="bottom"/>
          </w:tcPr>
          <w:p>
            <w:pPr>
              <w:ind w:left="60"/>
              <w:spacing w:after="0"/>
              <w:rPr>
                <w:sz w:val="20"/>
                <w:szCs w:val="20"/>
                <w:color w:val="auto"/>
              </w:rPr>
            </w:pPr>
            <w:r>
              <w:rPr>
                <w:rFonts w:ascii="Arial" w:cs="Arial" w:eastAsia="Arial" w:hAnsi="Arial"/>
                <w:sz w:val="14"/>
                <w:szCs w:val="14"/>
                <w:color w:val="0E1020"/>
              </w:rPr>
              <w:t>the date of the next annual stockholders meeting.</w:t>
            </w:r>
          </w:p>
        </w:tc>
      </w:tr>
      <w:tr>
        <w:trPr>
          <w:trHeight w:val="28"/>
        </w:trPr>
        <w:tc>
          <w:tcPr>
            <w:tcW w:w="2380" w:type="dxa"/>
            <w:vAlign w:val="bottom"/>
            <w:tcBorders>
              <w:bottom w:val="single" w:sz="8" w:color="CFCFD2"/>
            </w:tcBorders>
          </w:tcPr>
          <w:p>
            <w:pPr>
              <w:spacing w:after="0"/>
              <w:rPr>
                <w:sz w:val="2"/>
                <w:szCs w:val="2"/>
                <w:color w:val="auto"/>
              </w:rPr>
            </w:pPr>
          </w:p>
        </w:tc>
        <w:tc>
          <w:tcPr>
            <w:tcW w:w="8860" w:type="dxa"/>
            <w:vAlign w:val="bottom"/>
            <w:tcBorders>
              <w:bottom w:val="single" w:sz="8" w:color="CFCFD2"/>
            </w:tcBorders>
          </w:tcPr>
          <w:p>
            <w:pPr>
              <w:spacing w:after="0"/>
              <w:rPr>
                <w:sz w:val="2"/>
                <w:szCs w:val="2"/>
                <w:color w:val="auto"/>
              </w:rPr>
            </w:pPr>
          </w:p>
        </w:tc>
      </w:tr>
      <w:tr>
        <w:trPr>
          <w:trHeight w:val="215"/>
        </w:trPr>
        <w:tc>
          <w:tcPr>
            <w:tcW w:w="238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E1020"/>
              </w:rPr>
              <w:t>Equity Ownership Guidelines</w:t>
            </w:r>
          </w:p>
        </w:tc>
        <w:tc>
          <w:tcPr>
            <w:tcW w:w="8860" w:type="dxa"/>
            <w:vAlign w:val="bottom"/>
            <w:tcBorders>
              <w:bottom w:val="single" w:sz="8" w:color="CFCFD2"/>
            </w:tcBorders>
          </w:tcPr>
          <w:p>
            <w:pPr>
              <w:ind w:left="60"/>
              <w:spacing w:after="0"/>
              <w:rPr>
                <w:sz w:val="20"/>
                <w:szCs w:val="20"/>
                <w:color w:val="auto"/>
              </w:rPr>
            </w:pPr>
            <w:r>
              <w:rPr>
                <w:rFonts w:ascii="Arial" w:cs="Arial" w:eastAsia="Arial" w:hAnsi="Arial"/>
                <w:sz w:val="14"/>
                <w:szCs w:val="14"/>
                <w:color w:val="0E1020"/>
              </w:rPr>
              <w:t>Directors have an equity ownership guideline of five times their annual retainer to be achieved over a five-year period.</w:t>
            </w:r>
          </w:p>
        </w:tc>
      </w:tr>
      <w:tr>
        <w:trPr>
          <w:trHeight w:val="178"/>
        </w:trPr>
        <w:tc>
          <w:tcPr>
            <w:tcW w:w="2380" w:type="dxa"/>
            <w:vAlign w:val="bottom"/>
          </w:tcPr>
          <w:p>
            <w:pPr>
              <w:ind w:left="100"/>
              <w:spacing w:after="0"/>
              <w:rPr>
                <w:sz w:val="20"/>
                <w:szCs w:val="20"/>
                <w:color w:val="auto"/>
              </w:rPr>
            </w:pPr>
            <w:r>
              <w:rPr>
                <w:rFonts w:ascii="Arial" w:cs="Arial" w:eastAsia="Arial" w:hAnsi="Arial"/>
                <w:sz w:val="14"/>
                <w:szCs w:val="14"/>
                <w:b w:val="1"/>
                <w:bCs w:val="1"/>
                <w:color w:val="0E1020"/>
              </w:rPr>
              <w:t>Anti-Hedging or Anti-Pledging</w:t>
            </w:r>
          </w:p>
        </w:tc>
        <w:tc>
          <w:tcPr>
            <w:tcW w:w="8860" w:type="dxa"/>
            <w:vAlign w:val="bottom"/>
          </w:tcPr>
          <w:p>
            <w:pPr>
              <w:ind w:left="60"/>
              <w:spacing w:after="0"/>
              <w:rPr>
                <w:sz w:val="20"/>
                <w:szCs w:val="20"/>
                <w:color w:val="auto"/>
              </w:rPr>
            </w:pPr>
            <w:r>
              <w:rPr>
                <w:rFonts w:ascii="Arial" w:cs="Arial" w:eastAsia="Arial" w:hAnsi="Arial"/>
                <w:sz w:val="14"/>
                <w:szCs w:val="14"/>
                <w:color w:val="0E1020"/>
              </w:rPr>
              <w:t>Our insider trading policy prohibits employees and directors from engaging in any speculative or hedging transactions in our securities.</w:t>
            </w:r>
          </w:p>
        </w:tc>
      </w:tr>
      <w:tr>
        <w:trPr>
          <w:trHeight w:val="195"/>
        </w:trPr>
        <w:tc>
          <w:tcPr>
            <w:tcW w:w="2380" w:type="dxa"/>
            <w:vAlign w:val="bottom"/>
          </w:tcPr>
          <w:p>
            <w:pPr>
              <w:ind w:left="100"/>
              <w:spacing w:after="0"/>
              <w:rPr>
                <w:sz w:val="20"/>
                <w:szCs w:val="20"/>
                <w:color w:val="auto"/>
              </w:rPr>
            </w:pPr>
            <w:r>
              <w:rPr>
                <w:rFonts w:ascii="Arial" w:cs="Arial" w:eastAsia="Arial" w:hAnsi="Arial"/>
                <w:sz w:val="14"/>
                <w:szCs w:val="14"/>
                <w:b w:val="1"/>
                <w:bCs w:val="1"/>
                <w:color w:val="0E1020"/>
              </w:rPr>
              <w:t>of Company Stock</w:t>
            </w:r>
          </w:p>
        </w:tc>
        <w:tc>
          <w:tcPr>
            <w:tcW w:w="8860" w:type="dxa"/>
            <w:vAlign w:val="bottom"/>
          </w:tcPr>
          <w:p>
            <w:pPr>
              <w:ind w:left="60"/>
              <w:spacing w:after="0"/>
              <w:rPr>
                <w:sz w:val="20"/>
                <w:szCs w:val="20"/>
                <w:color w:val="auto"/>
              </w:rPr>
            </w:pPr>
            <w:r>
              <w:rPr>
                <w:rFonts w:ascii="Arial" w:cs="Arial" w:eastAsia="Arial" w:hAnsi="Arial"/>
                <w:sz w:val="14"/>
                <w:szCs w:val="14"/>
                <w:color w:val="0E1020"/>
              </w:rPr>
              <w:t>Additionally, the policy prohibits employees and directors from pledging DXC securities as collateral for a loan.</w:t>
            </w:r>
          </w:p>
        </w:tc>
      </w:tr>
      <w:tr>
        <w:trPr>
          <w:trHeight w:val="28"/>
        </w:trPr>
        <w:tc>
          <w:tcPr>
            <w:tcW w:w="2380" w:type="dxa"/>
            <w:vAlign w:val="bottom"/>
            <w:tcBorders>
              <w:bottom w:val="single" w:sz="8" w:color="CFCFD2"/>
            </w:tcBorders>
          </w:tcPr>
          <w:p>
            <w:pPr>
              <w:spacing w:after="0"/>
              <w:rPr>
                <w:sz w:val="2"/>
                <w:szCs w:val="2"/>
                <w:color w:val="auto"/>
              </w:rPr>
            </w:pPr>
          </w:p>
        </w:tc>
        <w:tc>
          <w:tcPr>
            <w:tcW w:w="8860" w:type="dxa"/>
            <w:vAlign w:val="bottom"/>
            <w:tcBorders>
              <w:bottom w:val="single" w:sz="8" w:color="CFCFD2"/>
            </w:tcBorders>
          </w:tcPr>
          <w:p>
            <w:pPr>
              <w:spacing w:after="0"/>
              <w:rPr>
                <w:sz w:val="2"/>
                <w:szCs w:val="2"/>
                <w:color w:val="auto"/>
              </w:rPr>
            </w:pPr>
          </w:p>
        </w:tc>
      </w:tr>
    </w:tbl>
    <w:p>
      <w:pPr>
        <w:spacing w:after="0" w:line="187" w:lineRule="exact"/>
        <w:rPr>
          <w:sz w:val="20"/>
          <w:szCs w:val="20"/>
          <w:color w:val="auto"/>
        </w:rPr>
      </w:pPr>
    </w:p>
    <w:p>
      <w:pPr>
        <w:ind w:right="200"/>
        <w:spacing w:after="0" w:line="316" w:lineRule="auto"/>
        <w:rPr>
          <w:sz w:val="20"/>
          <w:szCs w:val="20"/>
          <w:color w:val="auto"/>
        </w:rPr>
      </w:pPr>
      <w:r>
        <w:rPr>
          <w:rFonts w:ascii="Arial" w:cs="Arial" w:eastAsia="Arial" w:hAnsi="Arial"/>
          <w:sz w:val="16"/>
          <w:szCs w:val="16"/>
          <w:color w:val="0E1020"/>
        </w:rPr>
        <w:t>In the tables and narrative below, we describe our non-employee director compensation program and the compensation paid to our non-employee directors for fiscal 2026. All compensation received for fiscal 2026 by Mr. Fernandez, our President and CEO, is reflected in the Summary Compensation Table. Mr. Fernandez does not receive any separate compensation for his activities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33590" cy="2127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E1020"/>
        </w:rPr>
        <w:t>Fiscal 2026 Director Retainers and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65405</wp:posOffset>
            </wp:positionV>
            <wp:extent cx="71335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Pr>
          <w:p>
            <w:pPr>
              <w:ind w:left="100"/>
              <w:spacing w:after="0"/>
              <w:rPr>
                <w:sz w:val="20"/>
                <w:szCs w:val="20"/>
                <w:color w:val="auto"/>
              </w:rPr>
            </w:pPr>
            <w:r>
              <w:rPr>
                <w:rFonts w:ascii="Arial" w:cs="Arial" w:eastAsia="Arial" w:hAnsi="Arial"/>
                <w:sz w:val="14"/>
                <w:szCs w:val="14"/>
                <w:color w:val="0E1020"/>
              </w:rPr>
              <w:t>Annual Cash Retainer</w:t>
            </w:r>
            <w:r>
              <w:rPr>
                <w:rFonts w:ascii="Arial" w:cs="Arial" w:eastAsia="Arial" w:hAnsi="Arial"/>
                <w:sz w:val="9"/>
                <w:szCs w:val="9"/>
                <w:color w:val="0E1020"/>
              </w:rPr>
              <w:t>(1)</w:t>
            </w:r>
          </w:p>
        </w:tc>
        <w:tc>
          <w:tcPr>
            <w:tcW w:w="3680" w:type="dxa"/>
            <w:vAlign w:val="bottom"/>
          </w:tcPr>
          <w:p>
            <w:pPr>
              <w:jc w:val="right"/>
              <w:ind w:right="89"/>
              <w:spacing w:after="0"/>
              <w:rPr>
                <w:sz w:val="20"/>
                <w:szCs w:val="20"/>
                <w:color w:val="auto"/>
              </w:rPr>
            </w:pPr>
            <w:r>
              <w:rPr>
                <w:rFonts w:ascii="Arial" w:cs="Arial" w:eastAsia="Arial" w:hAnsi="Arial"/>
                <w:sz w:val="14"/>
                <w:szCs w:val="14"/>
                <w:color w:val="0E1020"/>
              </w:rPr>
              <w:t>$100,000.00</w:t>
            </w:r>
          </w:p>
        </w:tc>
      </w:tr>
      <w:tr>
        <w:trPr>
          <w:trHeight w:val="21"/>
        </w:trPr>
        <w:tc>
          <w:tcPr>
            <w:tcW w:w="7560" w:type="dxa"/>
            <w:vAlign w:val="bottom"/>
            <w:tcBorders>
              <w:bottom w:val="single" w:sz="8" w:color="CFCFD2"/>
            </w:tcBorders>
          </w:tcPr>
          <w:p>
            <w:pPr>
              <w:spacing w:after="0" w:line="20" w:lineRule="exact"/>
              <w:rPr>
                <w:sz w:val="1"/>
                <w:szCs w:val="1"/>
                <w:color w:val="auto"/>
              </w:rPr>
            </w:pPr>
          </w:p>
        </w:tc>
        <w:tc>
          <w:tcPr>
            <w:tcW w:w="3680" w:type="dxa"/>
            <w:vAlign w:val="bottom"/>
            <w:tcBorders>
              <w:bottom w:val="single" w:sz="8" w:color="CFCFD2"/>
            </w:tcBorders>
          </w:tcPr>
          <w:p>
            <w:pPr>
              <w:spacing w:after="0" w:line="20" w:lineRule="exact"/>
              <w:rPr>
                <w:sz w:val="1"/>
                <w:szCs w:val="1"/>
                <w:color w:val="auto"/>
              </w:rPr>
            </w:pPr>
          </w:p>
        </w:tc>
      </w:tr>
      <w:tr>
        <w:trPr>
          <w:trHeight w:val="200"/>
        </w:trPr>
        <w:tc>
          <w:tcPr>
            <w:tcW w:w="7560" w:type="dxa"/>
            <w:vAlign w:val="bottom"/>
          </w:tcPr>
          <w:p>
            <w:pPr>
              <w:ind w:left="100"/>
              <w:spacing w:after="0"/>
              <w:rPr>
                <w:sz w:val="20"/>
                <w:szCs w:val="20"/>
                <w:color w:val="auto"/>
              </w:rPr>
            </w:pPr>
            <w:r>
              <w:rPr>
                <w:rFonts w:ascii="Arial" w:cs="Arial" w:eastAsia="Arial" w:hAnsi="Arial"/>
                <w:sz w:val="14"/>
                <w:szCs w:val="14"/>
                <w:color w:val="0E1020"/>
              </w:rPr>
              <w:t>Annual Equity Award</w:t>
            </w:r>
            <w:r>
              <w:rPr>
                <w:rFonts w:ascii="Arial" w:cs="Arial" w:eastAsia="Arial" w:hAnsi="Arial"/>
                <w:sz w:val="9"/>
                <w:szCs w:val="9"/>
                <w:color w:val="0E1020"/>
              </w:rPr>
              <w:t>(2)</w:t>
            </w:r>
          </w:p>
        </w:tc>
        <w:tc>
          <w:tcPr>
            <w:tcW w:w="3680" w:type="dxa"/>
            <w:vAlign w:val="bottom"/>
          </w:tcPr>
          <w:p>
            <w:pPr>
              <w:jc w:val="right"/>
              <w:ind w:right="89"/>
              <w:spacing w:after="0"/>
              <w:rPr>
                <w:sz w:val="20"/>
                <w:szCs w:val="20"/>
                <w:color w:val="auto"/>
              </w:rPr>
            </w:pPr>
            <w:r>
              <w:rPr>
                <w:rFonts w:ascii="Arial" w:cs="Arial" w:eastAsia="Arial" w:hAnsi="Arial"/>
                <w:sz w:val="14"/>
                <w:szCs w:val="14"/>
                <w:color w:val="0E1020"/>
              </w:rPr>
              <w:t>$240,000.00</w:t>
            </w:r>
          </w:p>
        </w:tc>
      </w:tr>
      <w:tr>
        <w:trPr>
          <w:trHeight w:val="21"/>
        </w:trPr>
        <w:tc>
          <w:tcPr>
            <w:tcW w:w="7560" w:type="dxa"/>
            <w:vAlign w:val="bottom"/>
            <w:tcBorders>
              <w:bottom w:val="single" w:sz="8" w:color="CFCFD2"/>
            </w:tcBorders>
          </w:tcPr>
          <w:p>
            <w:pPr>
              <w:spacing w:after="0" w:line="20" w:lineRule="exact"/>
              <w:rPr>
                <w:sz w:val="1"/>
                <w:szCs w:val="1"/>
                <w:color w:val="auto"/>
              </w:rPr>
            </w:pPr>
          </w:p>
        </w:tc>
        <w:tc>
          <w:tcPr>
            <w:tcW w:w="3680" w:type="dxa"/>
            <w:vAlign w:val="bottom"/>
            <w:tcBorders>
              <w:bottom w:val="single" w:sz="8" w:color="CFCFD2"/>
            </w:tcBorders>
          </w:tcPr>
          <w:p>
            <w:pPr>
              <w:spacing w:after="0" w:line="20" w:lineRule="exact"/>
              <w:rPr>
                <w:sz w:val="1"/>
                <w:szCs w:val="1"/>
                <w:color w:val="auto"/>
              </w:rPr>
            </w:pPr>
          </w:p>
        </w:tc>
      </w:tr>
      <w:tr>
        <w:trPr>
          <w:trHeight w:val="200"/>
        </w:trPr>
        <w:tc>
          <w:tcPr>
            <w:tcW w:w="7560" w:type="dxa"/>
            <w:vAlign w:val="bottom"/>
          </w:tcPr>
          <w:p>
            <w:pPr>
              <w:ind w:left="100"/>
              <w:spacing w:after="0"/>
              <w:rPr>
                <w:sz w:val="20"/>
                <w:szCs w:val="20"/>
                <w:color w:val="auto"/>
              </w:rPr>
            </w:pPr>
            <w:r>
              <w:rPr>
                <w:rFonts w:ascii="Arial" w:cs="Arial" w:eastAsia="Arial" w:hAnsi="Arial"/>
                <w:sz w:val="14"/>
                <w:szCs w:val="14"/>
                <w:color w:val="0E1020"/>
              </w:rPr>
              <w:t>Chairman of the Board Annual Cash Retainer</w:t>
            </w:r>
            <w:r>
              <w:rPr>
                <w:rFonts w:ascii="Arial" w:cs="Arial" w:eastAsia="Arial" w:hAnsi="Arial"/>
                <w:sz w:val="9"/>
                <w:szCs w:val="9"/>
                <w:color w:val="0E1020"/>
              </w:rPr>
              <w:t>(1)</w:t>
            </w:r>
          </w:p>
        </w:tc>
        <w:tc>
          <w:tcPr>
            <w:tcW w:w="3680" w:type="dxa"/>
            <w:vAlign w:val="bottom"/>
          </w:tcPr>
          <w:p>
            <w:pPr>
              <w:jc w:val="right"/>
              <w:ind w:right="89"/>
              <w:spacing w:after="0"/>
              <w:rPr>
                <w:sz w:val="20"/>
                <w:szCs w:val="20"/>
                <w:color w:val="auto"/>
              </w:rPr>
            </w:pPr>
            <w:r>
              <w:rPr>
                <w:rFonts w:ascii="Arial" w:cs="Arial" w:eastAsia="Arial" w:hAnsi="Arial"/>
                <w:sz w:val="14"/>
                <w:szCs w:val="14"/>
                <w:color w:val="0E1020"/>
              </w:rPr>
              <w:t>$100,000.00</w:t>
            </w:r>
          </w:p>
        </w:tc>
      </w:tr>
      <w:tr>
        <w:trPr>
          <w:trHeight w:val="21"/>
        </w:trPr>
        <w:tc>
          <w:tcPr>
            <w:tcW w:w="7560" w:type="dxa"/>
            <w:vAlign w:val="bottom"/>
            <w:tcBorders>
              <w:bottom w:val="single" w:sz="8" w:color="CFCFD2"/>
            </w:tcBorders>
          </w:tcPr>
          <w:p>
            <w:pPr>
              <w:spacing w:after="0" w:line="20" w:lineRule="exact"/>
              <w:rPr>
                <w:sz w:val="1"/>
                <w:szCs w:val="1"/>
                <w:color w:val="auto"/>
              </w:rPr>
            </w:pPr>
          </w:p>
        </w:tc>
        <w:tc>
          <w:tcPr>
            <w:tcW w:w="3680" w:type="dxa"/>
            <w:vAlign w:val="bottom"/>
            <w:tcBorders>
              <w:bottom w:val="single" w:sz="8" w:color="CFCFD2"/>
            </w:tcBorders>
          </w:tcPr>
          <w:p>
            <w:pPr>
              <w:spacing w:after="0" w:line="20" w:lineRule="exact"/>
              <w:rPr>
                <w:sz w:val="1"/>
                <w:szCs w:val="1"/>
                <w:color w:val="auto"/>
              </w:rPr>
            </w:pPr>
          </w:p>
        </w:tc>
      </w:tr>
      <w:tr>
        <w:trPr>
          <w:trHeight w:val="200"/>
        </w:trPr>
        <w:tc>
          <w:tcPr>
            <w:tcW w:w="7560" w:type="dxa"/>
            <w:vAlign w:val="bottom"/>
          </w:tcPr>
          <w:p>
            <w:pPr>
              <w:ind w:left="100"/>
              <w:spacing w:after="0"/>
              <w:rPr>
                <w:sz w:val="20"/>
                <w:szCs w:val="20"/>
                <w:color w:val="auto"/>
              </w:rPr>
            </w:pPr>
            <w:r>
              <w:rPr>
                <w:rFonts w:ascii="Arial" w:cs="Arial" w:eastAsia="Arial" w:hAnsi="Arial"/>
                <w:sz w:val="14"/>
                <w:szCs w:val="14"/>
                <w:color w:val="0E1020"/>
              </w:rPr>
              <w:t>Chairman of the Board Annual Equity Award</w:t>
            </w:r>
            <w:r>
              <w:rPr>
                <w:rFonts w:ascii="Arial" w:cs="Arial" w:eastAsia="Arial" w:hAnsi="Arial"/>
                <w:sz w:val="9"/>
                <w:szCs w:val="9"/>
                <w:color w:val="0E1020"/>
              </w:rPr>
              <w:t>(2)</w:t>
            </w:r>
          </w:p>
        </w:tc>
        <w:tc>
          <w:tcPr>
            <w:tcW w:w="3680" w:type="dxa"/>
            <w:vAlign w:val="bottom"/>
          </w:tcPr>
          <w:p>
            <w:pPr>
              <w:jc w:val="right"/>
              <w:ind w:right="89"/>
              <w:spacing w:after="0"/>
              <w:rPr>
                <w:sz w:val="20"/>
                <w:szCs w:val="20"/>
                <w:color w:val="auto"/>
              </w:rPr>
            </w:pPr>
            <w:r>
              <w:rPr>
                <w:rFonts w:ascii="Arial" w:cs="Arial" w:eastAsia="Arial" w:hAnsi="Arial"/>
                <w:sz w:val="14"/>
                <w:szCs w:val="14"/>
                <w:color w:val="0E1020"/>
              </w:rPr>
              <w:t>$340,000.00</w:t>
            </w:r>
          </w:p>
        </w:tc>
      </w:tr>
      <w:tr>
        <w:trPr>
          <w:trHeight w:val="21"/>
        </w:trPr>
        <w:tc>
          <w:tcPr>
            <w:tcW w:w="7560" w:type="dxa"/>
            <w:vAlign w:val="bottom"/>
            <w:tcBorders>
              <w:bottom w:val="single" w:sz="8" w:color="CFCFD2"/>
            </w:tcBorders>
          </w:tcPr>
          <w:p>
            <w:pPr>
              <w:spacing w:after="0" w:line="20" w:lineRule="exact"/>
              <w:rPr>
                <w:sz w:val="1"/>
                <w:szCs w:val="1"/>
                <w:color w:val="auto"/>
              </w:rPr>
            </w:pPr>
          </w:p>
        </w:tc>
        <w:tc>
          <w:tcPr>
            <w:tcW w:w="3680" w:type="dxa"/>
            <w:vAlign w:val="bottom"/>
            <w:tcBorders>
              <w:bottom w:val="single" w:sz="8" w:color="CFCFD2"/>
            </w:tcBorders>
          </w:tcPr>
          <w:p>
            <w:pPr>
              <w:spacing w:after="0" w:line="20" w:lineRule="exact"/>
              <w:rPr>
                <w:sz w:val="1"/>
                <w:szCs w:val="1"/>
                <w:color w:val="auto"/>
              </w:rPr>
            </w:pPr>
          </w:p>
        </w:tc>
      </w:tr>
      <w:tr>
        <w:trPr>
          <w:trHeight w:val="200"/>
        </w:trPr>
        <w:tc>
          <w:tcPr>
            <w:tcW w:w="7560" w:type="dxa"/>
            <w:vAlign w:val="bottom"/>
          </w:tcPr>
          <w:p>
            <w:pPr>
              <w:ind w:left="100"/>
              <w:spacing w:after="0"/>
              <w:rPr>
                <w:sz w:val="20"/>
                <w:szCs w:val="20"/>
                <w:color w:val="auto"/>
              </w:rPr>
            </w:pPr>
            <w:r>
              <w:rPr>
                <w:rFonts w:ascii="Arial" w:cs="Arial" w:eastAsia="Arial" w:hAnsi="Arial"/>
                <w:sz w:val="14"/>
                <w:szCs w:val="14"/>
                <w:color w:val="0E1020"/>
              </w:rPr>
              <w:t>Audit Committee Chairman Annual Cash Retainer</w:t>
            </w:r>
            <w:r>
              <w:rPr>
                <w:rFonts w:ascii="Arial" w:cs="Arial" w:eastAsia="Arial" w:hAnsi="Arial"/>
                <w:sz w:val="9"/>
                <w:szCs w:val="9"/>
                <w:color w:val="0E1020"/>
              </w:rPr>
              <w:t>(1)</w:t>
            </w:r>
          </w:p>
        </w:tc>
        <w:tc>
          <w:tcPr>
            <w:tcW w:w="3680" w:type="dxa"/>
            <w:vAlign w:val="bottom"/>
          </w:tcPr>
          <w:p>
            <w:pPr>
              <w:jc w:val="right"/>
              <w:ind w:right="89"/>
              <w:spacing w:after="0"/>
              <w:rPr>
                <w:sz w:val="20"/>
                <w:szCs w:val="20"/>
                <w:color w:val="auto"/>
              </w:rPr>
            </w:pPr>
            <w:r>
              <w:rPr>
                <w:rFonts w:ascii="Arial" w:cs="Arial" w:eastAsia="Arial" w:hAnsi="Arial"/>
                <w:sz w:val="14"/>
                <w:szCs w:val="14"/>
                <w:color w:val="0E1020"/>
              </w:rPr>
              <w:t>$35,000.00</w:t>
            </w:r>
          </w:p>
        </w:tc>
      </w:tr>
      <w:tr>
        <w:trPr>
          <w:trHeight w:val="21"/>
        </w:trPr>
        <w:tc>
          <w:tcPr>
            <w:tcW w:w="7560" w:type="dxa"/>
            <w:vAlign w:val="bottom"/>
            <w:tcBorders>
              <w:bottom w:val="single" w:sz="8" w:color="CFCFD2"/>
            </w:tcBorders>
          </w:tcPr>
          <w:p>
            <w:pPr>
              <w:spacing w:after="0" w:line="20" w:lineRule="exact"/>
              <w:rPr>
                <w:sz w:val="1"/>
                <w:szCs w:val="1"/>
                <w:color w:val="auto"/>
              </w:rPr>
            </w:pPr>
          </w:p>
        </w:tc>
        <w:tc>
          <w:tcPr>
            <w:tcW w:w="3680" w:type="dxa"/>
            <w:vAlign w:val="bottom"/>
            <w:tcBorders>
              <w:bottom w:val="single" w:sz="8" w:color="CFCFD2"/>
            </w:tcBorders>
          </w:tcPr>
          <w:p>
            <w:pPr>
              <w:spacing w:after="0" w:line="20" w:lineRule="exact"/>
              <w:rPr>
                <w:sz w:val="1"/>
                <w:szCs w:val="1"/>
                <w:color w:val="auto"/>
              </w:rPr>
            </w:pPr>
          </w:p>
        </w:tc>
      </w:tr>
      <w:tr>
        <w:trPr>
          <w:trHeight w:val="200"/>
        </w:trPr>
        <w:tc>
          <w:tcPr>
            <w:tcW w:w="7560" w:type="dxa"/>
            <w:vAlign w:val="bottom"/>
          </w:tcPr>
          <w:p>
            <w:pPr>
              <w:ind w:left="100"/>
              <w:spacing w:after="0"/>
              <w:rPr>
                <w:sz w:val="20"/>
                <w:szCs w:val="20"/>
                <w:color w:val="auto"/>
              </w:rPr>
            </w:pPr>
            <w:r>
              <w:rPr>
                <w:rFonts w:ascii="Arial" w:cs="Arial" w:eastAsia="Arial" w:hAnsi="Arial"/>
                <w:sz w:val="14"/>
                <w:szCs w:val="14"/>
                <w:color w:val="0E1020"/>
              </w:rPr>
              <w:t>Compensation Committee Chairman Annual Cash Retainer</w:t>
            </w:r>
            <w:r>
              <w:rPr>
                <w:rFonts w:ascii="Arial" w:cs="Arial" w:eastAsia="Arial" w:hAnsi="Arial"/>
                <w:sz w:val="9"/>
                <w:szCs w:val="9"/>
                <w:color w:val="0E1020"/>
              </w:rPr>
              <w:t>(1)</w:t>
            </w:r>
          </w:p>
        </w:tc>
        <w:tc>
          <w:tcPr>
            <w:tcW w:w="3680" w:type="dxa"/>
            <w:vAlign w:val="bottom"/>
          </w:tcPr>
          <w:p>
            <w:pPr>
              <w:jc w:val="right"/>
              <w:ind w:right="89"/>
              <w:spacing w:after="0"/>
              <w:rPr>
                <w:sz w:val="20"/>
                <w:szCs w:val="20"/>
                <w:color w:val="auto"/>
              </w:rPr>
            </w:pPr>
            <w:r>
              <w:rPr>
                <w:rFonts w:ascii="Arial" w:cs="Arial" w:eastAsia="Arial" w:hAnsi="Arial"/>
                <w:sz w:val="14"/>
                <w:szCs w:val="14"/>
                <w:color w:val="0E1020"/>
              </w:rPr>
              <w:t>$25,000.00</w:t>
            </w:r>
          </w:p>
        </w:tc>
      </w:tr>
      <w:tr>
        <w:trPr>
          <w:trHeight w:val="21"/>
        </w:trPr>
        <w:tc>
          <w:tcPr>
            <w:tcW w:w="7560" w:type="dxa"/>
            <w:vAlign w:val="bottom"/>
            <w:tcBorders>
              <w:bottom w:val="single" w:sz="8" w:color="CFCFD2"/>
            </w:tcBorders>
          </w:tcPr>
          <w:p>
            <w:pPr>
              <w:spacing w:after="0" w:line="20" w:lineRule="exact"/>
              <w:rPr>
                <w:sz w:val="1"/>
                <w:szCs w:val="1"/>
                <w:color w:val="auto"/>
              </w:rPr>
            </w:pPr>
          </w:p>
        </w:tc>
        <w:tc>
          <w:tcPr>
            <w:tcW w:w="3680" w:type="dxa"/>
            <w:vAlign w:val="bottom"/>
            <w:tcBorders>
              <w:bottom w:val="single" w:sz="8" w:color="CFCFD2"/>
            </w:tcBorders>
          </w:tcPr>
          <w:p>
            <w:pPr>
              <w:spacing w:after="0" w:line="20" w:lineRule="exact"/>
              <w:rPr>
                <w:sz w:val="1"/>
                <w:szCs w:val="1"/>
                <w:color w:val="auto"/>
              </w:rPr>
            </w:pPr>
          </w:p>
        </w:tc>
      </w:tr>
      <w:tr>
        <w:trPr>
          <w:trHeight w:val="200"/>
        </w:trPr>
        <w:tc>
          <w:tcPr>
            <w:tcW w:w="7560" w:type="dxa"/>
            <w:vAlign w:val="bottom"/>
          </w:tcPr>
          <w:p>
            <w:pPr>
              <w:ind w:left="100"/>
              <w:spacing w:after="0"/>
              <w:rPr>
                <w:sz w:val="20"/>
                <w:szCs w:val="20"/>
                <w:color w:val="auto"/>
              </w:rPr>
            </w:pPr>
            <w:r>
              <w:rPr>
                <w:rFonts w:ascii="Arial" w:cs="Arial" w:eastAsia="Arial" w:hAnsi="Arial"/>
                <w:sz w:val="14"/>
                <w:szCs w:val="14"/>
                <w:color w:val="0E1020"/>
              </w:rPr>
              <w:t>Nominating/Corporate Governance Committee Chairman Annual Cash Retainer</w:t>
            </w:r>
            <w:r>
              <w:rPr>
                <w:rFonts w:ascii="Arial" w:cs="Arial" w:eastAsia="Arial" w:hAnsi="Arial"/>
                <w:sz w:val="9"/>
                <w:szCs w:val="9"/>
                <w:color w:val="0E1020"/>
              </w:rPr>
              <w:t>(1)</w:t>
            </w:r>
          </w:p>
        </w:tc>
        <w:tc>
          <w:tcPr>
            <w:tcW w:w="3680" w:type="dxa"/>
            <w:vAlign w:val="bottom"/>
          </w:tcPr>
          <w:p>
            <w:pPr>
              <w:jc w:val="right"/>
              <w:ind w:right="89"/>
              <w:spacing w:after="0"/>
              <w:rPr>
                <w:sz w:val="20"/>
                <w:szCs w:val="20"/>
                <w:color w:val="auto"/>
              </w:rPr>
            </w:pPr>
            <w:r>
              <w:rPr>
                <w:rFonts w:ascii="Arial" w:cs="Arial" w:eastAsia="Arial" w:hAnsi="Arial"/>
                <w:sz w:val="14"/>
                <w:szCs w:val="14"/>
                <w:color w:val="0E1020"/>
              </w:rPr>
              <w:t>$20,000.00</w:t>
            </w:r>
          </w:p>
        </w:tc>
      </w:tr>
      <w:tr>
        <w:trPr>
          <w:trHeight w:val="21"/>
        </w:trPr>
        <w:tc>
          <w:tcPr>
            <w:tcW w:w="7560" w:type="dxa"/>
            <w:vAlign w:val="bottom"/>
            <w:tcBorders>
              <w:bottom w:val="single" w:sz="8" w:color="CFCFD2"/>
            </w:tcBorders>
          </w:tcPr>
          <w:p>
            <w:pPr>
              <w:spacing w:after="0" w:line="20" w:lineRule="exact"/>
              <w:rPr>
                <w:sz w:val="1"/>
                <w:szCs w:val="1"/>
                <w:color w:val="auto"/>
              </w:rPr>
            </w:pPr>
          </w:p>
        </w:tc>
        <w:tc>
          <w:tcPr>
            <w:tcW w:w="3680" w:type="dxa"/>
            <w:vAlign w:val="bottom"/>
            <w:tcBorders>
              <w:bottom w:val="single" w:sz="8" w:color="CFCFD2"/>
            </w:tcBorders>
          </w:tcPr>
          <w:p>
            <w:pPr>
              <w:spacing w:after="0" w:line="20" w:lineRule="exact"/>
              <w:rPr>
                <w:sz w:val="1"/>
                <w:szCs w:val="1"/>
                <w:color w:val="auto"/>
              </w:rPr>
            </w:pPr>
          </w:p>
        </w:tc>
      </w:tr>
      <w:tr>
        <w:trPr>
          <w:trHeight w:val="200"/>
        </w:trPr>
        <w:tc>
          <w:tcPr>
            <w:tcW w:w="7560" w:type="dxa"/>
            <w:vAlign w:val="bottom"/>
          </w:tcPr>
          <w:p>
            <w:pPr>
              <w:ind w:left="100"/>
              <w:spacing w:after="0"/>
              <w:rPr>
                <w:sz w:val="20"/>
                <w:szCs w:val="20"/>
                <w:color w:val="auto"/>
              </w:rPr>
            </w:pPr>
            <w:r>
              <w:rPr>
                <w:rFonts w:ascii="Arial" w:cs="Arial" w:eastAsia="Arial" w:hAnsi="Arial"/>
                <w:sz w:val="14"/>
                <w:szCs w:val="14"/>
                <w:color w:val="0E1020"/>
              </w:rPr>
              <w:t>Special Committee Chairman Cash Retainer</w:t>
            </w:r>
            <w:r>
              <w:rPr>
                <w:rFonts w:ascii="Arial" w:cs="Arial" w:eastAsia="Arial" w:hAnsi="Arial"/>
                <w:sz w:val="9"/>
                <w:szCs w:val="9"/>
                <w:color w:val="0E1020"/>
              </w:rPr>
              <w:t>(1)(5)</w:t>
            </w:r>
          </w:p>
        </w:tc>
        <w:tc>
          <w:tcPr>
            <w:tcW w:w="3680" w:type="dxa"/>
            <w:vAlign w:val="bottom"/>
          </w:tcPr>
          <w:p>
            <w:pPr>
              <w:jc w:val="right"/>
              <w:ind w:right="89"/>
              <w:spacing w:after="0"/>
              <w:rPr>
                <w:sz w:val="20"/>
                <w:szCs w:val="20"/>
                <w:color w:val="auto"/>
              </w:rPr>
            </w:pPr>
            <w:r>
              <w:rPr>
                <w:rFonts w:ascii="Arial" w:cs="Arial" w:eastAsia="Arial" w:hAnsi="Arial"/>
                <w:sz w:val="14"/>
                <w:szCs w:val="14"/>
                <w:color w:val="0E1020"/>
              </w:rPr>
              <w:t>$20,000.00</w:t>
            </w:r>
          </w:p>
        </w:tc>
      </w:tr>
      <w:tr>
        <w:trPr>
          <w:trHeight w:val="21"/>
        </w:trPr>
        <w:tc>
          <w:tcPr>
            <w:tcW w:w="7560" w:type="dxa"/>
            <w:vAlign w:val="bottom"/>
            <w:tcBorders>
              <w:bottom w:val="single" w:sz="8" w:color="CFCFD2"/>
            </w:tcBorders>
          </w:tcPr>
          <w:p>
            <w:pPr>
              <w:spacing w:after="0" w:line="20" w:lineRule="exact"/>
              <w:rPr>
                <w:sz w:val="1"/>
                <w:szCs w:val="1"/>
                <w:color w:val="auto"/>
              </w:rPr>
            </w:pPr>
          </w:p>
        </w:tc>
        <w:tc>
          <w:tcPr>
            <w:tcW w:w="3680" w:type="dxa"/>
            <w:vAlign w:val="bottom"/>
            <w:tcBorders>
              <w:bottom w:val="single" w:sz="8" w:color="CFCFD2"/>
            </w:tcBorders>
          </w:tcPr>
          <w:p>
            <w:pPr>
              <w:spacing w:after="0" w:line="20" w:lineRule="exact"/>
              <w:rPr>
                <w:sz w:val="1"/>
                <w:szCs w:val="1"/>
                <w:color w:val="auto"/>
              </w:rPr>
            </w:pPr>
          </w:p>
        </w:tc>
      </w:tr>
      <w:tr>
        <w:trPr>
          <w:trHeight w:val="200"/>
        </w:trPr>
        <w:tc>
          <w:tcPr>
            <w:tcW w:w="7560" w:type="dxa"/>
            <w:vAlign w:val="bottom"/>
          </w:tcPr>
          <w:p>
            <w:pPr>
              <w:ind w:left="100"/>
              <w:spacing w:after="0"/>
              <w:rPr>
                <w:sz w:val="20"/>
                <w:szCs w:val="20"/>
                <w:color w:val="auto"/>
              </w:rPr>
            </w:pPr>
            <w:r>
              <w:rPr>
                <w:rFonts w:ascii="Arial" w:cs="Arial" w:eastAsia="Arial" w:hAnsi="Arial"/>
                <w:sz w:val="14"/>
                <w:szCs w:val="14"/>
                <w:color w:val="0E1020"/>
              </w:rPr>
              <w:t>Special Committee Member Cash Retainer</w:t>
            </w:r>
            <w:r>
              <w:rPr>
                <w:rFonts w:ascii="Arial" w:cs="Arial" w:eastAsia="Arial" w:hAnsi="Arial"/>
                <w:sz w:val="9"/>
                <w:szCs w:val="9"/>
                <w:color w:val="0E1020"/>
              </w:rPr>
              <w:t>(1)(5)</w:t>
            </w:r>
          </w:p>
        </w:tc>
        <w:tc>
          <w:tcPr>
            <w:tcW w:w="3680" w:type="dxa"/>
            <w:vAlign w:val="bottom"/>
          </w:tcPr>
          <w:p>
            <w:pPr>
              <w:jc w:val="right"/>
              <w:ind w:right="89"/>
              <w:spacing w:after="0"/>
              <w:rPr>
                <w:sz w:val="20"/>
                <w:szCs w:val="20"/>
                <w:color w:val="auto"/>
              </w:rPr>
            </w:pPr>
            <w:r>
              <w:rPr>
                <w:rFonts w:ascii="Arial" w:cs="Arial" w:eastAsia="Arial" w:hAnsi="Arial"/>
                <w:sz w:val="14"/>
                <w:szCs w:val="14"/>
                <w:color w:val="0E1020"/>
              </w:rPr>
              <w:t>$10,000.00</w:t>
            </w:r>
          </w:p>
        </w:tc>
      </w:tr>
      <w:tr>
        <w:trPr>
          <w:trHeight w:val="21"/>
        </w:trPr>
        <w:tc>
          <w:tcPr>
            <w:tcW w:w="7560" w:type="dxa"/>
            <w:vAlign w:val="bottom"/>
            <w:tcBorders>
              <w:bottom w:val="single" w:sz="8" w:color="CFCFD2"/>
            </w:tcBorders>
          </w:tcPr>
          <w:p>
            <w:pPr>
              <w:spacing w:after="0" w:line="20" w:lineRule="exact"/>
              <w:rPr>
                <w:sz w:val="1"/>
                <w:szCs w:val="1"/>
                <w:color w:val="auto"/>
              </w:rPr>
            </w:pPr>
          </w:p>
        </w:tc>
        <w:tc>
          <w:tcPr>
            <w:tcW w:w="3680" w:type="dxa"/>
            <w:vAlign w:val="bottom"/>
            <w:tcBorders>
              <w:bottom w:val="single" w:sz="8" w:color="CFCFD2"/>
            </w:tcBorders>
          </w:tcPr>
          <w:p>
            <w:pPr>
              <w:spacing w:after="0" w:line="20" w:lineRule="exact"/>
              <w:rPr>
                <w:sz w:val="1"/>
                <w:szCs w:val="1"/>
                <w:color w:val="auto"/>
              </w:rPr>
            </w:pPr>
          </w:p>
        </w:tc>
      </w:tr>
      <w:tr>
        <w:trPr>
          <w:trHeight w:val="200"/>
        </w:trPr>
        <w:tc>
          <w:tcPr>
            <w:tcW w:w="7560" w:type="dxa"/>
            <w:vAlign w:val="bottom"/>
          </w:tcPr>
          <w:p>
            <w:pPr>
              <w:ind w:left="100"/>
              <w:spacing w:after="0"/>
              <w:rPr>
                <w:sz w:val="20"/>
                <w:szCs w:val="20"/>
                <w:color w:val="auto"/>
              </w:rPr>
            </w:pPr>
            <w:r>
              <w:rPr>
                <w:rFonts w:ascii="Arial" w:cs="Arial" w:eastAsia="Arial" w:hAnsi="Arial"/>
                <w:sz w:val="14"/>
                <w:szCs w:val="14"/>
                <w:color w:val="0E1020"/>
              </w:rPr>
              <w:t>Committee Member Annual Cash Retainer</w:t>
            </w:r>
            <w:r>
              <w:rPr>
                <w:rFonts w:ascii="Arial" w:cs="Arial" w:eastAsia="Arial" w:hAnsi="Arial"/>
                <w:sz w:val="9"/>
                <w:szCs w:val="9"/>
                <w:color w:val="0E1020"/>
              </w:rPr>
              <w:t>(1)(3)</w:t>
            </w:r>
          </w:p>
        </w:tc>
        <w:tc>
          <w:tcPr>
            <w:tcW w:w="3680" w:type="dxa"/>
            <w:vAlign w:val="bottom"/>
          </w:tcPr>
          <w:p>
            <w:pPr>
              <w:jc w:val="right"/>
              <w:ind w:right="89"/>
              <w:spacing w:after="0"/>
              <w:rPr>
                <w:sz w:val="20"/>
                <w:szCs w:val="20"/>
                <w:color w:val="auto"/>
              </w:rPr>
            </w:pPr>
            <w:r>
              <w:rPr>
                <w:rFonts w:ascii="Arial" w:cs="Arial" w:eastAsia="Arial" w:hAnsi="Arial"/>
                <w:sz w:val="14"/>
                <w:szCs w:val="14"/>
                <w:color w:val="0E1020"/>
              </w:rPr>
              <w:t>$10,000.00</w:t>
            </w:r>
          </w:p>
        </w:tc>
      </w:tr>
      <w:tr>
        <w:trPr>
          <w:trHeight w:val="21"/>
        </w:trPr>
        <w:tc>
          <w:tcPr>
            <w:tcW w:w="7560" w:type="dxa"/>
            <w:vAlign w:val="bottom"/>
            <w:tcBorders>
              <w:bottom w:val="single" w:sz="8" w:color="CFCFD2"/>
            </w:tcBorders>
          </w:tcPr>
          <w:p>
            <w:pPr>
              <w:spacing w:after="0" w:line="20" w:lineRule="exact"/>
              <w:rPr>
                <w:sz w:val="1"/>
                <w:szCs w:val="1"/>
                <w:color w:val="auto"/>
              </w:rPr>
            </w:pPr>
          </w:p>
        </w:tc>
        <w:tc>
          <w:tcPr>
            <w:tcW w:w="3680" w:type="dxa"/>
            <w:vAlign w:val="bottom"/>
            <w:tcBorders>
              <w:bottom w:val="single" w:sz="8" w:color="CFCFD2"/>
            </w:tcBorders>
          </w:tcPr>
          <w:p>
            <w:pPr>
              <w:spacing w:after="0" w:line="20" w:lineRule="exact"/>
              <w:rPr>
                <w:sz w:val="1"/>
                <w:szCs w:val="1"/>
                <w:color w:val="auto"/>
              </w:rPr>
            </w:pPr>
          </w:p>
        </w:tc>
      </w:tr>
      <w:tr>
        <w:trPr>
          <w:trHeight w:val="200"/>
        </w:trPr>
        <w:tc>
          <w:tcPr>
            <w:tcW w:w="7560" w:type="dxa"/>
            <w:vAlign w:val="bottom"/>
          </w:tcPr>
          <w:p>
            <w:pPr>
              <w:ind w:left="100"/>
              <w:spacing w:after="0"/>
              <w:rPr>
                <w:sz w:val="20"/>
                <w:szCs w:val="20"/>
                <w:color w:val="auto"/>
              </w:rPr>
            </w:pPr>
            <w:r>
              <w:rPr>
                <w:rFonts w:ascii="Arial" w:cs="Arial" w:eastAsia="Arial" w:hAnsi="Arial"/>
                <w:sz w:val="14"/>
                <w:szCs w:val="14"/>
                <w:color w:val="0E1020"/>
              </w:rPr>
              <w:t>Additional Meeting Attendance Fee</w:t>
            </w:r>
            <w:r>
              <w:rPr>
                <w:rFonts w:ascii="Arial" w:cs="Arial" w:eastAsia="Arial" w:hAnsi="Arial"/>
                <w:sz w:val="9"/>
                <w:szCs w:val="9"/>
                <w:color w:val="0E1020"/>
              </w:rPr>
              <w:t>(1)(4)</w:t>
            </w:r>
          </w:p>
        </w:tc>
        <w:tc>
          <w:tcPr>
            <w:tcW w:w="3680" w:type="dxa"/>
            <w:vAlign w:val="bottom"/>
          </w:tcPr>
          <w:p>
            <w:pPr>
              <w:jc w:val="right"/>
              <w:ind w:right="89"/>
              <w:spacing w:after="0"/>
              <w:rPr>
                <w:sz w:val="20"/>
                <w:szCs w:val="20"/>
                <w:color w:val="auto"/>
              </w:rPr>
            </w:pPr>
            <w:r>
              <w:rPr>
                <w:rFonts w:ascii="Arial" w:cs="Arial" w:eastAsia="Arial" w:hAnsi="Arial"/>
                <w:sz w:val="14"/>
                <w:szCs w:val="14"/>
                <w:color w:val="0E1020"/>
              </w:rPr>
              <w:t>$2,000 per meeting</w:t>
            </w:r>
          </w:p>
        </w:tc>
      </w:tr>
      <w:tr>
        <w:trPr>
          <w:trHeight w:val="21"/>
        </w:trPr>
        <w:tc>
          <w:tcPr>
            <w:tcW w:w="7560" w:type="dxa"/>
            <w:vAlign w:val="bottom"/>
            <w:tcBorders>
              <w:bottom w:val="single" w:sz="8" w:color="CFCFD2"/>
            </w:tcBorders>
          </w:tcPr>
          <w:p>
            <w:pPr>
              <w:spacing w:after="0" w:line="20" w:lineRule="exact"/>
              <w:rPr>
                <w:sz w:val="1"/>
                <w:szCs w:val="1"/>
                <w:color w:val="auto"/>
              </w:rPr>
            </w:pPr>
          </w:p>
        </w:tc>
        <w:tc>
          <w:tcPr>
            <w:tcW w:w="3680" w:type="dxa"/>
            <w:vAlign w:val="bottom"/>
            <w:tcBorders>
              <w:bottom w:val="single" w:sz="8" w:color="CFCFD2"/>
            </w:tcBorders>
          </w:tcPr>
          <w:p>
            <w:pPr>
              <w:spacing w:after="0" w:line="20" w:lineRule="exact"/>
              <w:rPr>
                <w:sz w:val="1"/>
                <w:szCs w:val="1"/>
                <w:color w:val="auto"/>
              </w:rPr>
            </w:pPr>
          </w:p>
        </w:tc>
      </w:tr>
    </w:tbl>
    <w:p>
      <w:pPr>
        <w:spacing w:after="0" w:line="138" w:lineRule="exact"/>
        <w:rPr>
          <w:sz w:val="20"/>
          <w:szCs w:val="20"/>
          <w:color w:val="auto"/>
        </w:rPr>
      </w:pPr>
    </w:p>
    <w:p>
      <w:pPr>
        <w:ind w:left="500" w:hanging="332"/>
        <w:spacing w:after="0"/>
        <w:tabs>
          <w:tab w:leader="none" w:pos="500" w:val="left"/>
        </w:tabs>
        <w:numPr>
          <w:ilvl w:val="0"/>
          <w:numId w:val="44"/>
        </w:numPr>
        <w:rPr>
          <w:rFonts w:ascii="Arial" w:cs="Arial" w:eastAsia="Arial" w:hAnsi="Arial"/>
          <w:sz w:val="14"/>
          <w:szCs w:val="14"/>
          <w:color w:val="0E1020"/>
        </w:rPr>
      </w:pPr>
      <w:r>
        <w:rPr>
          <w:rFonts w:ascii="Arial" w:cs="Arial" w:eastAsia="Arial" w:hAnsi="Arial"/>
          <w:sz w:val="14"/>
          <w:szCs w:val="14"/>
          <w:color w:val="0E1020"/>
        </w:rPr>
        <w:t>Amounts payable in cash could be deferred pursuant to the Deferred Compensation Plan, which is described further below in this Proxy Statement.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50</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58" w:name="page59"/>
    <w:bookmarkEnd w:id="58"/>
    <w:p>
      <w:pPr>
        <w:ind w:left="20"/>
        <w:spacing w:after="0"/>
        <w:tabs>
          <w:tab w:leader="none" w:pos="974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auto"/>
        </w:rPr>
        <w:t>Director Compensation</w:t>
      </w:r>
    </w:p>
    <w:p>
      <w:pPr>
        <w:spacing w:after="0" w:line="200" w:lineRule="exact"/>
        <w:rPr>
          <w:sz w:val="20"/>
          <w:szCs w:val="20"/>
          <w:color w:val="auto"/>
        </w:rPr>
      </w:pPr>
    </w:p>
    <w:p>
      <w:pPr>
        <w:spacing w:after="0" w:line="349" w:lineRule="exact"/>
        <w:rPr>
          <w:sz w:val="20"/>
          <w:szCs w:val="20"/>
          <w:color w:val="auto"/>
        </w:rPr>
      </w:pPr>
    </w:p>
    <w:p>
      <w:pPr>
        <w:ind w:left="480" w:right="40" w:hanging="312"/>
        <w:spacing w:after="0" w:line="265" w:lineRule="auto"/>
        <w:tabs>
          <w:tab w:leader="none" w:pos="453" w:val="left"/>
        </w:tabs>
        <w:numPr>
          <w:ilvl w:val="0"/>
          <w:numId w:val="45"/>
        </w:numPr>
        <w:rPr>
          <w:rFonts w:ascii="Arial" w:cs="Arial" w:eastAsia="Arial" w:hAnsi="Arial"/>
          <w:sz w:val="14"/>
          <w:szCs w:val="14"/>
          <w:color w:val="0E1020"/>
        </w:rPr>
      </w:pPr>
      <w:r>
        <w:rPr>
          <w:rFonts w:ascii="Arial" w:cs="Arial" w:eastAsia="Arial" w:hAnsi="Arial"/>
          <w:sz w:val="14"/>
          <w:szCs w:val="14"/>
          <w:color w:val="0E1020"/>
        </w:rPr>
        <w:t>The Annual Equity Award is designed to be payable in the form of restricted stock units (RSUs) scheduled to vest in full at the earlier of (i) the first anniversary of the grant date, or (ii) the date of the next annual meeting of DXC’s stockholders. The RSUs are redeemed for DXC stock and dividend equivalents either at that time or, if an RSU deferral election form is submitted, upon the date or event elected by the director. Directors may elect to receive deferred RSUs at either a fixed in-service distribution date, which may be in August of any year after the year in which the RSUs vest within 15 years after the grant date, or upon their separation from the Board. Distributions made upon a director’s separation from the Board may occur in either a lump sum or in annual installments over periods of five, 10 or 15 years, per the director’s election.</w:t>
      </w:r>
    </w:p>
    <w:p>
      <w:pPr>
        <w:spacing w:after="0" w:line="22" w:lineRule="exact"/>
        <w:rPr>
          <w:rFonts w:ascii="Arial" w:cs="Arial" w:eastAsia="Arial" w:hAnsi="Arial"/>
          <w:sz w:val="14"/>
          <w:szCs w:val="14"/>
          <w:color w:val="0E1020"/>
        </w:rPr>
      </w:pPr>
    </w:p>
    <w:p>
      <w:pPr>
        <w:ind w:left="480" w:right="80" w:hanging="312"/>
        <w:spacing w:after="0" w:line="299" w:lineRule="auto"/>
        <w:tabs>
          <w:tab w:leader="none" w:pos="453" w:val="left"/>
        </w:tabs>
        <w:numPr>
          <w:ilvl w:val="0"/>
          <w:numId w:val="45"/>
        </w:numPr>
        <w:rPr>
          <w:rFonts w:ascii="Arial" w:cs="Arial" w:eastAsia="Arial" w:hAnsi="Arial"/>
          <w:sz w:val="14"/>
          <w:szCs w:val="14"/>
          <w:color w:val="0E1020"/>
        </w:rPr>
      </w:pPr>
      <w:r>
        <w:rPr>
          <w:rFonts w:ascii="Arial" w:cs="Arial" w:eastAsia="Arial" w:hAnsi="Arial"/>
          <w:sz w:val="14"/>
          <w:szCs w:val="14"/>
          <w:color w:val="0E1020"/>
        </w:rPr>
        <w:t>Effective as of DXC’s 2025 Annual Meeting of Stockholders on July 22, 2025, the Committee Member Annual Cash Retainer only applies to non-employee directors other than the Chairman of the Board. Mr. Herzog ceased earning these retainers for his membership on any Committee, effective as of July 22, 2025.</w:t>
      </w:r>
    </w:p>
    <w:p>
      <w:pPr>
        <w:spacing w:after="0" w:line="1" w:lineRule="exact"/>
        <w:rPr>
          <w:rFonts w:ascii="Arial" w:cs="Arial" w:eastAsia="Arial" w:hAnsi="Arial"/>
          <w:sz w:val="14"/>
          <w:szCs w:val="14"/>
          <w:color w:val="0E1020"/>
        </w:rPr>
      </w:pPr>
    </w:p>
    <w:p>
      <w:pPr>
        <w:ind w:left="480" w:right="120" w:hanging="312"/>
        <w:spacing w:after="0" w:line="270" w:lineRule="auto"/>
        <w:tabs>
          <w:tab w:leader="none" w:pos="453" w:val="left"/>
        </w:tabs>
        <w:numPr>
          <w:ilvl w:val="0"/>
          <w:numId w:val="45"/>
        </w:numPr>
        <w:rPr>
          <w:rFonts w:ascii="Arial" w:cs="Arial" w:eastAsia="Arial" w:hAnsi="Arial"/>
          <w:sz w:val="14"/>
          <w:szCs w:val="14"/>
          <w:color w:val="0E1020"/>
        </w:rPr>
      </w:pPr>
      <w:r>
        <w:rPr>
          <w:rFonts w:ascii="Arial" w:cs="Arial" w:eastAsia="Arial" w:hAnsi="Arial"/>
          <w:sz w:val="14"/>
          <w:szCs w:val="14"/>
          <w:color w:val="0E1020"/>
        </w:rPr>
        <w:t>Directors are eligible to receive the additional meeting attendance fee for each additional meeting attended above certain thresholds, as follows: (i) $2,000 per meeting in excess of six Board meetings, (ii) $2,000 per meeting in excess of eight Audit Committee meetings; and (iii) $2,000 per meeting in excess of six Compensation, Nominating/Corporate Governance, or S</w:t>
      </w:r>
      <w:r>
        <w:rPr>
          <w:rFonts w:ascii="Arial" w:cs="Arial" w:eastAsia="Arial" w:hAnsi="Arial"/>
          <w:sz w:val="14"/>
          <w:szCs w:val="14"/>
          <w:color w:val="242424"/>
        </w:rPr>
        <w:t>pecial committee meetings.</w:t>
      </w:r>
    </w:p>
    <w:p>
      <w:pPr>
        <w:spacing w:after="0" w:line="19" w:lineRule="exact"/>
        <w:rPr>
          <w:rFonts w:ascii="Arial" w:cs="Arial" w:eastAsia="Arial" w:hAnsi="Arial"/>
          <w:sz w:val="14"/>
          <w:szCs w:val="14"/>
          <w:color w:val="0E1020"/>
        </w:rPr>
      </w:pPr>
    </w:p>
    <w:p>
      <w:pPr>
        <w:ind w:left="480" w:right="300" w:hanging="312"/>
        <w:spacing w:after="0" w:line="302" w:lineRule="auto"/>
        <w:tabs>
          <w:tab w:leader="none" w:pos="453" w:val="left"/>
        </w:tabs>
        <w:numPr>
          <w:ilvl w:val="0"/>
          <w:numId w:val="45"/>
        </w:numPr>
        <w:rPr>
          <w:rFonts w:ascii="Arial" w:cs="Arial" w:eastAsia="Arial" w:hAnsi="Arial"/>
          <w:sz w:val="14"/>
          <w:szCs w:val="14"/>
          <w:color w:val="242424"/>
        </w:rPr>
      </w:pPr>
      <w:r>
        <w:rPr>
          <w:rFonts w:ascii="Arial" w:cs="Arial" w:eastAsia="Arial" w:hAnsi="Arial"/>
          <w:sz w:val="14"/>
          <w:szCs w:val="14"/>
          <w:color w:val="242424"/>
        </w:rPr>
        <w:t>The Board established a Special Committee of independent Directors in fiscal year 2026 to evaluate potential transactions described below under Fiscal 2026 Related Party Transactions. The Special Committee held 7 meetings during fiscal year 2026.</w:t>
      </w:r>
    </w:p>
    <w:p>
      <w:pPr>
        <w:spacing w:after="0" w:line="6" w:lineRule="exact"/>
        <w:rPr>
          <w:sz w:val="20"/>
          <w:szCs w:val="20"/>
          <w:color w:val="auto"/>
        </w:rPr>
      </w:pPr>
    </w:p>
    <w:p>
      <w:pPr>
        <w:ind w:right="580"/>
        <w:spacing w:after="0" w:line="318" w:lineRule="auto"/>
        <w:rPr>
          <w:sz w:val="20"/>
          <w:szCs w:val="20"/>
          <w:color w:val="auto"/>
        </w:rPr>
      </w:pPr>
      <w:r>
        <w:rPr>
          <w:rFonts w:ascii="Arial" w:cs="Arial" w:eastAsia="Arial" w:hAnsi="Arial"/>
          <w:sz w:val="16"/>
          <w:szCs w:val="16"/>
          <w:color w:val="0E1020"/>
        </w:rPr>
        <w:t>The following table sets forth, for each individual who served as a non-employee director of DXC during fiscal 2026, certain information with respect to compensation paid to them by DXC in fiscal 2026.</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shd w:val="clear" w:color="auto" w:fill="F6F3F0"/>
          </w:tcPr>
          <w:p>
            <w:pPr>
              <w:spacing w:after="0"/>
              <w:rPr>
                <w:sz w:val="20"/>
                <w:szCs w:val="20"/>
                <w:color w:val="auto"/>
              </w:rPr>
            </w:pPr>
          </w:p>
        </w:tc>
        <w:tc>
          <w:tcPr>
            <w:tcW w:w="800" w:type="dxa"/>
            <w:vAlign w:val="bottom"/>
            <w:shd w:val="clear" w:color="auto" w:fill="F6F3F0"/>
          </w:tcPr>
          <w:p>
            <w:pPr>
              <w:spacing w:after="0"/>
              <w:rPr>
                <w:sz w:val="20"/>
                <w:szCs w:val="20"/>
                <w:color w:val="auto"/>
              </w:rPr>
            </w:pPr>
          </w:p>
        </w:tc>
        <w:tc>
          <w:tcPr>
            <w:tcW w:w="940" w:type="dxa"/>
            <w:vAlign w:val="bottom"/>
            <w:shd w:val="clear" w:color="auto" w:fill="F6F3F0"/>
          </w:tcPr>
          <w:p>
            <w:pPr>
              <w:spacing w:after="0"/>
              <w:rPr>
                <w:sz w:val="20"/>
                <w:szCs w:val="20"/>
                <w:color w:val="auto"/>
              </w:rPr>
            </w:pPr>
          </w:p>
        </w:tc>
        <w:tc>
          <w:tcPr>
            <w:tcW w:w="3280" w:type="dxa"/>
            <w:vAlign w:val="bottom"/>
            <w:gridSpan w:val="3"/>
            <w:shd w:val="clear" w:color="auto" w:fill="F6F3F0"/>
          </w:tcPr>
          <w:p>
            <w:pPr>
              <w:jc w:val="right"/>
              <w:ind w:right="797"/>
              <w:spacing w:after="0"/>
              <w:rPr>
                <w:sz w:val="20"/>
                <w:szCs w:val="20"/>
                <w:color w:val="auto"/>
              </w:rPr>
            </w:pPr>
            <w:r>
              <w:rPr>
                <w:rFonts w:ascii="Arial" w:cs="Arial" w:eastAsia="Arial" w:hAnsi="Arial"/>
                <w:sz w:val="13"/>
                <w:szCs w:val="13"/>
                <w:b w:val="1"/>
                <w:bCs w:val="1"/>
                <w:color w:val="0E1020"/>
              </w:rPr>
              <w:t>Cash Retainers and Fees</w:t>
            </w:r>
          </w:p>
        </w:tc>
        <w:tc>
          <w:tcPr>
            <w:tcW w:w="900" w:type="dxa"/>
            <w:vAlign w:val="bottom"/>
            <w:shd w:val="clear" w:color="auto" w:fill="F6F3F0"/>
          </w:tcPr>
          <w:p>
            <w:pPr>
              <w:spacing w:after="0"/>
              <w:rPr>
                <w:sz w:val="20"/>
                <w:szCs w:val="20"/>
                <w:color w:val="auto"/>
              </w:rPr>
            </w:pPr>
          </w:p>
        </w:tc>
        <w:tc>
          <w:tcPr>
            <w:tcW w:w="940" w:type="dxa"/>
            <w:vAlign w:val="bottom"/>
            <w:shd w:val="clear" w:color="auto" w:fill="F6F3F0"/>
          </w:tcPr>
          <w:p>
            <w:pPr>
              <w:spacing w:after="0"/>
              <w:rPr>
                <w:sz w:val="20"/>
                <w:szCs w:val="20"/>
                <w:color w:val="auto"/>
              </w:rPr>
            </w:pPr>
          </w:p>
        </w:tc>
        <w:tc>
          <w:tcPr>
            <w:tcW w:w="1120" w:type="dxa"/>
            <w:vAlign w:val="bottom"/>
            <w:shd w:val="clear" w:color="auto" w:fill="F6F3F0"/>
          </w:tcPr>
          <w:p>
            <w:pPr>
              <w:spacing w:after="0"/>
              <w:rPr>
                <w:sz w:val="20"/>
                <w:szCs w:val="20"/>
                <w:color w:val="auto"/>
              </w:rPr>
            </w:pPr>
          </w:p>
        </w:tc>
        <w:tc>
          <w:tcPr>
            <w:tcW w:w="1380" w:type="dxa"/>
            <w:vAlign w:val="bottom"/>
            <w:shd w:val="clear" w:color="auto" w:fill="F6F3F0"/>
          </w:tcPr>
          <w:p>
            <w:pPr>
              <w:spacing w:after="0"/>
              <w:rPr>
                <w:sz w:val="20"/>
                <w:szCs w:val="20"/>
                <w:color w:val="auto"/>
              </w:rPr>
            </w:pPr>
          </w:p>
        </w:tc>
      </w:tr>
      <w:tr>
        <w:trPr>
          <w:trHeight w:val="75"/>
        </w:trPr>
        <w:tc>
          <w:tcPr>
            <w:tcW w:w="1880" w:type="dxa"/>
            <w:vAlign w:val="bottom"/>
            <w:tcBorders>
              <w:bottom w:val="single" w:sz="8" w:color="F6F3F0"/>
            </w:tcBorders>
            <w:shd w:val="clear" w:color="auto" w:fill="F6F3F0"/>
          </w:tcPr>
          <w:p>
            <w:pPr>
              <w:spacing w:after="0"/>
              <w:rPr>
                <w:sz w:val="6"/>
                <w:szCs w:val="6"/>
                <w:color w:val="auto"/>
              </w:rPr>
            </w:pPr>
          </w:p>
        </w:tc>
        <w:tc>
          <w:tcPr>
            <w:tcW w:w="800" w:type="dxa"/>
            <w:vAlign w:val="bottom"/>
            <w:tcBorders>
              <w:bottom w:val="single" w:sz="8" w:color="CFCFD2"/>
            </w:tcBorders>
            <w:shd w:val="clear" w:color="auto" w:fill="F6F3F0"/>
          </w:tcPr>
          <w:p>
            <w:pPr>
              <w:spacing w:after="0"/>
              <w:rPr>
                <w:sz w:val="6"/>
                <w:szCs w:val="6"/>
                <w:color w:val="auto"/>
              </w:rPr>
            </w:pPr>
          </w:p>
        </w:tc>
        <w:tc>
          <w:tcPr>
            <w:tcW w:w="940" w:type="dxa"/>
            <w:vAlign w:val="bottom"/>
            <w:tcBorders>
              <w:bottom w:val="single" w:sz="8" w:color="CFCFD2"/>
            </w:tcBorders>
            <w:shd w:val="clear" w:color="auto" w:fill="F6F3F0"/>
          </w:tcPr>
          <w:p>
            <w:pPr>
              <w:spacing w:after="0"/>
              <w:rPr>
                <w:sz w:val="6"/>
                <w:szCs w:val="6"/>
                <w:color w:val="auto"/>
              </w:rPr>
            </w:pPr>
          </w:p>
        </w:tc>
        <w:tc>
          <w:tcPr>
            <w:tcW w:w="1040" w:type="dxa"/>
            <w:vAlign w:val="bottom"/>
            <w:tcBorders>
              <w:bottom w:val="single" w:sz="8" w:color="CFCFD2"/>
            </w:tcBorders>
            <w:shd w:val="clear" w:color="auto" w:fill="F6F3F0"/>
          </w:tcPr>
          <w:p>
            <w:pPr>
              <w:spacing w:after="0"/>
              <w:rPr>
                <w:sz w:val="6"/>
                <w:szCs w:val="6"/>
                <w:color w:val="auto"/>
              </w:rPr>
            </w:pPr>
          </w:p>
        </w:tc>
        <w:tc>
          <w:tcPr>
            <w:tcW w:w="1140" w:type="dxa"/>
            <w:vAlign w:val="bottom"/>
            <w:tcBorders>
              <w:bottom w:val="single" w:sz="8" w:color="CFCFD2"/>
            </w:tcBorders>
            <w:shd w:val="clear" w:color="auto" w:fill="F6F3F0"/>
          </w:tcPr>
          <w:p>
            <w:pPr>
              <w:spacing w:after="0"/>
              <w:rPr>
                <w:sz w:val="6"/>
                <w:szCs w:val="6"/>
                <w:color w:val="auto"/>
              </w:rPr>
            </w:pPr>
          </w:p>
        </w:tc>
        <w:tc>
          <w:tcPr>
            <w:tcW w:w="1100" w:type="dxa"/>
            <w:vAlign w:val="bottom"/>
            <w:tcBorders>
              <w:bottom w:val="single" w:sz="8" w:color="CFCFD2"/>
            </w:tcBorders>
            <w:shd w:val="clear" w:color="auto" w:fill="F6F3F0"/>
          </w:tcPr>
          <w:p>
            <w:pPr>
              <w:spacing w:after="0"/>
              <w:rPr>
                <w:sz w:val="6"/>
                <w:szCs w:val="6"/>
                <w:color w:val="auto"/>
              </w:rPr>
            </w:pPr>
          </w:p>
        </w:tc>
        <w:tc>
          <w:tcPr>
            <w:tcW w:w="900" w:type="dxa"/>
            <w:vAlign w:val="bottom"/>
            <w:tcBorders>
              <w:bottom w:val="single" w:sz="8" w:color="CFCFD2"/>
            </w:tcBorders>
            <w:shd w:val="clear" w:color="auto" w:fill="F6F3F0"/>
          </w:tcPr>
          <w:p>
            <w:pPr>
              <w:spacing w:after="0"/>
              <w:rPr>
                <w:sz w:val="6"/>
                <w:szCs w:val="6"/>
                <w:color w:val="auto"/>
              </w:rPr>
            </w:pPr>
          </w:p>
        </w:tc>
        <w:tc>
          <w:tcPr>
            <w:tcW w:w="940" w:type="dxa"/>
            <w:vAlign w:val="bottom"/>
            <w:tcBorders>
              <w:bottom w:val="single" w:sz="8" w:color="CFCFD2"/>
            </w:tcBorders>
            <w:shd w:val="clear" w:color="auto" w:fill="F6F3F0"/>
          </w:tcPr>
          <w:p>
            <w:pPr>
              <w:spacing w:after="0"/>
              <w:rPr>
                <w:sz w:val="6"/>
                <w:szCs w:val="6"/>
                <w:color w:val="auto"/>
              </w:rPr>
            </w:pPr>
          </w:p>
        </w:tc>
        <w:tc>
          <w:tcPr>
            <w:tcW w:w="1120" w:type="dxa"/>
            <w:vAlign w:val="bottom"/>
            <w:tcBorders>
              <w:bottom w:val="single" w:sz="8" w:color="F6F3F0"/>
            </w:tcBorders>
            <w:shd w:val="clear" w:color="auto" w:fill="F6F3F0"/>
          </w:tcPr>
          <w:p>
            <w:pPr>
              <w:spacing w:after="0"/>
              <w:rPr>
                <w:sz w:val="6"/>
                <w:szCs w:val="6"/>
                <w:color w:val="auto"/>
              </w:rPr>
            </w:pPr>
          </w:p>
        </w:tc>
        <w:tc>
          <w:tcPr>
            <w:tcW w:w="1380" w:type="dxa"/>
            <w:vAlign w:val="bottom"/>
            <w:tcBorders>
              <w:bottom w:val="single" w:sz="8" w:color="F6F3F0"/>
            </w:tcBorders>
            <w:shd w:val="clear" w:color="auto" w:fill="F6F3F0"/>
          </w:tcPr>
          <w:p>
            <w:pPr>
              <w:spacing w:after="0"/>
              <w:rPr>
                <w:sz w:val="6"/>
                <w:szCs w:val="6"/>
                <w:color w:val="auto"/>
              </w:rPr>
            </w:pPr>
          </w:p>
        </w:tc>
      </w:tr>
      <w:tr>
        <w:trPr>
          <w:trHeight w:val="190"/>
        </w:trPr>
        <w:tc>
          <w:tcPr>
            <w:tcW w:w="1880" w:type="dxa"/>
            <w:vAlign w:val="bottom"/>
            <w:shd w:val="clear" w:color="auto" w:fill="F6F3F0"/>
          </w:tcPr>
          <w:p>
            <w:pPr>
              <w:spacing w:after="0"/>
              <w:rPr>
                <w:sz w:val="16"/>
                <w:szCs w:val="16"/>
                <w:color w:val="auto"/>
              </w:rPr>
            </w:pPr>
          </w:p>
        </w:tc>
        <w:tc>
          <w:tcPr>
            <w:tcW w:w="800" w:type="dxa"/>
            <w:vAlign w:val="bottom"/>
            <w:shd w:val="clear" w:color="auto" w:fill="F6F3F0"/>
          </w:tcPr>
          <w:p>
            <w:pPr>
              <w:spacing w:after="0"/>
              <w:rPr>
                <w:sz w:val="16"/>
                <w:szCs w:val="16"/>
                <w:color w:val="auto"/>
              </w:rPr>
            </w:pPr>
          </w:p>
        </w:tc>
        <w:tc>
          <w:tcPr>
            <w:tcW w:w="940" w:type="dxa"/>
            <w:vAlign w:val="bottom"/>
            <w:shd w:val="clear" w:color="auto" w:fill="F6F3F0"/>
          </w:tcPr>
          <w:p>
            <w:pPr>
              <w:spacing w:after="0"/>
              <w:rPr>
                <w:sz w:val="16"/>
                <w:szCs w:val="16"/>
                <w:color w:val="auto"/>
              </w:rPr>
            </w:pPr>
          </w:p>
        </w:tc>
        <w:tc>
          <w:tcPr>
            <w:tcW w:w="1040" w:type="dxa"/>
            <w:vAlign w:val="bottom"/>
            <w:shd w:val="clear" w:color="auto" w:fill="F6F3F0"/>
          </w:tcPr>
          <w:p>
            <w:pPr>
              <w:spacing w:after="0"/>
              <w:rPr>
                <w:sz w:val="16"/>
                <w:szCs w:val="16"/>
                <w:color w:val="auto"/>
              </w:rPr>
            </w:pPr>
          </w:p>
        </w:tc>
        <w:tc>
          <w:tcPr>
            <w:tcW w:w="1140" w:type="dxa"/>
            <w:vAlign w:val="bottom"/>
            <w:shd w:val="clear" w:color="auto" w:fill="F6F3F0"/>
          </w:tcPr>
          <w:p>
            <w:pPr>
              <w:spacing w:after="0"/>
              <w:rPr>
                <w:sz w:val="16"/>
                <w:szCs w:val="16"/>
                <w:color w:val="auto"/>
              </w:rPr>
            </w:pPr>
          </w:p>
        </w:tc>
        <w:tc>
          <w:tcPr>
            <w:tcW w:w="1100" w:type="dxa"/>
            <w:vAlign w:val="bottom"/>
            <w:shd w:val="clear" w:color="auto" w:fill="F6F3F0"/>
          </w:tcPr>
          <w:p>
            <w:pPr>
              <w:spacing w:after="0"/>
              <w:rPr>
                <w:sz w:val="16"/>
                <w:szCs w:val="16"/>
                <w:color w:val="auto"/>
              </w:rPr>
            </w:pPr>
          </w:p>
        </w:tc>
        <w:tc>
          <w:tcPr>
            <w:tcW w:w="900" w:type="dxa"/>
            <w:vAlign w:val="bottom"/>
            <w:shd w:val="clear" w:color="auto" w:fill="F6F3F0"/>
          </w:tcPr>
          <w:p>
            <w:pPr>
              <w:spacing w:after="0"/>
              <w:rPr>
                <w:sz w:val="16"/>
                <w:szCs w:val="16"/>
                <w:color w:val="auto"/>
              </w:rPr>
            </w:pPr>
          </w:p>
        </w:tc>
        <w:tc>
          <w:tcPr>
            <w:tcW w:w="94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w w:val="95"/>
              </w:rPr>
              <w:t>Total Retainers</w:t>
            </w:r>
          </w:p>
        </w:tc>
        <w:tc>
          <w:tcPr>
            <w:tcW w:w="1120" w:type="dxa"/>
            <w:vAlign w:val="bottom"/>
            <w:shd w:val="clear" w:color="auto" w:fill="F6F3F0"/>
          </w:tcPr>
          <w:p>
            <w:pPr>
              <w:spacing w:after="0"/>
              <w:rPr>
                <w:sz w:val="16"/>
                <w:szCs w:val="16"/>
                <w:color w:val="auto"/>
              </w:rPr>
            </w:pPr>
          </w:p>
        </w:tc>
        <w:tc>
          <w:tcPr>
            <w:tcW w:w="1380" w:type="dxa"/>
            <w:vAlign w:val="bottom"/>
            <w:shd w:val="clear" w:color="auto" w:fill="F6F3F0"/>
          </w:tcPr>
          <w:p>
            <w:pPr>
              <w:spacing w:after="0"/>
              <w:rPr>
                <w:sz w:val="16"/>
                <w:szCs w:val="16"/>
                <w:color w:val="auto"/>
              </w:rPr>
            </w:pPr>
          </w:p>
        </w:tc>
      </w:tr>
      <w:tr>
        <w:trPr>
          <w:trHeight w:val="147"/>
        </w:trPr>
        <w:tc>
          <w:tcPr>
            <w:tcW w:w="1880" w:type="dxa"/>
            <w:vAlign w:val="bottom"/>
            <w:shd w:val="clear" w:color="auto" w:fill="F6F3F0"/>
          </w:tcPr>
          <w:p>
            <w:pPr>
              <w:spacing w:after="0"/>
              <w:rPr>
                <w:sz w:val="12"/>
                <w:szCs w:val="12"/>
                <w:color w:val="auto"/>
              </w:rPr>
            </w:pPr>
          </w:p>
        </w:tc>
        <w:tc>
          <w:tcPr>
            <w:tcW w:w="800" w:type="dxa"/>
            <w:vAlign w:val="bottom"/>
            <w:shd w:val="clear" w:color="auto" w:fill="F6F3F0"/>
          </w:tcPr>
          <w:p>
            <w:pPr>
              <w:spacing w:after="0"/>
              <w:rPr>
                <w:sz w:val="12"/>
                <w:szCs w:val="12"/>
                <w:color w:val="auto"/>
              </w:rPr>
            </w:pPr>
          </w:p>
        </w:tc>
        <w:tc>
          <w:tcPr>
            <w:tcW w:w="940" w:type="dxa"/>
            <w:vAlign w:val="bottom"/>
            <w:shd w:val="clear" w:color="auto" w:fill="F6F3F0"/>
          </w:tcPr>
          <w:p>
            <w:pPr>
              <w:spacing w:after="0"/>
              <w:rPr>
                <w:sz w:val="12"/>
                <w:szCs w:val="12"/>
                <w:color w:val="auto"/>
              </w:rPr>
            </w:pPr>
          </w:p>
        </w:tc>
        <w:tc>
          <w:tcPr>
            <w:tcW w:w="1040" w:type="dxa"/>
            <w:vAlign w:val="bottom"/>
            <w:shd w:val="clear" w:color="auto" w:fill="F6F3F0"/>
          </w:tcPr>
          <w:p>
            <w:pPr>
              <w:spacing w:after="0"/>
              <w:rPr>
                <w:sz w:val="12"/>
                <w:szCs w:val="12"/>
                <w:color w:val="auto"/>
              </w:rPr>
            </w:pPr>
          </w:p>
        </w:tc>
        <w:tc>
          <w:tcPr>
            <w:tcW w:w="1140" w:type="dxa"/>
            <w:vAlign w:val="bottom"/>
            <w:shd w:val="clear" w:color="auto" w:fill="F6F3F0"/>
          </w:tcPr>
          <w:p>
            <w:pPr>
              <w:spacing w:after="0"/>
              <w:rPr>
                <w:sz w:val="12"/>
                <w:szCs w:val="12"/>
                <w:color w:val="auto"/>
              </w:rPr>
            </w:pPr>
          </w:p>
        </w:tc>
        <w:tc>
          <w:tcPr>
            <w:tcW w:w="1100" w:type="dxa"/>
            <w:vAlign w:val="bottom"/>
            <w:shd w:val="clear" w:color="auto" w:fill="F6F3F0"/>
          </w:tcPr>
          <w:p>
            <w:pPr>
              <w:spacing w:after="0"/>
              <w:rPr>
                <w:sz w:val="12"/>
                <w:szCs w:val="12"/>
                <w:color w:val="auto"/>
              </w:rPr>
            </w:pPr>
          </w:p>
        </w:tc>
        <w:tc>
          <w:tcPr>
            <w:tcW w:w="900" w:type="dxa"/>
            <w:vAlign w:val="bottom"/>
            <w:shd w:val="clear" w:color="auto" w:fill="F6F3F0"/>
          </w:tcPr>
          <w:p>
            <w:pPr>
              <w:spacing w:after="0"/>
              <w:rPr>
                <w:sz w:val="12"/>
                <w:szCs w:val="12"/>
                <w:color w:val="auto"/>
              </w:rPr>
            </w:pPr>
          </w:p>
        </w:tc>
        <w:tc>
          <w:tcPr>
            <w:tcW w:w="94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and Fees</w:t>
            </w:r>
          </w:p>
        </w:tc>
        <w:tc>
          <w:tcPr>
            <w:tcW w:w="1120" w:type="dxa"/>
            <w:vAlign w:val="bottom"/>
            <w:shd w:val="clear" w:color="auto" w:fill="F6F3F0"/>
          </w:tcPr>
          <w:p>
            <w:pPr>
              <w:spacing w:after="0"/>
              <w:rPr>
                <w:sz w:val="12"/>
                <w:szCs w:val="12"/>
                <w:color w:val="auto"/>
              </w:rPr>
            </w:pPr>
          </w:p>
        </w:tc>
        <w:tc>
          <w:tcPr>
            <w:tcW w:w="1380" w:type="dxa"/>
            <w:vAlign w:val="bottom"/>
            <w:shd w:val="clear" w:color="auto" w:fill="F6F3F0"/>
          </w:tcPr>
          <w:p>
            <w:pPr>
              <w:spacing w:after="0"/>
              <w:rPr>
                <w:sz w:val="12"/>
                <w:szCs w:val="12"/>
                <w:color w:val="auto"/>
              </w:rPr>
            </w:pPr>
          </w:p>
        </w:tc>
      </w:tr>
      <w:tr>
        <w:trPr>
          <w:trHeight w:val="147"/>
        </w:trPr>
        <w:tc>
          <w:tcPr>
            <w:tcW w:w="1880" w:type="dxa"/>
            <w:vAlign w:val="bottom"/>
            <w:shd w:val="clear" w:color="auto" w:fill="F6F3F0"/>
          </w:tcPr>
          <w:p>
            <w:pPr>
              <w:spacing w:after="0"/>
              <w:rPr>
                <w:sz w:val="12"/>
                <w:szCs w:val="12"/>
                <w:color w:val="auto"/>
              </w:rPr>
            </w:pPr>
          </w:p>
        </w:tc>
        <w:tc>
          <w:tcPr>
            <w:tcW w:w="800" w:type="dxa"/>
            <w:vAlign w:val="bottom"/>
            <w:shd w:val="clear" w:color="auto" w:fill="F6F3F0"/>
          </w:tcPr>
          <w:p>
            <w:pPr>
              <w:spacing w:after="0"/>
              <w:rPr>
                <w:sz w:val="12"/>
                <w:szCs w:val="12"/>
                <w:color w:val="auto"/>
              </w:rPr>
            </w:pPr>
          </w:p>
        </w:tc>
        <w:tc>
          <w:tcPr>
            <w:tcW w:w="94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Chairman of</w:t>
            </w:r>
          </w:p>
        </w:tc>
        <w:tc>
          <w:tcPr>
            <w:tcW w:w="104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Committee</w:t>
            </w:r>
          </w:p>
        </w:tc>
        <w:tc>
          <w:tcPr>
            <w:tcW w:w="1140" w:type="dxa"/>
            <w:vAlign w:val="bottom"/>
            <w:shd w:val="clear" w:color="auto" w:fill="F6F3F0"/>
          </w:tcPr>
          <w:p>
            <w:pPr>
              <w:spacing w:after="0"/>
              <w:rPr>
                <w:sz w:val="12"/>
                <w:szCs w:val="12"/>
                <w:color w:val="auto"/>
              </w:rPr>
            </w:pPr>
          </w:p>
        </w:tc>
        <w:tc>
          <w:tcPr>
            <w:tcW w:w="1100" w:type="dxa"/>
            <w:vAlign w:val="bottom"/>
            <w:shd w:val="clear" w:color="auto" w:fill="F6F3F0"/>
          </w:tcPr>
          <w:p>
            <w:pPr>
              <w:spacing w:after="0"/>
              <w:rPr>
                <w:sz w:val="12"/>
                <w:szCs w:val="12"/>
                <w:color w:val="auto"/>
              </w:rPr>
            </w:pPr>
          </w:p>
        </w:tc>
        <w:tc>
          <w:tcPr>
            <w:tcW w:w="900" w:type="dxa"/>
            <w:vAlign w:val="bottom"/>
            <w:shd w:val="clear" w:color="auto" w:fill="F6F3F0"/>
          </w:tcPr>
          <w:p>
            <w:pPr>
              <w:spacing w:after="0"/>
              <w:rPr>
                <w:sz w:val="12"/>
                <w:szCs w:val="12"/>
                <w:color w:val="auto"/>
              </w:rPr>
            </w:pPr>
          </w:p>
        </w:tc>
        <w:tc>
          <w:tcPr>
            <w:tcW w:w="94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Earned</w:t>
            </w:r>
            <w:r>
              <w:rPr>
                <w:rFonts w:ascii="Arial" w:cs="Arial" w:eastAsia="Arial" w:hAnsi="Arial"/>
                <w:sz w:val="16"/>
                <w:szCs w:val="16"/>
                <w:b w:val="1"/>
                <w:bCs w:val="1"/>
                <w:color w:val="0E1020"/>
                <w:vertAlign w:val="superscript"/>
              </w:rPr>
              <w:t>(1)</w:t>
            </w:r>
          </w:p>
        </w:tc>
        <w:tc>
          <w:tcPr>
            <w:tcW w:w="1120" w:type="dxa"/>
            <w:vAlign w:val="bottom"/>
            <w:shd w:val="clear" w:color="auto" w:fill="F6F3F0"/>
          </w:tcPr>
          <w:p>
            <w:pPr>
              <w:spacing w:after="0"/>
              <w:rPr>
                <w:sz w:val="12"/>
                <w:szCs w:val="12"/>
                <w:color w:val="auto"/>
              </w:rPr>
            </w:pPr>
          </w:p>
        </w:tc>
        <w:tc>
          <w:tcPr>
            <w:tcW w:w="1380" w:type="dxa"/>
            <w:vAlign w:val="bottom"/>
            <w:shd w:val="clear" w:color="auto" w:fill="F6F3F0"/>
          </w:tcPr>
          <w:p>
            <w:pPr>
              <w:spacing w:after="0"/>
              <w:rPr>
                <w:sz w:val="12"/>
                <w:szCs w:val="12"/>
                <w:color w:val="auto"/>
              </w:rPr>
            </w:pPr>
          </w:p>
        </w:tc>
      </w:tr>
      <w:tr>
        <w:trPr>
          <w:trHeight w:val="147"/>
        </w:trPr>
        <w:tc>
          <w:tcPr>
            <w:tcW w:w="1880" w:type="dxa"/>
            <w:vAlign w:val="bottom"/>
            <w:shd w:val="clear" w:color="auto" w:fill="F6F3F0"/>
          </w:tcPr>
          <w:p>
            <w:pPr>
              <w:spacing w:after="0"/>
              <w:rPr>
                <w:sz w:val="12"/>
                <w:szCs w:val="12"/>
                <w:color w:val="auto"/>
              </w:rPr>
            </w:pPr>
          </w:p>
        </w:tc>
        <w:tc>
          <w:tcPr>
            <w:tcW w:w="800" w:type="dxa"/>
            <w:vAlign w:val="bottom"/>
            <w:shd w:val="clear" w:color="auto" w:fill="F6F3F0"/>
          </w:tcPr>
          <w:p>
            <w:pPr>
              <w:spacing w:after="0"/>
              <w:rPr>
                <w:sz w:val="12"/>
                <w:szCs w:val="12"/>
                <w:color w:val="auto"/>
              </w:rPr>
            </w:pPr>
          </w:p>
        </w:tc>
        <w:tc>
          <w:tcPr>
            <w:tcW w:w="94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the Board</w:t>
            </w:r>
          </w:p>
        </w:tc>
        <w:tc>
          <w:tcPr>
            <w:tcW w:w="104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Chairman</w:t>
            </w:r>
          </w:p>
        </w:tc>
        <w:tc>
          <w:tcPr>
            <w:tcW w:w="1140" w:type="dxa"/>
            <w:vAlign w:val="bottom"/>
            <w:shd w:val="clear" w:color="auto" w:fill="F6F3F0"/>
          </w:tcPr>
          <w:p>
            <w:pPr>
              <w:jc w:val="right"/>
              <w:ind w:right="57"/>
              <w:spacing w:after="0" w:line="148" w:lineRule="exact"/>
              <w:rPr>
                <w:sz w:val="20"/>
                <w:szCs w:val="20"/>
                <w:color w:val="auto"/>
              </w:rPr>
            </w:pPr>
            <w:r>
              <w:rPr>
                <w:rFonts w:ascii="Arial" w:cs="Arial" w:eastAsia="Arial" w:hAnsi="Arial"/>
                <w:sz w:val="13"/>
                <w:szCs w:val="13"/>
                <w:b w:val="1"/>
                <w:bCs w:val="1"/>
                <w:color w:val="0E1020"/>
              </w:rPr>
              <w:t>Committee</w:t>
            </w:r>
          </w:p>
        </w:tc>
        <w:tc>
          <w:tcPr>
            <w:tcW w:w="1100" w:type="dxa"/>
            <w:vAlign w:val="bottom"/>
            <w:shd w:val="clear" w:color="auto" w:fill="F6F3F0"/>
          </w:tcPr>
          <w:p>
            <w:pPr>
              <w:jc w:val="right"/>
              <w:ind w:right="97"/>
              <w:spacing w:after="0" w:line="148" w:lineRule="exact"/>
              <w:rPr>
                <w:sz w:val="20"/>
                <w:szCs w:val="20"/>
                <w:color w:val="auto"/>
              </w:rPr>
            </w:pPr>
            <w:r>
              <w:rPr>
                <w:rFonts w:ascii="Arial" w:cs="Arial" w:eastAsia="Arial" w:hAnsi="Arial"/>
                <w:sz w:val="13"/>
                <w:szCs w:val="13"/>
                <w:b w:val="1"/>
                <w:bCs w:val="1"/>
                <w:color w:val="0E1020"/>
              </w:rPr>
              <w:t>Special</w:t>
            </w:r>
          </w:p>
        </w:tc>
        <w:tc>
          <w:tcPr>
            <w:tcW w:w="90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Special</w:t>
            </w:r>
          </w:p>
        </w:tc>
        <w:tc>
          <w:tcPr>
            <w:tcW w:w="94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or Paid in</w:t>
            </w:r>
          </w:p>
        </w:tc>
        <w:tc>
          <w:tcPr>
            <w:tcW w:w="112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Total Stock</w:t>
            </w:r>
          </w:p>
        </w:tc>
        <w:tc>
          <w:tcPr>
            <w:tcW w:w="1380" w:type="dxa"/>
            <w:vAlign w:val="bottom"/>
            <w:shd w:val="clear" w:color="auto" w:fill="F6F3F0"/>
          </w:tcPr>
          <w:p>
            <w:pPr>
              <w:spacing w:after="0"/>
              <w:rPr>
                <w:sz w:val="12"/>
                <w:szCs w:val="12"/>
                <w:color w:val="auto"/>
              </w:rPr>
            </w:pPr>
          </w:p>
        </w:tc>
      </w:tr>
      <w:tr>
        <w:trPr>
          <w:trHeight w:val="147"/>
        </w:trPr>
        <w:tc>
          <w:tcPr>
            <w:tcW w:w="1880" w:type="dxa"/>
            <w:vAlign w:val="bottom"/>
            <w:shd w:val="clear" w:color="auto" w:fill="F6F3F0"/>
          </w:tcPr>
          <w:p>
            <w:pPr>
              <w:spacing w:after="0"/>
              <w:rPr>
                <w:sz w:val="12"/>
                <w:szCs w:val="12"/>
                <w:color w:val="auto"/>
              </w:rPr>
            </w:pPr>
          </w:p>
        </w:tc>
        <w:tc>
          <w:tcPr>
            <w:tcW w:w="80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w w:val="95"/>
              </w:rPr>
              <w:t>Annual Cash</w:t>
            </w:r>
          </w:p>
        </w:tc>
        <w:tc>
          <w:tcPr>
            <w:tcW w:w="94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Annual Cash</w:t>
            </w:r>
          </w:p>
        </w:tc>
        <w:tc>
          <w:tcPr>
            <w:tcW w:w="104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Annual Cash</w:t>
            </w:r>
          </w:p>
        </w:tc>
        <w:tc>
          <w:tcPr>
            <w:tcW w:w="1140" w:type="dxa"/>
            <w:vAlign w:val="bottom"/>
            <w:shd w:val="clear" w:color="auto" w:fill="F6F3F0"/>
          </w:tcPr>
          <w:p>
            <w:pPr>
              <w:jc w:val="right"/>
              <w:ind w:right="57"/>
              <w:spacing w:after="0" w:line="148" w:lineRule="exact"/>
              <w:rPr>
                <w:sz w:val="20"/>
                <w:szCs w:val="20"/>
                <w:color w:val="auto"/>
              </w:rPr>
            </w:pPr>
            <w:r>
              <w:rPr>
                <w:rFonts w:ascii="Arial" w:cs="Arial" w:eastAsia="Arial" w:hAnsi="Arial"/>
                <w:sz w:val="13"/>
                <w:szCs w:val="13"/>
                <w:b w:val="1"/>
                <w:bCs w:val="1"/>
                <w:color w:val="0E1020"/>
              </w:rPr>
              <w:t>Member Annual</w:t>
            </w:r>
          </w:p>
        </w:tc>
        <w:tc>
          <w:tcPr>
            <w:tcW w:w="1100" w:type="dxa"/>
            <w:vAlign w:val="bottom"/>
            <w:shd w:val="clear" w:color="auto" w:fill="F6F3F0"/>
          </w:tcPr>
          <w:p>
            <w:pPr>
              <w:jc w:val="right"/>
              <w:ind w:right="97"/>
              <w:spacing w:after="0" w:line="148" w:lineRule="exact"/>
              <w:rPr>
                <w:sz w:val="20"/>
                <w:szCs w:val="20"/>
                <w:color w:val="auto"/>
              </w:rPr>
            </w:pPr>
            <w:r>
              <w:rPr>
                <w:rFonts w:ascii="Arial" w:cs="Arial" w:eastAsia="Arial" w:hAnsi="Arial"/>
                <w:sz w:val="13"/>
                <w:szCs w:val="13"/>
                <w:b w:val="1"/>
                <w:bCs w:val="1"/>
                <w:color w:val="0E1020"/>
              </w:rPr>
              <w:t>Committee</w:t>
            </w:r>
          </w:p>
        </w:tc>
        <w:tc>
          <w:tcPr>
            <w:tcW w:w="90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Committee</w:t>
            </w:r>
          </w:p>
        </w:tc>
        <w:tc>
          <w:tcPr>
            <w:tcW w:w="94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Cash</w:t>
            </w:r>
          </w:p>
        </w:tc>
        <w:tc>
          <w:tcPr>
            <w:tcW w:w="112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Awards</w:t>
            </w:r>
            <w:r>
              <w:rPr>
                <w:rFonts w:ascii="Arial" w:cs="Arial" w:eastAsia="Arial" w:hAnsi="Arial"/>
                <w:sz w:val="16"/>
                <w:szCs w:val="16"/>
                <w:b w:val="1"/>
                <w:bCs w:val="1"/>
                <w:color w:val="0E1020"/>
                <w:vertAlign w:val="superscript"/>
              </w:rPr>
              <w:t>(2)</w:t>
            </w:r>
          </w:p>
        </w:tc>
        <w:tc>
          <w:tcPr>
            <w:tcW w:w="1380" w:type="dxa"/>
            <w:vAlign w:val="bottom"/>
            <w:shd w:val="clear" w:color="auto" w:fill="F6F3F0"/>
          </w:tcPr>
          <w:p>
            <w:pPr>
              <w:jc w:val="right"/>
              <w:ind w:right="97"/>
              <w:spacing w:after="0" w:line="148" w:lineRule="exact"/>
              <w:rPr>
                <w:sz w:val="20"/>
                <w:szCs w:val="20"/>
                <w:color w:val="auto"/>
              </w:rPr>
            </w:pPr>
            <w:r>
              <w:rPr>
                <w:rFonts w:ascii="Arial" w:cs="Arial" w:eastAsia="Arial" w:hAnsi="Arial"/>
                <w:sz w:val="13"/>
                <w:szCs w:val="13"/>
                <w:b w:val="1"/>
                <w:bCs w:val="1"/>
                <w:color w:val="0E1020"/>
                <w:w w:val="95"/>
              </w:rPr>
              <w:t>Total Compensation</w:t>
            </w:r>
          </w:p>
        </w:tc>
      </w:tr>
      <w:tr>
        <w:trPr>
          <w:trHeight w:val="147"/>
        </w:trPr>
        <w:tc>
          <w:tcPr>
            <w:tcW w:w="1880" w:type="dxa"/>
            <w:vAlign w:val="bottom"/>
            <w:shd w:val="clear" w:color="auto" w:fill="F6F3F0"/>
          </w:tcPr>
          <w:p>
            <w:pPr>
              <w:ind w:left="100"/>
              <w:spacing w:after="0" w:line="148" w:lineRule="exact"/>
              <w:rPr>
                <w:sz w:val="20"/>
                <w:szCs w:val="20"/>
                <w:color w:val="auto"/>
              </w:rPr>
            </w:pPr>
            <w:r>
              <w:rPr>
                <w:rFonts w:ascii="Arial" w:cs="Arial" w:eastAsia="Arial" w:hAnsi="Arial"/>
                <w:sz w:val="13"/>
                <w:szCs w:val="13"/>
                <w:b w:val="1"/>
                <w:bCs w:val="1"/>
                <w:color w:val="0E1020"/>
              </w:rPr>
              <w:t>Name</w:t>
            </w:r>
          </w:p>
        </w:tc>
        <w:tc>
          <w:tcPr>
            <w:tcW w:w="80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Retainer</w:t>
            </w:r>
          </w:p>
        </w:tc>
        <w:tc>
          <w:tcPr>
            <w:tcW w:w="94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Retainer</w:t>
            </w:r>
          </w:p>
        </w:tc>
        <w:tc>
          <w:tcPr>
            <w:tcW w:w="104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Retainer</w:t>
            </w:r>
          </w:p>
        </w:tc>
        <w:tc>
          <w:tcPr>
            <w:tcW w:w="1140" w:type="dxa"/>
            <w:vAlign w:val="bottom"/>
            <w:shd w:val="clear" w:color="auto" w:fill="F6F3F0"/>
          </w:tcPr>
          <w:p>
            <w:pPr>
              <w:jc w:val="right"/>
              <w:ind w:right="57"/>
              <w:spacing w:after="0" w:line="148" w:lineRule="exact"/>
              <w:rPr>
                <w:sz w:val="20"/>
                <w:szCs w:val="20"/>
                <w:color w:val="auto"/>
              </w:rPr>
            </w:pPr>
            <w:r>
              <w:rPr>
                <w:rFonts w:ascii="Arial" w:cs="Arial" w:eastAsia="Arial" w:hAnsi="Arial"/>
                <w:sz w:val="13"/>
                <w:szCs w:val="13"/>
                <w:b w:val="1"/>
                <w:bCs w:val="1"/>
                <w:color w:val="0E1020"/>
              </w:rPr>
              <w:t>Cash Retainer</w:t>
            </w:r>
          </w:p>
        </w:tc>
        <w:tc>
          <w:tcPr>
            <w:tcW w:w="1100" w:type="dxa"/>
            <w:vAlign w:val="bottom"/>
            <w:shd w:val="clear" w:color="auto" w:fill="F6F3F0"/>
          </w:tcPr>
          <w:p>
            <w:pPr>
              <w:jc w:val="right"/>
              <w:ind w:right="97"/>
              <w:spacing w:after="0" w:line="148" w:lineRule="exact"/>
              <w:rPr>
                <w:sz w:val="20"/>
                <w:szCs w:val="20"/>
                <w:color w:val="auto"/>
              </w:rPr>
            </w:pPr>
            <w:r>
              <w:rPr>
                <w:rFonts w:ascii="Arial" w:cs="Arial" w:eastAsia="Arial" w:hAnsi="Arial"/>
                <w:sz w:val="13"/>
                <w:szCs w:val="13"/>
                <w:b w:val="1"/>
                <w:bCs w:val="1"/>
                <w:color w:val="0E1020"/>
              </w:rPr>
              <w:t>Chairman Fee</w:t>
            </w:r>
          </w:p>
        </w:tc>
        <w:tc>
          <w:tcPr>
            <w:tcW w:w="90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Member Fee</w:t>
            </w:r>
          </w:p>
        </w:tc>
        <w:tc>
          <w:tcPr>
            <w:tcW w:w="94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w:t>
            </w:r>
          </w:p>
        </w:tc>
        <w:tc>
          <w:tcPr>
            <w:tcW w:w="112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w:t>
            </w:r>
          </w:p>
        </w:tc>
        <w:tc>
          <w:tcPr>
            <w:tcW w:w="1380" w:type="dxa"/>
            <w:vAlign w:val="bottom"/>
            <w:shd w:val="clear" w:color="auto" w:fill="F6F3F0"/>
          </w:tcPr>
          <w:p>
            <w:pPr>
              <w:jc w:val="right"/>
              <w:ind w:right="97"/>
              <w:spacing w:after="0" w:line="148" w:lineRule="exact"/>
              <w:rPr>
                <w:sz w:val="20"/>
                <w:szCs w:val="20"/>
                <w:color w:val="auto"/>
              </w:rPr>
            </w:pPr>
            <w:r>
              <w:rPr>
                <w:rFonts w:ascii="Arial" w:cs="Arial" w:eastAsia="Arial" w:hAnsi="Arial"/>
                <w:sz w:val="13"/>
                <w:szCs w:val="13"/>
                <w:b w:val="1"/>
                <w:bCs w:val="1"/>
                <w:color w:val="0E1020"/>
              </w:rPr>
              <w:t>($)</w:t>
            </w:r>
          </w:p>
        </w:tc>
      </w:tr>
      <w:tr>
        <w:trPr>
          <w:trHeight w:val="185"/>
        </w:trPr>
        <w:tc>
          <w:tcPr>
            <w:tcW w:w="1880" w:type="dxa"/>
            <w:vAlign w:val="bottom"/>
            <w:shd w:val="clear" w:color="auto" w:fill="F6F3F0"/>
          </w:tcPr>
          <w:p>
            <w:pPr>
              <w:ind w:left="100"/>
              <w:spacing w:after="0"/>
              <w:rPr>
                <w:sz w:val="20"/>
                <w:szCs w:val="20"/>
                <w:color w:val="auto"/>
              </w:rPr>
            </w:pPr>
            <w:r>
              <w:rPr>
                <w:rFonts w:ascii="Arial" w:cs="Arial" w:eastAsia="Arial" w:hAnsi="Arial"/>
                <w:sz w:val="13"/>
                <w:szCs w:val="13"/>
                <w:b w:val="1"/>
                <w:bCs w:val="1"/>
                <w:color w:val="0E1020"/>
              </w:rPr>
              <w:t>(a)</w:t>
            </w:r>
          </w:p>
        </w:tc>
        <w:tc>
          <w:tcPr>
            <w:tcW w:w="80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rPr>
              <w:t>($)</w:t>
            </w:r>
          </w:p>
        </w:tc>
        <w:tc>
          <w:tcPr>
            <w:tcW w:w="94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rPr>
              <w:t>($)</w:t>
            </w:r>
          </w:p>
        </w:tc>
        <w:tc>
          <w:tcPr>
            <w:tcW w:w="104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rPr>
              <w:t>($)</w:t>
            </w:r>
          </w:p>
        </w:tc>
        <w:tc>
          <w:tcPr>
            <w:tcW w:w="1140" w:type="dxa"/>
            <w:vAlign w:val="bottom"/>
            <w:shd w:val="clear" w:color="auto" w:fill="F6F3F0"/>
          </w:tcPr>
          <w:p>
            <w:pPr>
              <w:jc w:val="right"/>
              <w:ind w:right="57"/>
              <w:spacing w:after="0"/>
              <w:rPr>
                <w:sz w:val="20"/>
                <w:szCs w:val="20"/>
                <w:color w:val="auto"/>
              </w:rPr>
            </w:pPr>
            <w:r>
              <w:rPr>
                <w:rFonts w:ascii="Arial" w:cs="Arial" w:eastAsia="Arial" w:hAnsi="Arial"/>
                <w:sz w:val="13"/>
                <w:szCs w:val="13"/>
                <w:b w:val="1"/>
                <w:bCs w:val="1"/>
                <w:color w:val="0E1020"/>
              </w:rPr>
              <w:t>($)</w:t>
            </w:r>
          </w:p>
        </w:tc>
        <w:tc>
          <w:tcPr>
            <w:tcW w:w="1100" w:type="dxa"/>
            <w:vAlign w:val="bottom"/>
            <w:shd w:val="clear" w:color="auto" w:fill="F6F3F0"/>
          </w:tcPr>
          <w:p>
            <w:pPr>
              <w:jc w:val="right"/>
              <w:ind w:right="97"/>
              <w:spacing w:after="0"/>
              <w:rPr>
                <w:sz w:val="20"/>
                <w:szCs w:val="20"/>
                <w:color w:val="auto"/>
              </w:rPr>
            </w:pPr>
            <w:r>
              <w:rPr>
                <w:rFonts w:ascii="Arial" w:cs="Arial" w:eastAsia="Arial" w:hAnsi="Arial"/>
                <w:sz w:val="13"/>
                <w:szCs w:val="13"/>
                <w:b w:val="1"/>
                <w:bCs w:val="1"/>
                <w:color w:val="0E1020"/>
              </w:rPr>
              <w:t>($)</w:t>
            </w:r>
          </w:p>
        </w:tc>
        <w:tc>
          <w:tcPr>
            <w:tcW w:w="90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rPr>
              <w:t>($)</w:t>
            </w:r>
          </w:p>
        </w:tc>
        <w:tc>
          <w:tcPr>
            <w:tcW w:w="94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rPr>
              <w:t>(b)</w:t>
            </w:r>
          </w:p>
        </w:tc>
        <w:tc>
          <w:tcPr>
            <w:tcW w:w="112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rPr>
              <w:t>(c)</w:t>
            </w:r>
          </w:p>
        </w:tc>
        <w:tc>
          <w:tcPr>
            <w:tcW w:w="1380" w:type="dxa"/>
            <w:vAlign w:val="bottom"/>
            <w:shd w:val="clear" w:color="auto" w:fill="F6F3F0"/>
          </w:tcPr>
          <w:p>
            <w:pPr>
              <w:jc w:val="right"/>
              <w:ind w:right="97"/>
              <w:spacing w:after="0"/>
              <w:rPr>
                <w:sz w:val="20"/>
                <w:szCs w:val="20"/>
                <w:color w:val="auto"/>
              </w:rPr>
            </w:pPr>
            <w:r>
              <w:rPr>
                <w:rFonts w:ascii="Arial" w:cs="Arial" w:eastAsia="Arial" w:hAnsi="Arial"/>
                <w:sz w:val="13"/>
                <w:szCs w:val="13"/>
                <w:b w:val="1"/>
                <w:bCs w:val="1"/>
                <w:color w:val="0E1020"/>
              </w:rPr>
              <w:t>(d)</w:t>
            </w:r>
          </w:p>
        </w:tc>
      </w:tr>
      <w:tr>
        <w:trPr>
          <w:trHeight w:val="75"/>
        </w:trPr>
        <w:tc>
          <w:tcPr>
            <w:tcW w:w="1880" w:type="dxa"/>
            <w:vAlign w:val="bottom"/>
            <w:tcBorders>
              <w:bottom w:val="single" w:sz="8" w:color="CFCFD2"/>
            </w:tcBorders>
            <w:shd w:val="clear" w:color="auto" w:fill="F6F3F0"/>
          </w:tcPr>
          <w:p>
            <w:pPr>
              <w:spacing w:after="0"/>
              <w:rPr>
                <w:sz w:val="6"/>
                <w:szCs w:val="6"/>
                <w:color w:val="auto"/>
              </w:rPr>
            </w:pPr>
          </w:p>
        </w:tc>
        <w:tc>
          <w:tcPr>
            <w:tcW w:w="800" w:type="dxa"/>
            <w:vAlign w:val="bottom"/>
            <w:tcBorders>
              <w:bottom w:val="single" w:sz="8" w:color="CFCFD2"/>
            </w:tcBorders>
            <w:shd w:val="clear" w:color="auto" w:fill="F6F3F0"/>
          </w:tcPr>
          <w:p>
            <w:pPr>
              <w:spacing w:after="0"/>
              <w:rPr>
                <w:sz w:val="6"/>
                <w:szCs w:val="6"/>
                <w:color w:val="auto"/>
              </w:rPr>
            </w:pPr>
          </w:p>
        </w:tc>
        <w:tc>
          <w:tcPr>
            <w:tcW w:w="940" w:type="dxa"/>
            <w:vAlign w:val="bottom"/>
            <w:tcBorders>
              <w:bottom w:val="single" w:sz="8" w:color="CFCFD2"/>
            </w:tcBorders>
            <w:shd w:val="clear" w:color="auto" w:fill="F6F3F0"/>
          </w:tcPr>
          <w:p>
            <w:pPr>
              <w:spacing w:after="0"/>
              <w:rPr>
                <w:sz w:val="6"/>
                <w:szCs w:val="6"/>
                <w:color w:val="auto"/>
              </w:rPr>
            </w:pPr>
          </w:p>
        </w:tc>
        <w:tc>
          <w:tcPr>
            <w:tcW w:w="1040" w:type="dxa"/>
            <w:vAlign w:val="bottom"/>
            <w:tcBorders>
              <w:bottom w:val="single" w:sz="8" w:color="CFCFD2"/>
            </w:tcBorders>
            <w:shd w:val="clear" w:color="auto" w:fill="F6F3F0"/>
          </w:tcPr>
          <w:p>
            <w:pPr>
              <w:spacing w:after="0"/>
              <w:rPr>
                <w:sz w:val="6"/>
                <w:szCs w:val="6"/>
                <w:color w:val="auto"/>
              </w:rPr>
            </w:pPr>
          </w:p>
        </w:tc>
        <w:tc>
          <w:tcPr>
            <w:tcW w:w="1140" w:type="dxa"/>
            <w:vAlign w:val="bottom"/>
            <w:tcBorders>
              <w:bottom w:val="single" w:sz="8" w:color="CFCFD2"/>
            </w:tcBorders>
            <w:shd w:val="clear" w:color="auto" w:fill="F6F3F0"/>
          </w:tcPr>
          <w:p>
            <w:pPr>
              <w:spacing w:after="0"/>
              <w:rPr>
                <w:sz w:val="6"/>
                <w:szCs w:val="6"/>
                <w:color w:val="auto"/>
              </w:rPr>
            </w:pPr>
          </w:p>
        </w:tc>
        <w:tc>
          <w:tcPr>
            <w:tcW w:w="1100" w:type="dxa"/>
            <w:vAlign w:val="bottom"/>
            <w:tcBorders>
              <w:bottom w:val="single" w:sz="8" w:color="CFCFD2"/>
            </w:tcBorders>
            <w:shd w:val="clear" w:color="auto" w:fill="F6F3F0"/>
          </w:tcPr>
          <w:p>
            <w:pPr>
              <w:spacing w:after="0"/>
              <w:rPr>
                <w:sz w:val="6"/>
                <w:szCs w:val="6"/>
                <w:color w:val="auto"/>
              </w:rPr>
            </w:pPr>
          </w:p>
        </w:tc>
        <w:tc>
          <w:tcPr>
            <w:tcW w:w="900" w:type="dxa"/>
            <w:vAlign w:val="bottom"/>
            <w:tcBorders>
              <w:bottom w:val="single" w:sz="8" w:color="CFCFD2"/>
            </w:tcBorders>
            <w:shd w:val="clear" w:color="auto" w:fill="F6F3F0"/>
          </w:tcPr>
          <w:p>
            <w:pPr>
              <w:spacing w:after="0"/>
              <w:rPr>
                <w:sz w:val="6"/>
                <w:szCs w:val="6"/>
                <w:color w:val="auto"/>
              </w:rPr>
            </w:pPr>
          </w:p>
        </w:tc>
        <w:tc>
          <w:tcPr>
            <w:tcW w:w="940" w:type="dxa"/>
            <w:vAlign w:val="bottom"/>
            <w:tcBorders>
              <w:bottom w:val="single" w:sz="8" w:color="CFCFD2"/>
            </w:tcBorders>
            <w:shd w:val="clear" w:color="auto" w:fill="F6F3F0"/>
          </w:tcPr>
          <w:p>
            <w:pPr>
              <w:spacing w:after="0"/>
              <w:rPr>
                <w:sz w:val="6"/>
                <w:szCs w:val="6"/>
                <w:color w:val="auto"/>
              </w:rPr>
            </w:pPr>
          </w:p>
        </w:tc>
        <w:tc>
          <w:tcPr>
            <w:tcW w:w="1120" w:type="dxa"/>
            <w:vAlign w:val="bottom"/>
            <w:tcBorders>
              <w:bottom w:val="single" w:sz="8" w:color="CFCFD2"/>
            </w:tcBorders>
            <w:shd w:val="clear" w:color="auto" w:fill="F6F3F0"/>
          </w:tcPr>
          <w:p>
            <w:pPr>
              <w:spacing w:after="0"/>
              <w:rPr>
                <w:sz w:val="6"/>
                <w:szCs w:val="6"/>
                <w:color w:val="auto"/>
              </w:rPr>
            </w:pPr>
          </w:p>
        </w:tc>
        <w:tc>
          <w:tcPr>
            <w:tcW w:w="1380" w:type="dxa"/>
            <w:vAlign w:val="bottom"/>
            <w:tcBorders>
              <w:bottom w:val="single" w:sz="8" w:color="CFCFD2"/>
            </w:tcBorders>
            <w:shd w:val="clear" w:color="auto" w:fill="F6F3F0"/>
          </w:tcPr>
          <w:p>
            <w:pPr>
              <w:spacing w:after="0"/>
              <w:rPr>
                <w:sz w:val="6"/>
                <w:szCs w:val="6"/>
                <w:color w:val="auto"/>
              </w:rPr>
            </w:pPr>
          </w:p>
        </w:tc>
      </w:tr>
      <w:tr>
        <w:trPr>
          <w:trHeight w:val="173"/>
        </w:trPr>
        <w:tc>
          <w:tcPr>
            <w:tcW w:w="1880" w:type="dxa"/>
            <w:vAlign w:val="bottom"/>
          </w:tcPr>
          <w:p>
            <w:pPr>
              <w:ind w:left="100"/>
              <w:spacing w:after="0"/>
              <w:rPr>
                <w:sz w:val="20"/>
                <w:szCs w:val="20"/>
                <w:color w:val="auto"/>
              </w:rPr>
            </w:pPr>
            <w:r>
              <w:rPr>
                <w:rFonts w:ascii="Arial" w:cs="Arial" w:eastAsia="Arial" w:hAnsi="Arial"/>
                <w:sz w:val="13"/>
                <w:szCs w:val="13"/>
                <w:b w:val="1"/>
                <w:bCs w:val="1"/>
                <w:color w:val="004AAC"/>
              </w:rPr>
              <w:t>David A. Barnes</w:t>
            </w:r>
          </w:p>
        </w:tc>
        <w:tc>
          <w:tcPr>
            <w:tcW w:w="800" w:type="dxa"/>
            <w:vAlign w:val="bottom"/>
          </w:tcPr>
          <w:p>
            <w:pPr>
              <w:jc w:val="right"/>
              <w:spacing w:after="0"/>
              <w:rPr>
                <w:sz w:val="20"/>
                <w:szCs w:val="20"/>
                <w:color w:val="auto"/>
              </w:rPr>
            </w:pPr>
            <w:r>
              <w:rPr>
                <w:rFonts w:ascii="Arial" w:cs="Arial" w:eastAsia="Arial" w:hAnsi="Arial"/>
                <w:sz w:val="13"/>
                <w:szCs w:val="13"/>
                <w:color w:val="0E1020"/>
              </w:rPr>
              <w:t>100,000</w:t>
            </w:r>
          </w:p>
        </w:tc>
        <w:tc>
          <w:tcPr>
            <w:tcW w:w="940" w:type="dxa"/>
            <w:vAlign w:val="bottom"/>
          </w:tcPr>
          <w:p>
            <w:pPr>
              <w:jc w:val="right"/>
              <w:spacing w:after="0"/>
              <w:rPr>
                <w:sz w:val="20"/>
                <w:szCs w:val="20"/>
                <w:color w:val="auto"/>
              </w:rPr>
            </w:pPr>
            <w:r>
              <w:rPr>
                <w:rFonts w:ascii="Arial" w:cs="Arial" w:eastAsia="Arial" w:hAnsi="Arial"/>
                <w:sz w:val="13"/>
                <w:szCs w:val="13"/>
                <w:color w:val="0E1020"/>
              </w:rPr>
              <w:t>—</w:t>
            </w:r>
          </w:p>
        </w:tc>
        <w:tc>
          <w:tcPr>
            <w:tcW w:w="1040" w:type="dxa"/>
            <w:vAlign w:val="bottom"/>
          </w:tcPr>
          <w:p>
            <w:pPr>
              <w:jc w:val="right"/>
              <w:spacing w:after="0"/>
              <w:rPr>
                <w:sz w:val="20"/>
                <w:szCs w:val="20"/>
                <w:color w:val="auto"/>
              </w:rPr>
            </w:pPr>
            <w:r>
              <w:rPr>
                <w:rFonts w:ascii="Arial" w:cs="Arial" w:eastAsia="Arial" w:hAnsi="Arial"/>
                <w:sz w:val="13"/>
                <w:szCs w:val="13"/>
                <w:color w:val="0E1020"/>
              </w:rPr>
              <w:t>20,000</w:t>
            </w:r>
          </w:p>
        </w:tc>
        <w:tc>
          <w:tcPr>
            <w:tcW w:w="1140" w:type="dxa"/>
            <w:vAlign w:val="bottom"/>
          </w:tcPr>
          <w:p>
            <w:pPr>
              <w:jc w:val="right"/>
              <w:ind w:right="57"/>
              <w:spacing w:after="0"/>
              <w:rPr>
                <w:sz w:val="20"/>
                <w:szCs w:val="20"/>
                <w:color w:val="auto"/>
              </w:rPr>
            </w:pPr>
            <w:r>
              <w:rPr>
                <w:rFonts w:ascii="Arial" w:cs="Arial" w:eastAsia="Arial" w:hAnsi="Arial"/>
                <w:sz w:val="13"/>
                <w:szCs w:val="13"/>
                <w:color w:val="0E1020"/>
              </w:rPr>
              <w:t>20,000</w:t>
            </w:r>
          </w:p>
        </w:tc>
        <w:tc>
          <w:tcPr>
            <w:tcW w:w="1100" w:type="dxa"/>
            <w:vAlign w:val="bottom"/>
          </w:tcPr>
          <w:p>
            <w:pPr>
              <w:jc w:val="right"/>
              <w:ind w:right="97"/>
              <w:spacing w:after="0"/>
              <w:rPr>
                <w:sz w:val="20"/>
                <w:szCs w:val="20"/>
                <w:color w:val="auto"/>
              </w:rPr>
            </w:pPr>
            <w:r>
              <w:rPr>
                <w:rFonts w:ascii="Arial" w:cs="Arial" w:eastAsia="Arial" w:hAnsi="Arial"/>
                <w:sz w:val="13"/>
                <w:szCs w:val="13"/>
                <w:color w:val="0E1020"/>
              </w:rPr>
              <w:t>20,000</w:t>
            </w:r>
          </w:p>
        </w:tc>
        <w:tc>
          <w:tcPr>
            <w:tcW w:w="900" w:type="dxa"/>
            <w:vAlign w:val="bottom"/>
          </w:tcPr>
          <w:p>
            <w:pPr>
              <w:jc w:val="right"/>
              <w:spacing w:after="0"/>
              <w:rPr>
                <w:sz w:val="20"/>
                <w:szCs w:val="20"/>
                <w:color w:val="auto"/>
              </w:rPr>
            </w:pPr>
            <w:r>
              <w:rPr>
                <w:rFonts w:ascii="Arial" w:cs="Arial" w:eastAsia="Arial" w:hAnsi="Arial"/>
                <w:sz w:val="13"/>
                <w:szCs w:val="13"/>
                <w:color w:val="0E1020"/>
              </w:rPr>
              <w:t>—</w:t>
            </w:r>
          </w:p>
        </w:tc>
        <w:tc>
          <w:tcPr>
            <w:tcW w:w="940" w:type="dxa"/>
            <w:vAlign w:val="bottom"/>
          </w:tcPr>
          <w:p>
            <w:pPr>
              <w:jc w:val="right"/>
              <w:spacing w:after="0"/>
              <w:rPr>
                <w:sz w:val="20"/>
                <w:szCs w:val="20"/>
                <w:color w:val="auto"/>
              </w:rPr>
            </w:pPr>
            <w:r>
              <w:rPr>
                <w:rFonts w:ascii="Arial" w:cs="Arial" w:eastAsia="Arial" w:hAnsi="Arial"/>
                <w:sz w:val="13"/>
                <w:szCs w:val="13"/>
                <w:color w:val="0E1020"/>
              </w:rPr>
              <w:t>160,000</w:t>
            </w:r>
          </w:p>
        </w:tc>
        <w:tc>
          <w:tcPr>
            <w:tcW w:w="1120" w:type="dxa"/>
            <w:vAlign w:val="bottom"/>
          </w:tcPr>
          <w:p>
            <w:pPr>
              <w:jc w:val="right"/>
              <w:spacing w:after="0"/>
              <w:rPr>
                <w:sz w:val="20"/>
                <w:szCs w:val="20"/>
                <w:color w:val="auto"/>
              </w:rPr>
            </w:pPr>
            <w:r>
              <w:rPr>
                <w:rFonts w:ascii="Arial" w:cs="Arial" w:eastAsia="Arial" w:hAnsi="Arial"/>
                <w:sz w:val="13"/>
                <w:szCs w:val="13"/>
                <w:color w:val="0E1020"/>
              </w:rPr>
              <w:t>239,463</w:t>
            </w:r>
          </w:p>
        </w:tc>
        <w:tc>
          <w:tcPr>
            <w:tcW w:w="1380" w:type="dxa"/>
            <w:vAlign w:val="bottom"/>
          </w:tcPr>
          <w:p>
            <w:pPr>
              <w:jc w:val="right"/>
              <w:ind w:right="97"/>
              <w:spacing w:after="0"/>
              <w:rPr>
                <w:sz w:val="20"/>
                <w:szCs w:val="20"/>
                <w:color w:val="auto"/>
              </w:rPr>
            </w:pPr>
            <w:r>
              <w:rPr>
                <w:rFonts w:ascii="Arial" w:cs="Arial" w:eastAsia="Arial" w:hAnsi="Arial"/>
                <w:sz w:val="13"/>
                <w:szCs w:val="13"/>
                <w:color w:val="0E1020"/>
              </w:rPr>
              <w:t>399,463</w:t>
            </w:r>
          </w:p>
        </w:tc>
      </w:tr>
      <w:tr>
        <w:trPr>
          <w:trHeight w:val="21"/>
        </w:trPr>
        <w:tc>
          <w:tcPr>
            <w:tcW w:w="1880" w:type="dxa"/>
            <w:vAlign w:val="bottom"/>
            <w:tcBorders>
              <w:bottom w:val="single" w:sz="8" w:color="CFCFD2"/>
            </w:tcBorders>
          </w:tcPr>
          <w:p>
            <w:pPr>
              <w:spacing w:after="0" w:line="20" w:lineRule="exact"/>
              <w:rPr>
                <w:sz w:val="1"/>
                <w:szCs w:val="1"/>
                <w:color w:val="auto"/>
              </w:rPr>
            </w:pPr>
          </w:p>
        </w:tc>
        <w:tc>
          <w:tcPr>
            <w:tcW w:w="800" w:type="dxa"/>
            <w:vAlign w:val="bottom"/>
            <w:tcBorders>
              <w:bottom w:val="single" w:sz="8" w:color="CFCFD2"/>
            </w:tcBorders>
          </w:tcPr>
          <w:p>
            <w:pPr>
              <w:spacing w:after="0" w:line="20" w:lineRule="exact"/>
              <w:rPr>
                <w:sz w:val="1"/>
                <w:szCs w:val="1"/>
                <w:color w:val="auto"/>
              </w:rPr>
            </w:pPr>
          </w:p>
        </w:tc>
        <w:tc>
          <w:tcPr>
            <w:tcW w:w="940" w:type="dxa"/>
            <w:vAlign w:val="bottom"/>
            <w:tcBorders>
              <w:bottom w:val="single" w:sz="8" w:color="CFCFD2"/>
            </w:tcBorders>
          </w:tcPr>
          <w:p>
            <w:pPr>
              <w:spacing w:after="0" w:line="20" w:lineRule="exact"/>
              <w:rPr>
                <w:sz w:val="1"/>
                <w:szCs w:val="1"/>
                <w:color w:val="auto"/>
              </w:rPr>
            </w:pPr>
          </w:p>
        </w:tc>
        <w:tc>
          <w:tcPr>
            <w:tcW w:w="1040" w:type="dxa"/>
            <w:vAlign w:val="bottom"/>
            <w:tcBorders>
              <w:bottom w:val="single" w:sz="8" w:color="CFCFD2"/>
            </w:tcBorders>
          </w:tcPr>
          <w:p>
            <w:pPr>
              <w:spacing w:after="0" w:line="20" w:lineRule="exact"/>
              <w:rPr>
                <w:sz w:val="1"/>
                <w:szCs w:val="1"/>
                <w:color w:val="auto"/>
              </w:rPr>
            </w:pPr>
          </w:p>
        </w:tc>
        <w:tc>
          <w:tcPr>
            <w:tcW w:w="1140" w:type="dxa"/>
            <w:vAlign w:val="bottom"/>
            <w:tcBorders>
              <w:bottom w:val="single" w:sz="8" w:color="CFCFD2"/>
            </w:tcBorders>
          </w:tcPr>
          <w:p>
            <w:pPr>
              <w:spacing w:after="0" w:line="20" w:lineRule="exact"/>
              <w:rPr>
                <w:sz w:val="1"/>
                <w:szCs w:val="1"/>
                <w:color w:val="auto"/>
              </w:rPr>
            </w:pPr>
          </w:p>
        </w:tc>
        <w:tc>
          <w:tcPr>
            <w:tcW w:w="1100" w:type="dxa"/>
            <w:vAlign w:val="bottom"/>
            <w:tcBorders>
              <w:bottom w:val="single" w:sz="8" w:color="CFCFD2"/>
            </w:tcBorders>
          </w:tcPr>
          <w:p>
            <w:pPr>
              <w:spacing w:after="0" w:line="20" w:lineRule="exact"/>
              <w:rPr>
                <w:sz w:val="1"/>
                <w:szCs w:val="1"/>
                <w:color w:val="auto"/>
              </w:rPr>
            </w:pPr>
          </w:p>
        </w:tc>
        <w:tc>
          <w:tcPr>
            <w:tcW w:w="900" w:type="dxa"/>
            <w:vAlign w:val="bottom"/>
            <w:tcBorders>
              <w:bottom w:val="single" w:sz="8" w:color="CFCFD2"/>
            </w:tcBorders>
          </w:tcPr>
          <w:p>
            <w:pPr>
              <w:spacing w:after="0" w:line="20" w:lineRule="exact"/>
              <w:rPr>
                <w:sz w:val="1"/>
                <w:szCs w:val="1"/>
                <w:color w:val="auto"/>
              </w:rPr>
            </w:pPr>
          </w:p>
        </w:tc>
        <w:tc>
          <w:tcPr>
            <w:tcW w:w="940" w:type="dxa"/>
            <w:vAlign w:val="bottom"/>
            <w:tcBorders>
              <w:bottom w:val="single" w:sz="8" w:color="CFCFD2"/>
            </w:tcBorders>
          </w:tcPr>
          <w:p>
            <w:pPr>
              <w:spacing w:after="0" w:line="20" w:lineRule="exact"/>
              <w:rPr>
                <w:sz w:val="1"/>
                <w:szCs w:val="1"/>
                <w:color w:val="auto"/>
              </w:rPr>
            </w:pPr>
          </w:p>
        </w:tc>
        <w:tc>
          <w:tcPr>
            <w:tcW w:w="1120" w:type="dxa"/>
            <w:vAlign w:val="bottom"/>
            <w:tcBorders>
              <w:bottom w:val="single" w:sz="8" w:color="CFCFD2"/>
            </w:tcBorders>
          </w:tcPr>
          <w:p>
            <w:pPr>
              <w:spacing w:after="0" w:line="20" w:lineRule="exact"/>
              <w:rPr>
                <w:sz w:val="1"/>
                <w:szCs w:val="1"/>
                <w:color w:val="auto"/>
              </w:rPr>
            </w:pPr>
          </w:p>
        </w:tc>
        <w:tc>
          <w:tcPr>
            <w:tcW w:w="1380" w:type="dxa"/>
            <w:vAlign w:val="bottom"/>
            <w:tcBorders>
              <w:bottom w:val="single" w:sz="8" w:color="CFCFD2"/>
            </w:tcBorders>
          </w:tcPr>
          <w:p>
            <w:pPr>
              <w:spacing w:after="0" w:line="20" w:lineRule="exact"/>
              <w:rPr>
                <w:sz w:val="1"/>
                <w:szCs w:val="1"/>
                <w:color w:val="auto"/>
              </w:rPr>
            </w:pPr>
          </w:p>
        </w:tc>
      </w:tr>
      <w:tr>
        <w:trPr>
          <w:trHeight w:val="194"/>
        </w:trPr>
        <w:tc>
          <w:tcPr>
            <w:tcW w:w="1880" w:type="dxa"/>
            <w:vAlign w:val="bottom"/>
            <w:tcBorders>
              <w:bottom w:val="single" w:sz="8" w:color="CFCFD2"/>
            </w:tcBorders>
          </w:tcPr>
          <w:p>
            <w:pPr>
              <w:ind w:left="100"/>
              <w:spacing w:after="0"/>
              <w:rPr>
                <w:sz w:val="20"/>
                <w:szCs w:val="20"/>
                <w:color w:val="auto"/>
              </w:rPr>
            </w:pPr>
            <w:r>
              <w:rPr>
                <w:rFonts w:ascii="Arial" w:cs="Arial" w:eastAsia="Arial" w:hAnsi="Arial"/>
                <w:sz w:val="13"/>
                <w:szCs w:val="13"/>
                <w:b w:val="1"/>
                <w:bCs w:val="1"/>
                <w:color w:val="004AAC"/>
              </w:rPr>
              <w:t>Raul J. Fernandez</w:t>
            </w:r>
            <w:r>
              <w:rPr>
                <w:rFonts w:ascii="Arial" w:cs="Arial" w:eastAsia="Arial" w:hAnsi="Arial"/>
                <w:sz w:val="16"/>
                <w:szCs w:val="16"/>
                <w:b w:val="1"/>
                <w:bCs w:val="1"/>
                <w:color w:val="004AAC"/>
                <w:vertAlign w:val="superscript"/>
              </w:rPr>
              <w:t>(3)</w:t>
            </w:r>
          </w:p>
        </w:tc>
        <w:tc>
          <w:tcPr>
            <w:tcW w:w="80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w:t>
            </w:r>
          </w:p>
        </w:tc>
        <w:tc>
          <w:tcPr>
            <w:tcW w:w="94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w:t>
            </w:r>
          </w:p>
        </w:tc>
        <w:tc>
          <w:tcPr>
            <w:tcW w:w="104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w:t>
            </w:r>
          </w:p>
        </w:tc>
        <w:tc>
          <w:tcPr>
            <w:tcW w:w="1140" w:type="dxa"/>
            <w:vAlign w:val="bottom"/>
            <w:tcBorders>
              <w:bottom w:val="single" w:sz="8" w:color="CFCFD2"/>
            </w:tcBorders>
          </w:tcPr>
          <w:p>
            <w:pPr>
              <w:jc w:val="right"/>
              <w:ind w:right="57"/>
              <w:spacing w:after="0"/>
              <w:rPr>
                <w:sz w:val="20"/>
                <w:szCs w:val="20"/>
                <w:color w:val="auto"/>
              </w:rPr>
            </w:pPr>
            <w:r>
              <w:rPr>
                <w:rFonts w:ascii="Arial" w:cs="Arial" w:eastAsia="Arial" w:hAnsi="Arial"/>
                <w:sz w:val="13"/>
                <w:szCs w:val="13"/>
                <w:color w:val="0E1020"/>
              </w:rPr>
              <w:t>—</w:t>
            </w:r>
          </w:p>
        </w:tc>
        <w:tc>
          <w:tcPr>
            <w:tcW w:w="1100" w:type="dxa"/>
            <w:vAlign w:val="bottom"/>
            <w:tcBorders>
              <w:bottom w:val="single" w:sz="8" w:color="CFCFD2"/>
            </w:tcBorders>
          </w:tcPr>
          <w:p>
            <w:pPr>
              <w:jc w:val="right"/>
              <w:ind w:right="97"/>
              <w:spacing w:after="0"/>
              <w:rPr>
                <w:sz w:val="20"/>
                <w:szCs w:val="20"/>
                <w:color w:val="auto"/>
              </w:rPr>
            </w:pPr>
            <w:r>
              <w:rPr>
                <w:rFonts w:ascii="Arial" w:cs="Arial" w:eastAsia="Arial" w:hAnsi="Arial"/>
                <w:sz w:val="13"/>
                <w:szCs w:val="13"/>
                <w:color w:val="0E1020"/>
              </w:rPr>
              <w:t>—</w:t>
            </w:r>
          </w:p>
        </w:tc>
        <w:tc>
          <w:tcPr>
            <w:tcW w:w="90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w:t>
            </w:r>
          </w:p>
        </w:tc>
        <w:tc>
          <w:tcPr>
            <w:tcW w:w="94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w:t>
            </w:r>
          </w:p>
        </w:tc>
        <w:tc>
          <w:tcPr>
            <w:tcW w:w="112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w:t>
            </w:r>
          </w:p>
        </w:tc>
        <w:tc>
          <w:tcPr>
            <w:tcW w:w="1380" w:type="dxa"/>
            <w:vAlign w:val="bottom"/>
            <w:tcBorders>
              <w:bottom w:val="single" w:sz="8" w:color="CFCFD2"/>
            </w:tcBorders>
          </w:tcPr>
          <w:p>
            <w:pPr>
              <w:jc w:val="right"/>
              <w:ind w:right="97"/>
              <w:spacing w:after="0"/>
              <w:rPr>
                <w:sz w:val="20"/>
                <w:szCs w:val="20"/>
                <w:color w:val="auto"/>
              </w:rPr>
            </w:pPr>
            <w:r>
              <w:rPr>
                <w:rFonts w:ascii="Arial" w:cs="Arial" w:eastAsia="Arial" w:hAnsi="Arial"/>
                <w:sz w:val="13"/>
                <w:szCs w:val="13"/>
                <w:color w:val="0E1020"/>
              </w:rPr>
              <w:t>—</w:t>
            </w:r>
          </w:p>
        </w:tc>
      </w:tr>
      <w:tr>
        <w:trPr>
          <w:trHeight w:val="173"/>
        </w:trPr>
        <w:tc>
          <w:tcPr>
            <w:tcW w:w="1880" w:type="dxa"/>
            <w:vAlign w:val="bottom"/>
          </w:tcPr>
          <w:p>
            <w:pPr>
              <w:ind w:left="100"/>
              <w:spacing w:after="0"/>
              <w:rPr>
                <w:sz w:val="20"/>
                <w:szCs w:val="20"/>
                <w:color w:val="auto"/>
              </w:rPr>
            </w:pPr>
            <w:r>
              <w:rPr>
                <w:rFonts w:ascii="Arial" w:cs="Arial" w:eastAsia="Arial" w:hAnsi="Arial"/>
                <w:sz w:val="13"/>
                <w:szCs w:val="13"/>
                <w:b w:val="1"/>
                <w:bCs w:val="1"/>
                <w:color w:val="004AAC"/>
              </w:rPr>
              <w:t>Anthony Gonzalez</w:t>
            </w:r>
          </w:p>
        </w:tc>
        <w:tc>
          <w:tcPr>
            <w:tcW w:w="800" w:type="dxa"/>
            <w:vAlign w:val="bottom"/>
          </w:tcPr>
          <w:p>
            <w:pPr>
              <w:jc w:val="right"/>
              <w:spacing w:after="0"/>
              <w:rPr>
                <w:sz w:val="20"/>
                <w:szCs w:val="20"/>
                <w:color w:val="auto"/>
              </w:rPr>
            </w:pPr>
            <w:r>
              <w:rPr>
                <w:rFonts w:ascii="Arial" w:cs="Arial" w:eastAsia="Arial" w:hAnsi="Arial"/>
                <w:sz w:val="13"/>
                <w:szCs w:val="13"/>
                <w:color w:val="0E1020"/>
              </w:rPr>
              <w:t>100,000</w:t>
            </w:r>
          </w:p>
        </w:tc>
        <w:tc>
          <w:tcPr>
            <w:tcW w:w="940" w:type="dxa"/>
            <w:vAlign w:val="bottom"/>
          </w:tcPr>
          <w:p>
            <w:pPr>
              <w:jc w:val="right"/>
              <w:spacing w:after="0"/>
              <w:rPr>
                <w:sz w:val="20"/>
                <w:szCs w:val="20"/>
                <w:color w:val="auto"/>
              </w:rPr>
            </w:pPr>
            <w:r>
              <w:rPr>
                <w:rFonts w:ascii="Arial" w:cs="Arial" w:eastAsia="Arial" w:hAnsi="Arial"/>
                <w:sz w:val="13"/>
                <w:szCs w:val="13"/>
                <w:color w:val="0E1020"/>
              </w:rPr>
              <w:t>—</w:t>
            </w:r>
          </w:p>
        </w:tc>
        <w:tc>
          <w:tcPr>
            <w:tcW w:w="1040" w:type="dxa"/>
            <w:vAlign w:val="bottom"/>
          </w:tcPr>
          <w:p>
            <w:pPr>
              <w:jc w:val="right"/>
              <w:spacing w:after="0"/>
              <w:rPr>
                <w:sz w:val="20"/>
                <w:szCs w:val="20"/>
                <w:color w:val="auto"/>
              </w:rPr>
            </w:pPr>
            <w:r>
              <w:rPr>
                <w:rFonts w:ascii="Arial" w:cs="Arial" w:eastAsia="Arial" w:hAnsi="Arial"/>
                <w:sz w:val="13"/>
                <w:szCs w:val="13"/>
                <w:color w:val="0E1020"/>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0E1020"/>
              </w:rPr>
              <w:t>10,000</w:t>
            </w:r>
          </w:p>
        </w:tc>
        <w:tc>
          <w:tcPr>
            <w:tcW w:w="1100" w:type="dxa"/>
            <w:vAlign w:val="bottom"/>
          </w:tcPr>
          <w:p>
            <w:pPr>
              <w:jc w:val="right"/>
              <w:ind w:right="97"/>
              <w:spacing w:after="0"/>
              <w:rPr>
                <w:sz w:val="20"/>
                <w:szCs w:val="20"/>
                <w:color w:val="auto"/>
              </w:rPr>
            </w:pPr>
            <w:r>
              <w:rPr>
                <w:rFonts w:ascii="Arial" w:cs="Arial" w:eastAsia="Arial" w:hAnsi="Arial"/>
                <w:sz w:val="13"/>
                <w:szCs w:val="13"/>
                <w:color w:val="0E1020"/>
              </w:rPr>
              <w:t>—</w:t>
            </w:r>
          </w:p>
        </w:tc>
        <w:tc>
          <w:tcPr>
            <w:tcW w:w="900" w:type="dxa"/>
            <w:vAlign w:val="bottom"/>
          </w:tcPr>
          <w:p>
            <w:pPr>
              <w:jc w:val="right"/>
              <w:spacing w:after="0"/>
              <w:rPr>
                <w:sz w:val="20"/>
                <w:szCs w:val="20"/>
                <w:color w:val="auto"/>
              </w:rPr>
            </w:pPr>
            <w:r>
              <w:rPr>
                <w:rFonts w:ascii="Arial" w:cs="Arial" w:eastAsia="Arial" w:hAnsi="Arial"/>
                <w:sz w:val="13"/>
                <w:szCs w:val="13"/>
                <w:color w:val="0E1020"/>
              </w:rPr>
              <w:t>—</w:t>
            </w:r>
          </w:p>
        </w:tc>
        <w:tc>
          <w:tcPr>
            <w:tcW w:w="940" w:type="dxa"/>
            <w:vAlign w:val="bottom"/>
          </w:tcPr>
          <w:p>
            <w:pPr>
              <w:jc w:val="right"/>
              <w:spacing w:after="0"/>
              <w:rPr>
                <w:sz w:val="20"/>
                <w:szCs w:val="20"/>
                <w:color w:val="auto"/>
              </w:rPr>
            </w:pPr>
            <w:r>
              <w:rPr>
                <w:rFonts w:ascii="Arial" w:cs="Arial" w:eastAsia="Arial" w:hAnsi="Arial"/>
                <w:sz w:val="13"/>
                <w:szCs w:val="13"/>
                <w:color w:val="0E1020"/>
              </w:rPr>
              <w:t>110,000</w:t>
            </w:r>
          </w:p>
        </w:tc>
        <w:tc>
          <w:tcPr>
            <w:tcW w:w="1120" w:type="dxa"/>
            <w:vAlign w:val="bottom"/>
          </w:tcPr>
          <w:p>
            <w:pPr>
              <w:jc w:val="right"/>
              <w:spacing w:after="0"/>
              <w:rPr>
                <w:sz w:val="20"/>
                <w:szCs w:val="20"/>
                <w:color w:val="auto"/>
              </w:rPr>
            </w:pPr>
            <w:r>
              <w:rPr>
                <w:rFonts w:ascii="Arial" w:cs="Arial" w:eastAsia="Arial" w:hAnsi="Arial"/>
                <w:sz w:val="13"/>
                <w:szCs w:val="13"/>
                <w:color w:val="0E1020"/>
              </w:rPr>
              <w:t>239,463</w:t>
            </w:r>
          </w:p>
        </w:tc>
        <w:tc>
          <w:tcPr>
            <w:tcW w:w="1380" w:type="dxa"/>
            <w:vAlign w:val="bottom"/>
          </w:tcPr>
          <w:p>
            <w:pPr>
              <w:jc w:val="right"/>
              <w:ind w:right="97"/>
              <w:spacing w:after="0"/>
              <w:rPr>
                <w:sz w:val="20"/>
                <w:szCs w:val="20"/>
                <w:color w:val="auto"/>
              </w:rPr>
            </w:pPr>
            <w:r>
              <w:rPr>
                <w:rFonts w:ascii="Arial" w:cs="Arial" w:eastAsia="Arial" w:hAnsi="Arial"/>
                <w:sz w:val="13"/>
                <w:szCs w:val="13"/>
                <w:color w:val="0E1020"/>
              </w:rPr>
              <w:t>349,463</w:t>
            </w:r>
          </w:p>
        </w:tc>
      </w:tr>
      <w:tr>
        <w:trPr>
          <w:trHeight w:val="21"/>
        </w:trPr>
        <w:tc>
          <w:tcPr>
            <w:tcW w:w="1880" w:type="dxa"/>
            <w:vAlign w:val="bottom"/>
            <w:tcBorders>
              <w:bottom w:val="single" w:sz="8" w:color="CFCFD2"/>
            </w:tcBorders>
          </w:tcPr>
          <w:p>
            <w:pPr>
              <w:spacing w:after="0" w:line="20" w:lineRule="exact"/>
              <w:rPr>
                <w:sz w:val="1"/>
                <w:szCs w:val="1"/>
                <w:color w:val="auto"/>
              </w:rPr>
            </w:pPr>
          </w:p>
        </w:tc>
        <w:tc>
          <w:tcPr>
            <w:tcW w:w="800" w:type="dxa"/>
            <w:vAlign w:val="bottom"/>
            <w:tcBorders>
              <w:bottom w:val="single" w:sz="8" w:color="CFCFD2"/>
            </w:tcBorders>
          </w:tcPr>
          <w:p>
            <w:pPr>
              <w:spacing w:after="0" w:line="20" w:lineRule="exact"/>
              <w:rPr>
                <w:sz w:val="1"/>
                <w:szCs w:val="1"/>
                <w:color w:val="auto"/>
              </w:rPr>
            </w:pPr>
          </w:p>
        </w:tc>
        <w:tc>
          <w:tcPr>
            <w:tcW w:w="940" w:type="dxa"/>
            <w:vAlign w:val="bottom"/>
            <w:tcBorders>
              <w:bottom w:val="single" w:sz="8" w:color="CFCFD2"/>
            </w:tcBorders>
          </w:tcPr>
          <w:p>
            <w:pPr>
              <w:spacing w:after="0" w:line="20" w:lineRule="exact"/>
              <w:rPr>
                <w:sz w:val="1"/>
                <w:szCs w:val="1"/>
                <w:color w:val="auto"/>
              </w:rPr>
            </w:pPr>
          </w:p>
        </w:tc>
        <w:tc>
          <w:tcPr>
            <w:tcW w:w="1040" w:type="dxa"/>
            <w:vAlign w:val="bottom"/>
            <w:tcBorders>
              <w:bottom w:val="single" w:sz="8" w:color="CFCFD2"/>
            </w:tcBorders>
          </w:tcPr>
          <w:p>
            <w:pPr>
              <w:spacing w:after="0" w:line="20" w:lineRule="exact"/>
              <w:rPr>
                <w:sz w:val="1"/>
                <w:szCs w:val="1"/>
                <w:color w:val="auto"/>
              </w:rPr>
            </w:pPr>
          </w:p>
        </w:tc>
        <w:tc>
          <w:tcPr>
            <w:tcW w:w="1140" w:type="dxa"/>
            <w:vAlign w:val="bottom"/>
            <w:tcBorders>
              <w:bottom w:val="single" w:sz="8" w:color="CFCFD2"/>
            </w:tcBorders>
          </w:tcPr>
          <w:p>
            <w:pPr>
              <w:spacing w:after="0" w:line="20" w:lineRule="exact"/>
              <w:rPr>
                <w:sz w:val="1"/>
                <w:szCs w:val="1"/>
                <w:color w:val="auto"/>
              </w:rPr>
            </w:pPr>
          </w:p>
        </w:tc>
        <w:tc>
          <w:tcPr>
            <w:tcW w:w="1100" w:type="dxa"/>
            <w:vAlign w:val="bottom"/>
            <w:tcBorders>
              <w:bottom w:val="single" w:sz="8" w:color="CFCFD2"/>
            </w:tcBorders>
          </w:tcPr>
          <w:p>
            <w:pPr>
              <w:spacing w:after="0" w:line="20" w:lineRule="exact"/>
              <w:rPr>
                <w:sz w:val="1"/>
                <w:szCs w:val="1"/>
                <w:color w:val="auto"/>
              </w:rPr>
            </w:pPr>
          </w:p>
        </w:tc>
        <w:tc>
          <w:tcPr>
            <w:tcW w:w="900" w:type="dxa"/>
            <w:vAlign w:val="bottom"/>
            <w:tcBorders>
              <w:bottom w:val="single" w:sz="8" w:color="CFCFD2"/>
            </w:tcBorders>
          </w:tcPr>
          <w:p>
            <w:pPr>
              <w:spacing w:after="0" w:line="20" w:lineRule="exact"/>
              <w:rPr>
                <w:sz w:val="1"/>
                <w:szCs w:val="1"/>
                <w:color w:val="auto"/>
              </w:rPr>
            </w:pPr>
          </w:p>
        </w:tc>
        <w:tc>
          <w:tcPr>
            <w:tcW w:w="940" w:type="dxa"/>
            <w:vAlign w:val="bottom"/>
            <w:tcBorders>
              <w:bottom w:val="single" w:sz="8" w:color="CFCFD2"/>
            </w:tcBorders>
          </w:tcPr>
          <w:p>
            <w:pPr>
              <w:spacing w:after="0" w:line="20" w:lineRule="exact"/>
              <w:rPr>
                <w:sz w:val="1"/>
                <w:szCs w:val="1"/>
                <w:color w:val="auto"/>
              </w:rPr>
            </w:pPr>
          </w:p>
        </w:tc>
        <w:tc>
          <w:tcPr>
            <w:tcW w:w="1120" w:type="dxa"/>
            <w:vAlign w:val="bottom"/>
            <w:tcBorders>
              <w:bottom w:val="single" w:sz="8" w:color="CFCFD2"/>
            </w:tcBorders>
          </w:tcPr>
          <w:p>
            <w:pPr>
              <w:spacing w:after="0" w:line="20" w:lineRule="exact"/>
              <w:rPr>
                <w:sz w:val="1"/>
                <w:szCs w:val="1"/>
                <w:color w:val="auto"/>
              </w:rPr>
            </w:pPr>
          </w:p>
        </w:tc>
        <w:tc>
          <w:tcPr>
            <w:tcW w:w="1380" w:type="dxa"/>
            <w:vAlign w:val="bottom"/>
            <w:tcBorders>
              <w:bottom w:val="single" w:sz="8" w:color="CFCFD2"/>
            </w:tcBorders>
          </w:tcPr>
          <w:p>
            <w:pPr>
              <w:spacing w:after="0" w:line="20" w:lineRule="exact"/>
              <w:rPr>
                <w:sz w:val="1"/>
                <w:szCs w:val="1"/>
                <w:color w:val="auto"/>
              </w:rPr>
            </w:pPr>
          </w:p>
        </w:tc>
      </w:tr>
      <w:tr>
        <w:trPr>
          <w:trHeight w:val="173"/>
        </w:trPr>
        <w:tc>
          <w:tcPr>
            <w:tcW w:w="1880" w:type="dxa"/>
            <w:vAlign w:val="bottom"/>
          </w:tcPr>
          <w:p>
            <w:pPr>
              <w:ind w:left="100"/>
              <w:spacing w:after="0"/>
              <w:rPr>
                <w:sz w:val="20"/>
                <w:szCs w:val="20"/>
                <w:color w:val="auto"/>
              </w:rPr>
            </w:pPr>
            <w:r>
              <w:rPr>
                <w:rFonts w:ascii="Arial" w:cs="Arial" w:eastAsia="Arial" w:hAnsi="Arial"/>
                <w:sz w:val="13"/>
                <w:szCs w:val="13"/>
                <w:b w:val="1"/>
                <w:bCs w:val="1"/>
                <w:color w:val="004AAC"/>
              </w:rPr>
              <w:t>David L. Herzog</w:t>
            </w:r>
          </w:p>
        </w:tc>
        <w:tc>
          <w:tcPr>
            <w:tcW w:w="800" w:type="dxa"/>
            <w:vAlign w:val="bottom"/>
          </w:tcPr>
          <w:p>
            <w:pPr>
              <w:jc w:val="right"/>
              <w:spacing w:after="0"/>
              <w:rPr>
                <w:sz w:val="20"/>
                <w:szCs w:val="20"/>
                <w:color w:val="auto"/>
              </w:rPr>
            </w:pPr>
            <w:r>
              <w:rPr>
                <w:rFonts w:ascii="Arial" w:cs="Arial" w:eastAsia="Arial" w:hAnsi="Arial"/>
                <w:sz w:val="13"/>
                <w:szCs w:val="13"/>
                <w:color w:val="0E1020"/>
              </w:rPr>
              <w:t>100,000</w:t>
            </w:r>
          </w:p>
        </w:tc>
        <w:tc>
          <w:tcPr>
            <w:tcW w:w="940" w:type="dxa"/>
            <w:vAlign w:val="bottom"/>
          </w:tcPr>
          <w:p>
            <w:pPr>
              <w:jc w:val="right"/>
              <w:spacing w:after="0"/>
              <w:rPr>
                <w:sz w:val="20"/>
                <w:szCs w:val="20"/>
                <w:color w:val="auto"/>
              </w:rPr>
            </w:pPr>
            <w:r>
              <w:rPr>
                <w:rFonts w:ascii="Arial" w:cs="Arial" w:eastAsia="Arial" w:hAnsi="Arial"/>
                <w:sz w:val="13"/>
                <w:szCs w:val="13"/>
                <w:color w:val="0E1020"/>
              </w:rPr>
              <w:t>100,000</w:t>
            </w:r>
          </w:p>
        </w:tc>
        <w:tc>
          <w:tcPr>
            <w:tcW w:w="1040" w:type="dxa"/>
            <w:vAlign w:val="bottom"/>
          </w:tcPr>
          <w:p>
            <w:pPr>
              <w:jc w:val="right"/>
              <w:spacing w:after="0"/>
              <w:rPr>
                <w:sz w:val="20"/>
                <w:szCs w:val="20"/>
                <w:color w:val="auto"/>
              </w:rPr>
            </w:pPr>
            <w:r>
              <w:rPr>
                <w:rFonts w:ascii="Arial" w:cs="Arial" w:eastAsia="Arial" w:hAnsi="Arial"/>
                <w:sz w:val="13"/>
                <w:szCs w:val="13"/>
                <w:color w:val="0E1020"/>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0E1020"/>
              </w:rPr>
              <w:t>9,212</w:t>
            </w:r>
          </w:p>
        </w:tc>
        <w:tc>
          <w:tcPr>
            <w:tcW w:w="1100" w:type="dxa"/>
            <w:vAlign w:val="bottom"/>
          </w:tcPr>
          <w:p>
            <w:pPr>
              <w:jc w:val="right"/>
              <w:ind w:right="97"/>
              <w:spacing w:after="0"/>
              <w:rPr>
                <w:sz w:val="20"/>
                <w:szCs w:val="20"/>
                <w:color w:val="auto"/>
              </w:rPr>
            </w:pPr>
            <w:r>
              <w:rPr>
                <w:rFonts w:ascii="Arial" w:cs="Arial" w:eastAsia="Arial" w:hAnsi="Arial"/>
                <w:sz w:val="13"/>
                <w:szCs w:val="13"/>
                <w:color w:val="0E1020"/>
              </w:rPr>
              <w:t>—</w:t>
            </w:r>
          </w:p>
        </w:tc>
        <w:tc>
          <w:tcPr>
            <w:tcW w:w="900" w:type="dxa"/>
            <w:vAlign w:val="bottom"/>
          </w:tcPr>
          <w:p>
            <w:pPr>
              <w:jc w:val="right"/>
              <w:spacing w:after="0"/>
              <w:rPr>
                <w:sz w:val="20"/>
                <w:szCs w:val="20"/>
                <w:color w:val="auto"/>
              </w:rPr>
            </w:pPr>
            <w:r>
              <w:rPr>
                <w:rFonts w:ascii="Arial" w:cs="Arial" w:eastAsia="Arial" w:hAnsi="Arial"/>
                <w:sz w:val="13"/>
                <w:szCs w:val="13"/>
                <w:color w:val="0E1020"/>
              </w:rPr>
              <w:t>—</w:t>
            </w:r>
          </w:p>
        </w:tc>
        <w:tc>
          <w:tcPr>
            <w:tcW w:w="940" w:type="dxa"/>
            <w:vAlign w:val="bottom"/>
          </w:tcPr>
          <w:p>
            <w:pPr>
              <w:jc w:val="right"/>
              <w:spacing w:after="0"/>
              <w:rPr>
                <w:sz w:val="20"/>
                <w:szCs w:val="20"/>
                <w:color w:val="auto"/>
              </w:rPr>
            </w:pPr>
            <w:r>
              <w:rPr>
                <w:rFonts w:ascii="Arial" w:cs="Arial" w:eastAsia="Arial" w:hAnsi="Arial"/>
                <w:sz w:val="13"/>
                <w:szCs w:val="13"/>
                <w:color w:val="0E1020"/>
              </w:rPr>
              <w:t>209,212</w:t>
            </w:r>
          </w:p>
        </w:tc>
        <w:tc>
          <w:tcPr>
            <w:tcW w:w="1120" w:type="dxa"/>
            <w:vAlign w:val="bottom"/>
          </w:tcPr>
          <w:p>
            <w:pPr>
              <w:jc w:val="right"/>
              <w:spacing w:after="0"/>
              <w:rPr>
                <w:sz w:val="20"/>
                <w:szCs w:val="20"/>
                <w:color w:val="auto"/>
              </w:rPr>
            </w:pPr>
            <w:r>
              <w:rPr>
                <w:rFonts w:ascii="Arial" w:cs="Arial" w:eastAsia="Arial" w:hAnsi="Arial"/>
                <w:sz w:val="13"/>
                <w:szCs w:val="13"/>
                <w:color w:val="0E1020"/>
              </w:rPr>
              <w:t>340,011</w:t>
            </w:r>
          </w:p>
        </w:tc>
        <w:tc>
          <w:tcPr>
            <w:tcW w:w="1380" w:type="dxa"/>
            <w:vAlign w:val="bottom"/>
          </w:tcPr>
          <w:p>
            <w:pPr>
              <w:jc w:val="right"/>
              <w:ind w:right="97"/>
              <w:spacing w:after="0"/>
              <w:rPr>
                <w:sz w:val="20"/>
                <w:szCs w:val="20"/>
                <w:color w:val="auto"/>
              </w:rPr>
            </w:pPr>
            <w:r>
              <w:rPr>
                <w:rFonts w:ascii="Arial" w:cs="Arial" w:eastAsia="Arial" w:hAnsi="Arial"/>
                <w:sz w:val="13"/>
                <w:szCs w:val="13"/>
                <w:color w:val="0E1020"/>
              </w:rPr>
              <w:t>549,223</w:t>
            </w:r>
          </w:p>
        </w:tc>
      </w:tr>
      <w:tr>
        <w:trPr>
          <w:trHeight w:val="21"/>
        </w:trPr>
        <w:tc>
          <w:tcPr>
            <w:tcW w:w="1880" w:type="dxa"/>
            <w:vAlign w:val="bottom"/>
            <w:tcBorders>
              <w:bottom w:val="single" w:sz="8" w:color="CFCFD2"/>
            </w:tcBorders>
          </w:tcPr>
          <w:p>
            <w:pPr>
              <w:spacing w:after="0" w:line="20" w:lineRule="exact"/>
              <w:rPr>
                <w:sz w:val="1"/>
                <w:szCs w:val="1"/>
                <w:color w:val="auto"/>
              </w:rPr>
            </w:pPr>
          </w:p>
        </w:tc>
        <w:tc>
          <w:tcPr>
            <w:tcW w:w="800" w:type="dxa"/>
            <w:vAlign w:val="bottom"/>
            <w:tcBorders>
              <w:bottom w:val="single" w:sz="8" w:color="CFCFD2"/>
            </w:tcBorders>
          </w:tcPr>
          <w:p>
            <w:pPr>
              <w:spacing w:after="0" w:line="20" w:lineRule="exact"/>
              <w:rPr>
                <w:sz w:val="1"/>
                <w:szCs w:val="1"/>
                <w:color w:val="auto"/>
              </w:rPr>
            </w:pPr>
          </w:p>
        </w:tc>
        <w:tc>
          <w:tcPr>
            <w:tcW w:w="940" w:type="dxa"/>
            <w:vAlign w:val="bottom"/>
            <w:tcBorders>
              <w:bottom w:val="single" w:sz="8" w:color="CFCFD2"/>
            </w:tcBorders>
          </w:tcPr>
          <w:p>
            <w:pPr>
              <w:spacing w:after="0" w:line="20" w:lineRule="exact"/>
              <w:rPr>
                <w:sz w:val="1"/>
                <w:szCs w:val="1"/>
                <w:color w:val="auto"/>
              </w:rPr>
            </w:pPr>
          </w:p>
        </w:tc>
        <w:tc>
          <w:tcPr>
            <w:tcW w:w="1040" w:type="dxa"/>
            <w:vAlign w:val="bottom"/>
            <w:tcBorders>
              <w:bottom w:val="single" w:sz="8" w:color="CFCFD2"/>
            </w:tcBorders>
          </w:tcPr>
          <w:p>
            <w:pPr>
              <w:spacing w:after="0" w:line="20" w:lineRule="exact"/>
              <w:rPr>
                <w:sz w:val="1"/>
                <w:szCs w:val="1"/>
                <w:color w:val="auto"/>
              </w:rPr>
            </w:pPr>
          </w:p>
        </w:tc>
        <w:tc>
          <w:tcPr>
            <w:tcW w:w="1140" w:type="dxa"/>
            <w:vAlign w:val="bottom"/>
            <w:tcBorders>
              <w:bottom w:val="single" w:sz="8" w:color="CFCFD2"/>
            </w:tcBorders>
          </w:tcPr>
          <w:p>
            <w:pPr>
              <w:spacing w:after="0" w:line="20" w:lineRule="exact"/>
              <w:rPr>
                <w:sz w:val="1"/>
                <w:szCs w:val="1"/>
                <w:color w:val="auto"/>
              </w:rPr>
            </w:pPr>
          </w:p>
        </w:tc>
        <w:tc>
          <w:tcPr>
            <w:tcW w:w="1100" w:type="dxa"/>
            <w:vAlign w:val="bottom"/>
            <w:tcBorders>
              <w:bottom w:val="single" w:sz="8" w:color="CFCFD2"/>
            </w:tcBorders>
          </w:tcPr>
          <w:p>
            <w:pPr>
              <w:spacing w:after="0" w:line="20" w:lineRule="exact"/>
              <w:rPr>
                <w:sz w:val="1"/>
                <w:szCs w:val="1"/>
                <w:color w:val="auto"/>
              </w:rPr>
            </w:pPr>
          </w:p>
        </w:tc>
        <w:tc>
          <w:tcPr>
            <w:tcW w:w="900" w:type="dxa"/>
            <w:vAlign w:val="bottom"/>
            <w:tcBorders>
              <w:bottom w:val="single" w:sz="8" w:color="CFCFD2"/>
            </w:tcBorders>
          </w:tcPr>
          <w:p>
            <w:pPr>
              <w:spacing w:after="0" w:line="20" w:lineRule="exact"/>
              <w:rPr>
                <w:sz w:val="1"/>
                <w:szCs w:val="1"/>
                <w:color w:val="auto"/>
              </w:rPr>
            </w:pPr>
          </w:p>
        </w:tc>
        <w:tc>
          <w:tcPr>
            <w:tcW w:w="940" w:type="dxa"/>
            <w:vAlign w:val="bottom"/>
            <w:tcBorders>
              <w:bottom w:val="single" w:sz="8" w:color="CFCFD2"/>
            </w:tcBorders>
          </w:tcPr>
          <w:p>
            <w:pPr>
              <w:spacing w:after="0" w:line="20" w:lineRule="exact"/>
              <w:rPr>
                <w:sz w:val="1"/>
                <w:szCs w:val="1"/>
                <w:color w:val="auto"/>
              </w:rPr>
            </w:pPr>
          </w:p>
        </w:tc>
        <w:tc>
          <w:tcPr>
            <w:tcW w:w="1120" w:type="dxa"/>
            <w:vAlign w:val="bottom"/>
            <w:tcBorders>
              <w:bottom w:val="single" w:sz="8" w:color="CFCFD2"/>
            </w:tcBorders>
          </w:tcPr>
          <w:p>
            <w:pPr>
              <w:spacing w:after="0" w:line="20" w:lineRule="exact"/>
              <w:rPr>
                <w:sz w:val="1"/>
                <w:szCs w:val="1"/>
                <w:color w:val="auto"/>
              </w:rPr>
            </w:pPr>
          </w:p>
        </w:tc>
        <w:tc>
          <w:tcPr>
            <w:tcW w:w="1380" w:type="dxa"/>
            <w:vAlign w:val="bottom"/>
            <w:tcBorders>
              <w:bottom w:val="single" w:sz="8" w:color="CFCFD2"/>
            </w:tcBorders>
          </w:tcPr>
          <w:p>
            <w:pPr>
              <w:spacing w:after="0" w:line="20" w:lineRule="exact"/>
              <w:rPr>
                <w:sz w:val="1"/>
                <w:szCs w:val="1"/>
                <w:color w:val="auto"/>
              </w:rPr>
            </w:pPr>
          </w:p>
        </w:tc>
      </w:tr>
      <w:tr>
        <w:trPr>
          <w:trHeight w:val="173"/>
        </w:trPr>
        <w:tc>
          <w:tcPr>
            <w:tcW w:w="1880" w:type="dxa"/>
            <w:vAlign w:val="bottom"/>
          </w:tcPr>
          <w:p>
            <w:pPr>
              <w:ind w:left="100"/>
              <w:spacing w:after="0"/>
              <w:rPr>
                <w:sz w:val="20"/>
                <w:szCs w:val="20"/>
                <w:color w:val="auto"/>
              </w:rPr>
            </w:pPr>
            <w:r>
              <w:rPr>
                <w:rFonts w:ascii="Arial" w:cs="Arial" w:eastAsia="Arial" w:hAnsi="Arial"/>
                <w:sz w:val="13"/>
                <w:szCs w:val="13"/>
                <w:b w:val="1"/>
                <w:bCs w:val="1"/>
                <w:color w:val="004AAC"/>
              </w:rPr>
              <w:t>Pinkie Mayfield</w:t>
            </w:r>
          </w:p>
        </w:tc>
        <w:tc>
          <w:tcPr>
            <w:tcW w:w="800" w:type="dxa"/>
            <w:vAlign w:val="bottom"/>
          </w:tcPr>
          <w:p>
            <w:pPr>
              <w:jc w:val="right"/>
              <w:spacing w:after="0"/>
              <w:rPr>
                <w:sz w:val="20"/>
                <w:szCs w:val="20"/>
                <w:color w:val="auto"/>
              </w:rPr>
            </w:pPr>
            <w:r>
              <w:rPr>
                <w:rFonts w:ascii="Arial" w:cs="Arial" w:eastAsia="Arial" w:hAnsi="Arial"/>
                <w:sz w:val="13"/>
                <w:szCs w:val="13"/>
                <w:color w:val="0E1020"/>
              </w:rPr>
              <w:t>100,000</w:t>
            </w:r>
          </w:p>
        </w:tc>
        <w:tc>
          <w:tcPr>
            <w:tcW w:w="940" w:type="dxa"/>
            <w:vAlign w:val="bottom"/>
          </w:tcPr>
          <w:p>
            <w:pPr>
              <w:jc w:val="right"/>
              <w:spacing w:after="0"/>
              <w:rPr>
                <w:sz w:val="20"/>
                <w:szCs w:val="20"/>
                <w:color w:val="auto"/>
              </w:rPr>
            </w:pPr>
            <w:r>
              <w:rPr>
                <w:rFonts w:ascii="Arial" w:cs="Arial" w:eastAsia="Arial" w:hAnsi="Arial"/>
                <w:sz w:val="13"/>
                <w:szCs w:val="13"/>
                <w:color w:val="0E1020"/>
              </w:rPr>
              <w:t>—</w:t>
            </w:r>
          </w:p>
        </w:tc>
        <w:tc>
          <w:tcPr>
            <w:tcW w:w="1040" w:type="dxa"/>
            <w:vAlign w:val="bottom"/>
          </w:tcPr>
          <w:p>
            <w:pPr>
              <w:jc w:val="right"/>
              <w:spacing w:after="0"/>
              <w:rPr>
                <w:sz w:val="20"/>
                <w:szCs w:val="20"/>
                <w:color w:val="auto"/>
              </w:rPr>
            </w:pPr>
            <w:r>
              <w:rPr>
                <w:rFonts w:ascii="Arial" w:cs="Arial" w:eastAsia="Arial" w:hAnsi="Arial"/>
                <w:sz w:val="13"/>
                <w:szCs w:val="13"/>
                <w:color w:val="0E1020"/>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0E1020"/>
              </w:rPr>
              <w:t>10,000</w:t>
            </w:r>
          </w:p>
        </w:tc>
        <w:tc>
          <w:tcPr>
            <w:tcW w:w="1100" w:type="dxa"/>
            <w:vAlign w:val="bottom"/>
          </w:tcPr>
          <w:p>
            <w:pPr>
              <w:jc w:val="right"/>
              <w:ind w:right="97"/>
              <w:spacing w:after="0"/>
              <w:rPr>
                <w:sz w:val="20"/>
                <w:szCs w:val="20"/>
                <w:color w:val="auto"/>
              </w:rPr>
            </w:pPr>
            <w:r>
              <w:rPr>
                <w:rFonts w:ascii="Arial" w:cs="Arial" w:eastAsia="Arial" w:hAnsi="Arial"/>
                <w:sz w:val="13"/>
                <w:szCs w:val="13"/>
                <w:color w:val="0E1020"/>
              </w:rPr>
              <w:t>—</w:t>
            </w:r>
          </w:p>
        </w:tc>
        <w:tc>
          <w:tcPr>
            <w:tcW w:w="900" w:type="dxa"/>
            <w:vAlign w:val="bottom"/>
          </w:tcPr>
          <w:p>
            <w:pPr>
              <w:jc w:val="right"/>
              <w:spacing w:after="0"/>
              <w:rPr>
                <w:sz w:val="20"/>
                <w:szCs w:val="20"/>
                <w:color w:val="auto"/>
              </w:rPr>
            </w:pPr>
            <w:r>
              <w:rPr>
                <w:rFonts w:ascii="Arial" w:cs="Arial" w:eastAsia="Arial" w:hAnsi="Arial"/>
                <w:sz w:val="13"/>
                <w:szCs w:val="13"/>
                <w:color w:val="0E1020"/>
              </w:rPr>
              <w:t>—</w:t>
            </w:r>
          </w:p>
        </w:tc>
        <w:tc>
          <w:tcPr>
            <w:tcW w:w="940" w:type="dxa"/>
            <w:vAlign w:val="bottom"/>
          </w:tcPr>
          <w:p>
            <w:pPr>
              <w:jc w:val="right"/>
              <w:spacing w:after="0"/>
              <w:rPr>
                <w:sz w:val="20"/>
                <w:szCs w:val="20"/>
                <w:color w:val="auto"/>
              </w:rPr>
            </w:pPr>
            <w:r>
              <w:rPr>
                <w:rFonts w:ascii="Arial" w:cs="Arial" w:eastAsia="Arial" w:hAnsi="Arial"/>
                <w:sz w:val="13"/>
                <w:szCs w:val="13"/>
                <w:color w:val="0E1020"/>
              </w:rPr>
              <w:t>110,000</w:t>
            </w:r>
          </w:p>
        </w:tc>
        <w:tc>
          <w:tcPr>
            <w:tcW w:w="1120" w:type="dxa"/>
            <w:vAlign w:val="bottom"/>
          </w:tcPr>
          <w:p>
            <w:pPr>
              <w:jc w:val="right"/>
              <w:spacing w:after="0"/>
              <w:rPr>
                <w:sz w:val="20"/>
                <w:szCs w:val="20"/>
                <w:color w:val="auto"/>
              </w:rPr>
            </w:pPr>
            <w:r>
              <w:rPr>
                <w:rFonts w:ascii="Arial" w:cs="Arial" w:eastAsia="Arial" w:hAnsi="Arial"/>
                <w:sz w:val="13"/>
                <w:szCs w:val="13"/>
                <w:color w:val="0E1020"/>
              </w:rPr>
              <w:t>239,463</w:t>
            </w:r>
          </w:p>
        </w:tc>
        <w:tc>
          <w:tcPr>
            <w:tcW w:w="1380" w:type="dxa"/>
            <w:vAlign w:val="bottom"/>
          </w:tcPr>
          <w:p>
            <w:pPr>
              <w:jc w:val="right"/>
              <w:ind w:right="97"/>
              <w:spacing w:after="0"/>
              <w:rPr>
                <w:sz w:val="20"/>
                <w:szCs w:val="20"/>
                <w:color w:val="auto"/>
              </w:rPr>
            </w:pPr>
            <w:r>
              <w:rPr>
                <w:rFonts w:ascii="Arial" w:cs="Arial" w:eastAsia="Arial" w:hAnsi="Arial"/>
                <w:sz w:val="13"/>
                <w:szCs w:val="13"/>
                <w:color w:val="0E1020"/>
              </w:rPr>
              <w:t>349,463</w:t>
            </w:r>
          </w:p>
        </w:tc>
      </w:tr>
      <w:tr>
        <w:trPr>
          <w:trHeight w:val="21"/>
        </w:trPr>
        <w:tc>
          <w:tcPr>
            <w:tcW w:w="1880" w:type="dxa"/>
            <w:vAlign w:val="bottom"/>
            <w:tcBorders>
              <w:bottom w:val="single" w:sz="8" w:color="CFCFD2"/>
            </w:tcBorders>
          </w:tcPr>
          <w:p>
            <w:pPr>
              <w:spacing w:after="0" w:line="20" w:lineRule="exact"/>
              <w:rPr>
                <w:sz w:val="1"/>
                <w:szCs w:val="1"/>
                <w:color w:val="auto"/>
              </w:rPr>
            </w:pPr>
          </w:p>
        </w:tc>
        <w:tc>
          <w:tcPr>
            <w:tcW w:w="800" w:type="dxa"/>
            <w:vAlign w:val="bottom"/>
            <w:tcBorders>
              <w:bottom w:val="single" w:sz="8" w:color="CFCFD2"/>
            </w:tcBorders>
          </w:tcPr>
          <w:p>
            <w:pPr>
              <w:spacing w:after="0" w:line="20" w:lineRule="exact"/>
              <w:rPr>
                <w:sz w:val="1"/>
                <w:szCs w:val="1"/>
                <w:color w:val="auto"/>
              </w:rPr>
            </w:pPr>
          </w:p>
        </w:tc>
        <w:tc>
          <w:tcPr>
            <w:tcW w:w="940" w:type="dxa"/>
            <w:vAlign w:val="bottom"/>
            <w:tcBorders>
              <w:bottom w:val="single" w:sz="8" w:color="CFCFD2"/>
            </w:tcBorders>
          </w:tcPr>
          <w:p>
            <w:pPr>
              <w:spacing w:after="0" w:line="20" w:lineRule="exact"/>
              <w:rPr>
                <w:sz w:val="1"/>
                <w:szCs w:val="1"/>
                <w:color w:val="auto"/>
              </w:rPr>
            </w:pPr>
          </w:p>
        </w:tc>
        <w:tc>
          <w:tcPr>
            <w:tcW w:w="1040" w:type="dxa"/>
            <w:vAlign w:val="bottom"/>
            <w:tcBorders>
              <w:bottom w:val="single" w:sz="8" w:color="CFCFD2"/>
            </w:tcBorders>
          </w:tcPr>
          <w:p>
            <w:pPr>
              <w:spacing w:after="0" w:line="20" w:lineRule="exact"/>
              <w:rPr>
                <w:sz w:val="1"/>
                <w:szCs w:val="1"/>
                <w:color w:val="auto"/>
              </w:rPr>
            </w:pPr>
          </w:p>
        </w:tc>
        <w:tc>
          <w:tcPr>
            <w:tcW w:w="1140" w:type="dxa"/>
            <w:vAlign w:val="bottom"/>
            <w:tcBorders>
              <w:bottom w:val="single" w:sz="8" w:color="CFCFD2"/>
            </w:tcBorders>
          </w:tcPr>
          <w:p>
            <w:pPr>
              <w:spacing w:after="0" w:line="20" w:lineRule="exact"/>
              <w:rPr>
                <w:sz w:val="1"/>
                <w:szCs w:val="1"/>
                <w:color w:val="auto"/>
              </w:rPr>
            </w:pPr>
          </w:p>
        </w:tc>
        <w:tc>
          <w:tcPr>
            <w:tcW w:w="1100" w:type="dxa"/>
            <w:vAlign w:val="bottom"/>
            <w:tcBorders>
              <w:bottom w:val="single" w:sz="8" w:color="CFCFD2"/>
            </w:tcBorders>
          </w:tcPr>
          <w:p>
            <w:pPr>
              <w:spacing w:after="0" w:line="20" w:lineRule="exact"/>
              <w:rPr>
                <w:sz w:val="1"/>
                <w:szCs w:val="1"/>
                <w:color w:val="auto"/>
              </w:rPr>
            </w:pPr>
          </w:p>
        </w:tc>
        <w:tc>
          <w:tcPr>
            <w:tcW w:w="900" w:type="dxa"/>
            <w:vAlign w:val="bottom"/>
            <w:tcBorders>
              <w:bottom w:val="single" w:sz="8" w:color="CFCFD2"/>
            </w:tcBorders>
          </w:tcPr>
          <w:p>
            <w:pPr>
              <w:spacing w:after="0" w:line="20" w:lineRule="exact"/>
              <w:rPr>
                <w:sz w:val="1"/>
                <w:szCs w:val="1"/>
                <w:color w:val="auto"/>
              </w:rPr>
            </w:pPr>
          </w:p>
        </w:tc>
        <w:tc>
          <w:tcPr>
            <w:tcW w:w="940" w:type="dxa"/>
            <w:vAlign w:val="bottom"/>
            <w:tcBorders>
              <w:bottom w:val="single" w:sz="8" w:color="CFCFD2"/>
            </w:tcBorders>
          </w:tcPr>
          <w:p>
            <w:pPr>
              <w:spacing w:after="0" w:line="20" w:lineRule="exact"/>
              <w:rPr>
                <w:sz w:val="1"/>
                <w:szCs w:val="1"/>
                <w:color w:val="auto"/>
              </w:rPr>
            </w:pPr>
          </w:p>
        </w:tc>
        <w:tc>
          <w:tcPr>
            <w:tcW w:w="1120" w:type="dxa"/>
            <w:vAlign w:val="bottom"/>
            <w:tcBorders>
              <w:bottom w:val="single" w:sz="8" w:color="CFCFD2"/>
            </w:tcBorders>
          </w:tcPr>
          <w:p>
            <w:pPr>
              <w:spacing w:after="0" w:line="20" w:lineRule="exact"/>
              <w:rPr>
                <w:sz w:val="1"/>
                <w:szCs w:val="1"/>
                <w:color w:val="auto"/>
              </w:rPr>
            </w:pPr>
          </w:p>
        </w:tc>
        <w:tc>
          <w:tcPr>
            <w:tcW w:w="1380" w:type="dxa"/>
            <w:vAlign w:val="bottom"/>
            <w:tcBorders>
              <w:bottom w:val="single" w:sz="8" w:color="CFCFD2"/>
            </w:tcBorders>
          </w:tcPr>
          <w:p>
            <w:pPr>
              <w:spacing w:after="0" w:line="20" w:lineRule="exact"/>
              <w:rPr>
                <w:sz w:val="1"/>
                <w:szCs w:val="1"/>
                <w:color w:val="auto"/>
              </w:rPr>
            </w:pPr>
          </w:p>
        </w:tc>
      </w:tr>
      <w:tr>
        <w:trPr>
          <w:trHeight w:val="194"/>
        </w:trPr>
        <w:tc>
          <w:tcPr>
            <w:tcW w:w="1880" w:type="dxa"/>
            <w:vAlign w:val="bottom"/>
            <w:tcBorders>
              <w:bottom w:val="single" w:sz="8" w:color="CFCFD2"/>
            </w:tcBorders>
          </w:tcPr>
          <w:p>
            <w:pPr>
              <w:ind w:left="100"/>
              <w:spacing w:after="0"/>
              <w:rPr>
                <w:sz w:val="20"/>
                <w:szCs w:val="20"/>
                <w:color w:val="auto"/>
              </w:rPr>
            </w:pPr>
            <w:r>
              <w:rPr>
                <w:rFonts w:ascii="Arial" w:cs="Arial" w:eastAsia="Arial" w:hAnsi="Arial"/>
                <w:sz w:val="13"/>
                <w:szCs w:val="13"/>
                <w:b w:val="1"/>
                <w:bCs w:val="1"/>
                <w:color w:val="004AAC"/>
              </w:rPr>
              <w:t>Karl Racine</w:t>
            </w:r>
            <w:r>
              <w:rPr>
                <w:rFonts w:ascii="Arial" w:cs="Arial" w:eastAsia="Arial" w:hAnsi="Arial"/>
                <w:sz w:val="16"/>
                <w:szCs w:val="16"/>
                <w:b w:val="1"/>
                <w:bCs w:val="1"/>
                <w:color w:val="004AAC"/>
                <w:vertAlign w:val="superscript"/>
              </w:rPr>
              <w:t>(4)</w:t>
            </w:r>
          </w:p>
        </w:tc>
        <w:tc>
          <w:tcPr>
            <w:tcW w:w="80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100,000</w:t>
            </w:r>
          </w:p>
        </w:tc>
        <w:tc>
          <w:tcPr>
            <w:tcW w:w="94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w:t>
            </w:r>
          </w:p>
        </w:tc>
        <w:tc>
          <w:tcPr>
            <w:tcW w:w="104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w:t>
            </w:r>
          </w:p>
        </w:tc>
        <w:tc>
          <w:tcPr>
            <w:tcW w:w="1140" w:type="dxa"/>
            <w:vAlign w:val="bottom"/>
            <w:tcBorders>
              <w:bottom w:val="single" w:sz="8" w:color="CFCFD2"/>
            </w:tcBorders>
          </w:tcPr>
          <w:p>
            <w:pPr>
              <w:jc w:val="right"/>
              <w:ind w:right="57"/>
              <w:spacing w:after="0"/>
              <w:rPr>
                <w:sz w:val="20"/>
                <w:szCs w:val="20"/>
                <w:color w:val="auto"/>
              </w:rPr>
            </w:pPr>
            <w:r>
              <w:rPr>
                <w:rFonts w:ascii="Arial" w:cs="Arial" w:eastAsia="Arial" w:hAnsi="Arial"/>
                <w:sz w:val="13"/>
                <w:szCs w:val="13"/>
                <w:color w:val="0E1020"/>
              </w:rPr>
              <w:t>10,000</w:t>
            </w:r>
          </w:p>
        </w:tc>
        <w:tc>
          <w:tcPr>
            <w:tcW w:w="1100" w:type="dxa"/>
            <w:vAlign w:val="bottom"/>
            <w:tcBorders>
              <w:bottom w:val="single" w:sz="8" w:color="CFCFD2"/>
            </w:tcBorders>
          </w:tcPr>
          <w:p>
            <w:pPr>
              <w:jc w:val="right"/>
              <w:ind w:right="97"/>
              <w:spacing w:after="0"/>
              <w:rPr>
                <w:sz w:val="20"/>
                <w:szCs w:val="20"/>
                <w:color w:val="auto"/>
              </w:rPr>
            </w:pPr>
            <w:r>
              <w:rPr>
                <w:rFonts w:ascii="Arial" w:cs="Arial" w:eastAsia="Arial" w:hAnsi="Arial"/>
                <w:sz w:val="13"/>
                <w:szCs w:val="13"/>
                <w:color w:val="0E1020"/>
              </w:rPr>
              <w:t>—</w:t>
            </w:r>
          </w:p>
        </w:tc>
        <w:tc>
          <w:tcPr>
            <w:tcW w:w="90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w:t>
            </w:r>
          </w:p>
        </w:tc>
        <w:tc>
          <w:tcPr>
            <w:tcW w:w="94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110,000</w:t>
            </w:r>
          </w:p>
        </w:tc>
        <w:tc>
          <w:tcPr>
            <w:tcW w:w="112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239,463</w:t>
            </w:r>
          </w:p>
        </w:tc>
        <w:tc>
          <w:tcPr>
            <w:tcW w:w="1380" w:type="dxa"/>
            <w:vAlign w:val="bottom"/>
            <w:tcBorders>
              <w:bottom w:val="single" w:sz="8" w:color="CFCFD2"/>
            </w:tcBorders>
          </w:tcPr>
          <w:p>
            <w:pPr>
              <w:jc w:val="right"/>
              <w:ind w:right="97"/>
              <w:spacing w:after="0"/>
              <w:rPr>
                <w:sz w:val="20"/>
                <w:szCs w:val="20"/>
                <w:color w:val="auto"/>
              </w:rPr>
            </w:pPr>
            <w:r>
              <w:rPr>
                <w:rFonts w:ascii="Arial" w:cs="Arial" w:eastAsia="Arial" w:hAnsi="Arial"/>
                <w:sz w:val="13"/>
                <w:szCs w:val="13"/>
                <w:color w:val="0E1020"/>
              </w:rPr>
              <w:t>349,463</w:t>
            </w:r>
          </w:p>
        </w:tc>
      </w:tr>
      <w:tr>
        <w:trPr>
          <w:trHeight w:val="173"/>
        </w:trPr>
        <w:tc>
          <w:tcPr>
            <w:tcW w:w="1880" w:type="dxa"/>
            <w:vAlign w:val="bottom"/>
          </w:tcPr>
          <w:p>
            <w:pPr>
              <w:ind w:left="100"/>
              <w:spacing w:after="0"/>
              <w:rPr>
                <w:sz w:val="20"/>
                <w:szCs w:val="20"/>
                <w:color w:val="auto"/>
              </w:rPr>
            </w:pPr>
            <w:r>
              <w:rPr>
                <w:rFonts w:ascii="Arial" w:cs="Arial" w:eastAsia="Arial" w:hAnsi="Arial"/>
                <w:sz w:val="13"/>
                <w:szCs w:val="13"/>
                <w:b w:val="1"/>
                <w:bCs w:val="1"/>
                <w:color w:val="004AAC"/>
              </w:rPr>
              <w:t>Dawn Rogers</w:t>
            </w:r>
          </w:p>
        </w:tc>
        <w:tc>
          <w:tcPr>
            <w:tcW w:w="800" w:type="dxa"/>
            <w:vAlign w:val="bottom"/>
          </w:tcPr>
          <w:p>
            <w:pPr>
              <w:jc w:val="right"/>
              <w:spacing w:after="0"/>
              <w:rPr>
                <w:sz w:val="20"/>
                <w:szCs w:val="20"/>
                <w:color w:val="auto"/>
              </w:rPr>
            </w:pPr>
            <w:r>
              <w:rPr>
                <w:rFonts w:ascii="Arial" w:cs="Arial" w:eastAsia="Arial" w:hAnsi="Arial"/>
                <w:sz w:val="13"/>
                <w:szCs w:val="13"/>
                <w:color w:val="0E1020"/>
              </w:rPr>
              <w:t>100,000</w:t>
            </w:r>
          </w:p>
        </w:tc>
        <w:tc>
          <w:tcPr>
            <w:tcW w:w="940" w:type="dxa"/>
            <w:vAlign w:val="bottom"/>
          </w:tcPr>
          <w:p>
            <w:pPr>
              <w:jc w:val="right"/>
              <w:spacing w:after="0"/>
              <w:rPr>
                <w:sz w:val="20"/>
                <w:szCs w:val="20"/>
                <w:color w:val="auto"/>
              </w:rPr>
            </w:pPr>
            <w:r>
              <w:rPr>
                <w:rFonts w:ascii="Arial" w:cs="Arial" w:eastAsia="Arial" w:hAnsi="Arial"/>
                <w:sz w:val="13"/>
                <w:szCs w:val="13"/>
                <w:color w:val="0E1020"/>
              </w:rPr>
              <w:t>—</w:t>
            </w:r>
          </w:p>
        </w:tc>
        <w:tc>
          <w:tcPr>
            <w:tcW w:w="1040" w:type="dxa"/>
            <w:vAlign w:val="bottom"/>
          </w:tcPr>
          <w:p>
            <w:pPr>
              <w:jc w:val="right"/>
              <w:spacing w:after="0"/>
              <w:rPr>
                <w:sz w:val="20"/>
                <w:szCs w:val="20"/>
                <w:color w:val="auto"/>
              </w:rPr>
            </w:pPr>
            <w:r>
              <w:rPr>
                <w:rFonts w:ascii="Arial" w:cs="Arial" w:eastAsia="Arial" w:hAnsi="Arial"/>
                <w:sz w:val="13"/>
                <w:szCs w:val="13"/>
                <w:color w:val="0E1020"/>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0E1020"/>
              </w:rPr>
              <w:t>10,000</w:t>
            </w:r>
          </w:p>
        </w:tc>
        <w:tc>
          <w:tcPr>
            <w:tcW w:w="1100" w:type="dxa"/>
            <w:vAlign w:val="bottom"/>
          </w:tcPr>
          <w:p>
            <w:pPr>
              <w:jc w:val="right"/>
              <w:ind w:right="97"/>
              <w:spacing w:after="0"/>
              <w:rPr>
                <w:sz w:val="20"/>
                <w:szCs w:val="20"/>
                <w:color w:val="auto"/>
              </w:rPr>
            </w:pPr>
            <w:r>
              <w:rPr>
                <w:rFonts w:ascii="Arial" w:cs="Arial" w:eastAsia="Arial" w:hAnsi="Arial"/>
                <w:sz w:val="13"/>
                <w:szCs w:val="13"/>
                <w:color w:val="0E1020"/>
              </w:rPr>
              <w:t>—</w:t>
            </w:r>
          </w:p>
        </w:tc>
        <w:tc>
          <w:tcPr>
            <w:tcW w:w="900" w:type="dxa"/>
            <w:vAlign w:val="bottom"/>
          </w:tcPr>
          <w:p>
            <w:pPr>
              <w:jc w:val="right"/>
              <w:spacing w:after="0"/>
              <w:rPr>
                <w:sz w:val="20"/>
                <w:szCs w:val="20"/>
                <w:color w:val="auto"/>
              </w:rPr>
            </w:pPr>
            <w:r>
              <w:rPr>
                <w:rFonts w:ascii="Arial" w:cs="Arial" w:eastAsia="Arial" w:hAnsi="Arial"/>
                <w:sz w:val="13"/>
                <w:szCs w:val="13"/>
                <w:color w:val="0E1020"/>
              </w:rPr>
              <w:t>—</w:t>
            </w:r>
          </w:p>
        </w:tc>
        <w:tc>
          <w:tcPr>
            <w:tcW w:w="940" w:type="dxa"/>
            <w:vAlign w:val="bottom"/>
          </w:tcPr>
          <w:p>
            <w:pPr>
              <w:jc w:val="right"/>
              <w:spacing w:after="0"/>
              <w:rPr>
                <w:sz w:val="20"/>
                <w:szCs w:val="20"/>
                <w:color w:val="auto"/>
              </w:rPr>
            </w:pPr>
            <w:r>
              <w:rPr>
                <w:rFonts w:ascii="Arial" w:cs="Arial" w:eastAsia="Arial" w:hAnsi="Arial"/>
                <w:sz w:val="13"/>
                <w:szCs w:val="13"/>
                <w:color w:val="0E1020"/>
              </w:rPr>
              <w:t>110,000</w:t>
            </w:r>
          </w:p>
        </w:tc>
        <w:tc>
          <w:tcPr>
            <w:tcW w:w="1120" w:type="dxa"/>
            <w:vAlign w:val="bottom"/>
          </w:tcPr>
          <w:p>
            <w:pPr>
              <w:jc w:val="right"/>
              <w:spacing w:after="0"/>
              <w:rPr>
                <w:sz w:val="20"/>
                <w:szCs w:val="20"/>
                <w:color w:val="auto"/>
              </w:rPr>
            </w:pPr>
            <w:r>
              <w:rPr>
                <w:rFonts w:ascii="Arial" w:cs="Arial" w:eastAsia="Arial" w:hAnsi="Arial"/>
                <w:sz w:val="13"/>
                <w:szCs w:val="13"/>
                <w:color w:val="0E1020"/>
              </w:rPr>
              <w:t>239,463</w:t>
            </w:r>
          </w:p>
        </w:tc>
        <w:tc>
          <w:tcPr>
            <w:tcW w:w="1380" w:type="dxa"/>
            <w:vAlign w:val="bottom"/>
          </w:tcPr>
          <w:p>
            <w:pPr>
              <w:jc w:val="right"/>
              <w:ind w:right="97"/>
              <w:spacing w:after="0"/>
              <w:rPr>
                <w:sz w:val="20"/>
                <w:szCs w:val="20"/>
                <w:color w:val="auto"/>
              </w:rPr>
            </w:pPr>
            <w:r>
              <w:rPr>
                <w:rFonts w:ascii="Arial" w:cs="Arial" w:eastAsia="Arial" w:hAnsi="Arial"/>
                <w:sz w:val="13"/>
                <w:szCs w:val="13"/>
                <w:color w:val="0E1020"/>
              </w:rPr>
              <w:t>349,463</w:t>
            </w:r>
          </w:p>
        </w:tc>
      </w:tr>
      <w:tr>
        <w:trPr>
          <w:trHeight w:val="21"/>
        </w:trPr>
        <w:tc>
          <w:tcPr>
            <w:tcW w:w="1880" w:type="dxa"/>
            <w:vAlign w:val="bottom"/>
            <w:tcBorders>
              <w:bottom w:val="single" w:sz="8" w:color="CFCFD2"/>
            </w:tcBorders>
          </w:tcPr>
          <w:p>
            <w:pPr>
              <w:spacing w:after="0" w:line="20" w:lineRule="exact"/>
              <w:rPr>
                <w:sz w:val="1"/>
                <w:szCs w:val="1"/>
                <w:color w:val="auto"/>
              </w:rPr>
            </w:pPr>
          </w:p>
        </w:tc>
        <w:tc>
          <w:tcPr>
            <w:tcW w:w="800" w:type="dxa"/>
            <w:vAlign w:val="bottom"/>
            <w:tcBorders>
              <w:bottom w:val="single" w:sz="8" w:color="CFCFD2"/>
            </w:tcBorders>
          </w:tcPr>
          <w:p>
            <w:pPr>
              <w:spacing w:after="0" w:line="20" w:lineRule="exact"/>
              <w:rPr>
                <w:sz w:val="1"/>
                <w:szCs w:val="1"/>
                <w:color w:val="auto"/>
              </w:rPr>
            </w:pPr>
          </w:p>
        </w:tc>
        <w:tc>
          <w:tcPr>
            <w:tcW w:w="940" w:type="dxa"/>
            <w:vAlign w:val="bottom"/>
            <w:tcBorders>
              <w:bottom w:val="single" w:sz="8" w:color="CFCFD2"/>
            </w:tcBorders>
          </w:tcPr>
          <w:p>
            <w:pPr>
              <w:spacing w:after="0" w:line="20" w:lineRule="exact"/>
              <w:rPr>
                <w:sz w:val="1"/>
                <w:szCs w:val="1"/>
                <w:color w:val="auto"/>
              </w:rPr>
            </w:pPr>
          </w:p>
        </w:tc>
        <w:tc>
          <w:tcPr>
            <w:tcW w:w="1040" w:type="dxa"/>
            <w:vAlign w:val="bottom"/>
            <w:tcBorders>
              <w:bottom w:val="single" w:sz="8" w:color="CFCFD2"/>
            </w:tcBorders>
          </w:tcPr>
          <w:p>
            <w:pPr>
              <w:spacing w:after="0" w:line="20" w:lineRule="exact"/>
              <w:rPr>
                <w:sz w:val="1"/>
                <w:szCs w:val="1"/>
                <w:color w:val="auto"/>
              </w:rPr>
            </w:pPr>
          </w:p>
        </w:tc>
        <w:tc>
          <w:tcPr>
            <w:tcW w:w="1140" w:type="dxa"/>
            <w:vAlign w:val="bottom"/>
            <w:tcBorders>
              <w:bottom w:val="single" w:sz="8" w:color="CFCFD2"/>
            </w:tcBorders>
          </w:tcPr>
          <w:p>
            <w:pPr>
              <w:spacing w:after="0" w:line="20" w:lineRule="exact"/>
              <w:rPr>
                <w:sz w:val="1"/>
                <w:szCs w:val="1"/>
                <w:color w:val="auto"/>
              </w:rPr>
            </w:pPr>
          </w:p>
        </w:tc>
        <w:tc>
          <w:tcPr>
            <w:tcW w:w="1100" w:type="dxa"/>
            <w:vAlign w:val="bottom"/>
            <w:tcBorders>
              <w:bottom w:val="single" w:sz="8" w:color="CFCFD2"/>
            </w:tcBorders>
          </w:tcPr>
          <w:p>
            <w:pPr>
              <w:spacing w:after="0" w:line="20" w:lineRule="exact"/>
              <w:rPr>
                <w:sz w:val="1"/>
                <w:szCs w:val="1"/>
                <w:color w:val="auto"/>
              </w:rPr>
            </w:pPr>
          </w:p>
        </w:tc>
        <w:tc>
          <w:tcPr>
            <w:tcW w:w="900" w:type="dxa"/>
            <w:vAlign w:val="bottom"/>
            <w:tcBorders>
              <w:bottom w:val="single" w:sz="8" w:color="CFCFD2"/>
            </w:tcBorders>
          </w:tcPr>
          <w:p>
            <w:pPr>
              <w:spacing w:after="0" w:line="20" w:lineRule="exact"/>
              <w:rPr>
                <w:sz w:val="1"/>
                <w:szCs w:val="1"/>
                <w:color w:val="auto"/>
              </w:rPr>
            </w:pPr>
          </w:p>
        </w:tc>
        <w:tc>
          <w:tcPr>
            <w:tcW w:w="940" w:type="dxa"/>
            <w:vAlign w:val="bottom"/>
            <w:tcBorders>
              <w:bottom w:val="single" w:sz="8" w:color="CFCFD2"/>
            </w:tcBorders>
          </w:tcPr>
          <w:p>
            <w:pPr>
              <w:spacing w:after="0" w:line="20" w:lineRule="exact"/>
              <w:rPr>
                <w:sz w:val="1"/>
                <w:szCs w:val="1"/>
                <w:color w:val="auto"/>
              </w:rPr>
            </w:pPr>
          </w:p>
        </w:tc>
        <w:tc>
          <w:tcPr>
            <w:tcW w:w="1120" w:type="dxa"/>
            <w:vAlign w:val="bottom"/>
            <w:tcBorders>
              <w:bottom w:val="single" w:sz="8" w:color="CFCFD2"/>
            </w:tcBorders>
          </w:tcPr>
          <w:p>
            <w:pPr>
              <w:spacing w:after="0" w:line="20" w:lineRule="exact"/>
              <w:rPr>
                <w:sz w:val="1"/>
                <w:szCs w:val="1"/>
                <w:color w:val="auto"/>
              </w:rPr>
            </w:pPr>
          </w:p>
        </w:tc>
        <w:tc>
          <w:tcPr>
            <w:tcW w:w="1380" w:type="dxa"/>
            <w:vAlign w:val="bottom"/>
            <w:tcBorders>
              <w:bottom w:val="single" w:sz="8" w:color="CFCFD2"/>
            </w:tcBorders>
          </w:tcPr>
          <w:p>
            <w:pPr>
              <w:spacing w:after="0" w:line="20" w:lineRule="exact"/>
              <w:rPr>
                <w:sz w:val="1"/>
                <w:szCs w:val="1"/>
                <w:color w:val="auto"/>
              </w:rPr>
            </w:pPr>
          </w:p>
        </w:tc>
      </w:tr>
      <w:tr>
        <w:trPr>
          <w:trHeight w:val="173"/>
        </w:trPr>
        <w:tc>
          <w:tcPr>
            <w:tcW w:w="1880" w:type="dxa"/>
            <w:vAlign w:val="bottom"/>
          </w:tcPr>
          <w:p>
            <w:pPr>
              <w:ind w:left="100"/>
              <w:spacing w:after="0"/>
              <w:rPr>
                <w:sz w:val="20"/>
                <w:szCs w:val="20"/>
                <w:color w:val="auto"/>
              </w:rPr>
            </w:pPr>
            <w:r>
              <w:rPr>
                <w:rFonts w:ascii="Arial" w:cs="Arial" w:eastAsia="Arial" w:hAnsi="Arial"/>
                <w:sz w:val="13"/>
                <w:szCs w:val="13"/>
                <w:b w:val="1"/>
                <w:bCs w:val="1"/>
                <w:color w:val="004AAC"/>
              </w:rPr>
              <w:t>Carrie W. Teffner</w:t>
            </w:r>
          </w:p>
        </w:tc>
        <w:tc>
          <w:tcPr>
            <w:tcW w:w="800" w:type="dxa"/>
            <w:vAlign w:val="bottom"/>
          </w:tcPr>
          <w:p>
            <w:pPr>
              <w:jc w:val="right"/>
              <w:spacing w:after="0"/>
              <w:rPr>
                <w:sz w:val="20"/>
                <w:szCs w:val="20"/>
                <w:color w:val="auto"/>
              </w:rPr>
            </w:pPr>
            <w:r>
              <w:rPr>
                <w:rFonts w:ascii="Arial" w:cs="Arial" w:eastAsia="Arial" w:hAnsi="Arial"/>
                <w:sz w:val="13"/>
                <w:szCs w:val="13"/>
                <w:color w:val="0E1020"/>
              </w:rPr>
              <w:t>100,000</w:t>
            </w:r>
          </w:p>
        </w:tc>
        <w:tc>
          <w:tcPr>
            <w:tcW w:w="940" w:type="dxa"/>
            <w:vAlign w:val="bottom"/>
          </w:tcPr>
          <w:p>
            <w:pPr>
              <w:jc w:val="right"/>
              <w:spacing w:after="0"/>
              <w:rPr>
                <w:sz w:val="20"/>
                <w:szCs w:val="20"/>
                <w:color w:val="auto"/>
              </w:rPr>
            </w:pPr>
            <w:r>
              <w:rPr>
                <w:rFonts w:ascii="Arial" w:cs="Arial" w:eastAsia="Arial" w:hAnsi="Arial"/>
                <w:sz w:val="13"/>
                <w:szCs w:val="13"/>
                <w:color w:val="0E1020"/>
              </w:rPr>
              <w:t>—</w:t>
            </w:r>
          </w:p>
        </w:tc>
        <w:tc>
          <w:tcPr>
            <w:tcW w:w="1040" w:type="dxa"/>
            <w:vAlign w:val="bottom"/>
          </w:tcPr>
          <w:p>
            <w:pPr>
              <w:jc w:val="right"/>
              <w:spacing w:after="0"/>
              <w:rPr>
                <w:sz w:val="20"/>
                <w:szCs w:val="20"/>
                <w:color w:val="auto"/>
              </w:rPr>
            </w:pPr>
            <w:r>
              <w:rPr>
                <w:rFonts w:ascii="Arial" w:cs="Arial" w:eastAsia="Arial" w:hAnsi="Arial"/>
                <w:sz w:val="13"/>
                <w:szCs w:val="13"/>
                <w:color w:val="0E1020"/>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0E1020"/>
              </w:rPr>
              <w:t>10,000</w:t>
            </w:r>
          </w:p>
        </w:tc>
        <w:tc>
          <w:tcPr>
            <w:tcW w:w="1100" w:type="dxa"/>
            <w:vAlign w:val="bottom"/>
          </w:tcPr>
          <w:p>
            <w:pPr>
              <w:jc w:val="right"/>
              <w:ind w:right="97"/>
              <w:spacing w:after="0"/>
              <w:rPr>
                <w:sz w:val="20"/>
                <w:szCs w:val="20"/>
                <w:color w:val="auto"/>
              </w:rPr>
            </w:pPr>
            <w:r>
              <w:rPr>
                <w:rFonts w:ascii="Arial" w:cs="Arial" w:eastAsia="Arial" w:hAnsi="Arial"/>
                <w:sz w:val="13"/>
                <w:szCs w:val="13"/>
                <w:color w:val="0E1020"/>
              </w:rPr>
              <w:t>—</w:t>
            </w:r>
          </w:p>
        </w:tc>
        <w:tc>
          <w:tcPr>
            <w:tcW w:w="900" w:type="dxa"/>
            <w:vAlign w:val="bottom"/>
          </w:tcPr>
          <w:p>
            <w:pPr>
              <w:jc w:val="right"/>
              <w:spacing w:after="0"/>
              <w:rPr>
                <w:sz w:val="20"/>
                <w:szCs w:val="20"/>
                <w:color w:val="auto"/>
              </w:rPr>
            </w:pPr>
            <w:r>
              <w:rPr>
                <w:rFonts w:ascii="Arial" w:cs="Arial" w:eastAsia="Arial" w:hAnsi="Arial"/>
                <w:sz w:val="13"/>
                <w:szCs w:val="13"/>
                <w:color w:val="0E1020"/>
              </w:rPr>
              <w:t>10,000</w:t>
            </w:r>
          </w:p>
        </w:tc>
        <w:tc>
          <w:tcPr>
            <w:tcW w:w="940" w:type="dxa"/>
            <w:vAlign w:val="bottom"/>
          </w:tcPr>
          <w:p>
            <w:pPr>
              <w:jc w:val="right"/>
              <w:spacing w:after="0"/>
              <w:rPr>
                <w:sz w:val="20"/>
                <w:szCs w:val="20"/>
                <w:color w:val="auto"/>
              </w:rPr>
            </w:pPr>
            <w:r>
              <w:rPr>
                <w:rFonts w:ascii="Arial" w:cs="Arial" w:eastAsia="Arial" w:hAnsi="Arial"/>
                <w:sz w:val="13"/>
                <w:szCs w:val="13"/>
                <w:color w:val="0E1020"/>
              </w:rPr>
              <w:t>120,000</w:t>
            </w:r>
          </w:p>
        </w:tc>
        <w:tc>
          <w:tcPr>
            <w:tcW w:w="1120" w:type="dxa"/>
            <w:vAlign w:val="bottom"/>
          </w:tcPr>
          <w:p>
            <w:pPr>
              <w:jc w:val="right"/>
              <w:spacing w:after="0"/>
              <w:rPr>
                <w:sz w:val="20"/>
                <w:szCs w:val="20"/>
                <w:color w:val="auto"/>
              </w:rPr>
            </w:pPr>
            <w:r>
              <w:rPr>
                <w:rFonts w:ascii="Arial" w:cs="Arial" w:eastAsia="Arial" w:hAnsi="Arial"/>
                <w:sz w:val="13"/>
                <w:szCs w:val="13"/>
                <w:color w:val="0E1020"/>
              </w:rPr>
              <w:t>239,463</w:t>
            </w:r>
          </w:p>
        </w:tc>
        <w:tc>
          <w:tcPr>
            <w:tcW w:w="1380" w:type="dxa"/>
            <w:vAlign w:val="bottom"/>
          </w:tcPr>
          <w:p>
            <w:pPr>
              <w:jc w:val="right"/>
              <w:ind w:right="97"/>
              <w:spacing w:after="0"/>
              <w:rPr>
                <w:sz w:val="20"/>
                <w:szCs w:val="20"/>
                <w:color w:val="auto"/>
              </w:rPr>
            </w:pPr>
            <w:r>
              <w:rPr>
                <w:rFonts w:ascii="Arial" w:cs="Arial" w:eastAsia="Arial" w:hAnsi="Arial"/>
                <w:sz w:val="13"/>
                <w:szCs w:val="13"/>
                <w:color w:val="0E1020"/>
              </w:rPr>
              <w:t>359,463</w:t>
            </w:r>
          </w:p>
        </w:tc>
      </w:tr>
      <w:tr>
        <w:trPr>
          <w:trHeight w:val="21"/>
        </w:trPr>
        <w:tc>
          <w:tcPr>
            <w:tcW w:w="1880" w:type="dxa"/>
            <w:vAlign w:val="bottom"/>
            <w:tcBorders>
              <w:bottom w:val="single" w:sz="8" w:color="CFCFD2"/>
            </w:tcBorders>
          </w:tcPr>
          <w:p>
            <w:pPr>
              <w:spacing w:after="0" w:line="20" w:lineRule="exact"/>
              <w:rPr>
                <w:sz w:val="1"/>
                <w:szCs w:val="1"/>
                <w:color w:val="auto"/>
              </w:rPr>
            </w:pPr>
          </w:p>
        </w:tc>
        <w:tc>
          <w:tcPr>
            <w:tcW w:w="800" w:type="dxa"/>
            <w:vAlign w:val="bottom"/>
            <w:tcBorders>
              <w:bottom w:val="single" w:sz="8" w:color="CFCFD2"/>
            </w:tcBorders>
          </w:tcPr>
          <w:p>
            <w:pPr>
              <w:spacing w:after="0" w:line="20" w:lineRule="exact"/>
              <w:rPr>
                <w:sz w:val="1"/>
                <w:szCs w:val="1"/>
                <w:color w:val="auto"/>
              </w:rPr>
            </w:pPr>
          </w:p>
        </w:tc>
        <w:tc>
          <w:tcPr>
            <w:tcW w:w="940" w:type="dxa"/>
            <w:vAlign w:val="bottom"/>
            <w:tcBorders>
              <w:bottom w:val="single" w:sz="8" w:color="CFCFD2"/>
            </w:tcBorders>
          </w:tcPr>
          <w:p>
            <w:pPr>
              <w:spacing w:after="0" w:line="20" w:lineRule="exact"/>
              <w:rPr>
                <w:sz w:val="1"/>
                <w:szCs w:val="1"/>
                <w:color w:val="auto"/>
              </w:rPr>
            </w:pPr>
          </w:p>
        </w:tc>
        <w:tc>
          <w:tcPr>
            <w:tcW w:w="1040" w:type="dxa"/>
            <w:vAlign w:val="bottom"/>
            <w:tcBorders>
              <w:bottom w:val="single" w:sz="8" w:color="CFCFD2"/>
            </w:tcBorders>
          </w:tcPr>
          <w:p>
            <w:pPr>
              <w:spacing w:after="0" w:line="20" w:lineRule="exact"/>
              <w:rPr>
                <w:sz w:val="1"/>
                <w:szCs w:val="1"/>
                <w:color w:val="auto"/>
              </w:rPr>
            </w:pPr>
          </w:p>
        </w:tc>
        <w:tc>
          <w:tcPr>
            <w:tcW w:w="1140" w:type="dxa"/>
            <w:vAlign w:val="bottom"/>
            <w:tcBorders>
              <w:bottom w:val="single" w:sz="8" w:color="CFCFD2"/>
            </w:tcBorders>
          </w:tcPr>
          <w:p>
            <w:pPr>
              <w:spacing w:after="0" w:line="20" w:lineRule="exact"/>
              <w:rPr>
                <w:sz w:val="1"/>
                <w:szCs w:val="1"/>
                <w:color w:val="auto"/>
              </w:rPr>
            </w:pPr>
          </w:p>
        </w:tc>
        <w:tc>
          <w:tcPr>
            <w:tcW w:w="1100" w:type="dxa"/>
            <w:vAlign w:val="bottom"/>
            <w:tcBorders>
              <w:bottom w:val="single" w:sz="8" w:color="CFCFD2"/>
            </w:tcBorders>
          </w:tcPr>
          <w:p>
            <w:pPr>
              <w:spacing w:after="0" w:line="20" w:lineRule="exact"/>
              <w:rPr>
                <w:sz w:val="1"/>
                <w:szCs w:val="1"/>
                <w:color w:val="auto"/>
              </w:rPr>
            </w:pPr>
          </w:p>
        </w:tc>
        <w:tc>
          <w:tcPr>
            <w:tcW w:w="900" w:type="dxa"/>
            <w:vAlign w:val="bottom"/>
            <w:tcBorders>
              <w:bottom w:val="single" w:sz="8" w:color="CFCFD2"/>
            </w:tcBorders>
          </w:tcPr>
          <w:p>
            <w:pPr>
              <w:spacing w:after="0" w:line="20" w:lineRule="exact"/>
              <w:rPr>
                <w:sz w:val="1"/>
                <w:szCs w:val="1"/>
                <w:color w:val="auto"/>
              </w:rPr>
            </w:pPr>
          </w:p>
        </w:tc>
        <w:tc>
          <w:tcPr>
            <w:tcW w:w="940" w:type="dxa"/>
            <w:vAlign w:val="bottom"/>
            <w:tcBorders>
              <w:bottom w:val="single" w:sz="8" w:color="CFCFD2"/>
            </w:tcBorders>
          </w:tcPr>
          <w:p>
            <w:pPr>
              <w:spacing w:after="0" w:line="20" w:lineRule="exact"/>
              <w:rPr>
                <w:sz w:val="1"/>
                <w:szCs w:val="1"/>
                <w:color w:val="auto"/>
              </w:rPr>
            </w:pPr>
          </w:p>
        </w:tc>
        <w:tc>
          <w:tcPr>
            <w:tcW w:w="1120" w:type="dxa"/>
            <w:vAlign w:val="bottom"/>
            <w:tcBorders>
              <w:bottom w:val="single" w:sz="8" w:color="CFCFD2"/>
            </w:tcBorders>
          </w:tcPr>
          <w:p>
            <w:pPr>
              <w:spacing w:after="0" w:line="20" w:lineRule="exact"/>
              <w:rPr>
                <w:sz w:val="1"/>
                <w:szCs w:val="1"/>
                <w:color w:val="auto"/>
              </w:rPr>
            </w:pPr>
          </w:p>
        </w:tc>
        <w:tc>
          <w:tcPr>
            <w:tcW w:w="1380" w:type="dxa"/>
            <w:vAlign w:val="bottom"/>
            <w:tcBorders>
              <w:bottom w:val="single" w:sz="8" w:color="CFCFD2"/>
            </w:tcBorders>
          </w:tcPr>
          <w:p>
            <w:pPr>
              <w:spacing w:after="0" w:line="20" w:lineRule="exact"/>
              <w:rPr>
                <w:sz w:val="1"/>
                <w:szCs w:val="1"/>
                <w:color w:val="auto"/>
              </w:rPr>
            </w:pPr>
          </w:p>
        </w:tc>
      </w:tr>
      <w:tr>
        <w:trPr>
          <w:trHeight w:val="173"/>
        </w:trPr>
        <w:tc>
          <w:tcPr>
            <w:tcW w:w="1880" w:type="dxa"/>
            <w:vAlign w:val="bottom"/>
          </w:tcPr>
          <w:p>
            <w:pPr>
              <w:ind w:left="100"/>
              <w:spacing w:after="0"/>
              <w:rPr>
                <w:sz w:val="20"/>
                <w:szCs w:val="20"/>
                <w:color w:val="auto"/>
              </w:rPr>
            </w:pPr>
            <w:r>
              <w:rPr>
                <w:rFonts w:ascii="Arial" w:cs="Arial" w:eastAsia="Arial" w:hAnsi="Arial"/>
                <w:sz w:val="13"/>
                <w:szCs w:val="13"/>
                <w:b w:val="1"/>
                <w:bCs w:val="1"/>
                <w:color w:val="004AAC"/>
              </w:rPr>
              <w:t>Akihiko Washington</w:t>
            </w:r>
          </w:p>
        </w:tc>
        <w:tc>
          <w:tcPr>
            <w:tcW w:w="800" w:type="dxa"/>
            <w:vAlign w:val="bottom"/>
          </w:tcPr>
          <w:p>
            <w:pPr>
              <w:jc w:val="right"/>
              <w:spacing w:after="0"/>
              <w:rPr>
                <w:sz w:val="20"/>
                <w:szCs w:val="20"/>
                <w:color w:val="auto"/>
              </w:rPr>
            </w:pPr>
            <w:r>
              <w:rPr>
                <w:rFonts w:ascii="Arial" w:cs="Arial" w:eastAsia="Arial" w:hAnsi="Arial"/>
                <w:sz w:val="13"/>
                <w:szCs w:val="13"/>
                <w:color w:val="0E1020"/>
              </w:rPr>
              <w:t>100,000</w:t>
            </w:r>
          </w:p>
        </w:tc>
        <w:tc>
          <w:tcPr>
            <w:tcW w:w="940" w:type="dxa"/>
            <w:vAlign w:val="bottom"/>
          </w:tcPr>
          <w:p>
            <w:pPr>
              <w:jc w:val="right"/>
              <w:spacing w:after="0"/>
              <w:rPr>
                <w:sz w:val="20"/>
                <w:szCs w:val="20"/>
                <w:color w:val="auto"/>
              </w:rPr>
            </w:pPr>
            <w:r>
              <w:rPr>
                <w:rFonts w:ascii="Arial" w:cs="Arial" w:eastAsia="Arial" w:hAnsi="Arial"/>
                <w:sz w:val="13"/>
                <w:szCs w:val="13"/>
                <w:color w:val="0E1020"/>
              </w:rPr>
              <w:t>—</w:t>
            </w:r>
          </w:p>
        </w:tc>
        <w:tc>
          <w:tcPr>
            <w:tcW w:w="1040" w:type="dxa"/>
            <w:vAlign w:val="bottom"/>
          </w:tcPr>
          <w:p>
            <w:pPr>
              <w:jc w:val="right"/>
              <w:spacing w:after="0"/>
              <w:rPr>
                <w:sz w:val="20"/>
                <w:szCs w:val="20"/>
                <w:color w:val="auto"/>
              </w:rPr>
            </w:pPr>
            <w:r>
              <w:rPr>
                <w:rFonts w:ascii="Arial" w:cs="Arial" w:eastAsia="Arial" w:hAnsi="Arial"/>
                <w:sz w:val="13"/>
                <w:szCs w:val="13"/>
                <w:color w:val="0E1020"/>
              </w:rPr>
              <w:t>25,000</w:t>
            </w:r>
          </w:p>
        </w:tc>
        <w:tc>
          <w:tcPr>
            <w:tcW w:w="1140" w:type="dxa"/>
            <w:vAlign w:val="bottom"/>
          </w:tcPr>
          <w:p>
            <w:pPr>
              <w:jc w:val="right"/>
              <w:ind w:right="57"/>
              <w:spacing w:after="0"/>
              <w:rPr>
                <w:sz w:val="20"/>
                <w:szCs w:val="20"/>
                <w:color w:val="auto"/>
              </w:rPr>
            </w:pPr>
            <w:r>
              <w:rPr>
                <w:rFonts w:ascii="Arial" w:cs="Arial" w:eastAsia="Arial" w:hAnsi="Arial"/>
                <w:sz w:val="13"/>
                <w:szCs w:val="13"/>
                <w:color w:val="0E1020"/>
              </w:rPr>
              <w:t>10,000</w:t>
            </w:r>
          </w:p>
        </w:tc>
        <w:tc>
          <w:tcPr>
            <w:tcW w:w="1100" w:type="dxa"/>
            <w:vAlign w:val="bottom"/>
          </w:tcPr>
          <w:p>
            <w:pPr>
              <w:jc w:val="right"/>
              <w:ind w:right="97"/>
              <w:spacing w:after="0"/>
              <w:rPr>
                <w:sz w:val="20"/>
                <w:szCs w:val="20"/>
                <w:color w:val="auto"/>
              </w:rPr>
            </w:pPr>
            <w:r>
              <w:rPr>
                <w:rFonts w:ascii="Arial" w:cs="Arial" w:eastAsia="Arial" w:hAnsi="Arial"/>
                <w:sz w:val="13"/>
                <w:szCs w:val="13"/>
                <w:color w:val="0E1020"/>
              </w:rPr>
              <w:t>—</w:t>
            </w:r>
          </w:p>
        </w:tc>
        <w:tc>
          <w:tcPr>
            <w:tcW w:w="900" w:type="dxa"/>
            <w:vAlign w:val="bottom"/>
          </w:tcPr>
          <w:p>
            <w:pPr>
              <w:jc w:val="right"/>
              <w:spacing w:after="0"/>
              <w:rPr>
                <w:sz w:val="20"/>
                <w:szCs w:val="20"/>
                <w:color w:val="auto"/>
              </w:rPr>
            </w:pPr>
            <w:r>
              <w:rPr>
                <w:rFonts w:ascii="Arial" w:cs="Arial" w:eastAsia="Arial" w:hAnsi="Arial"/>
                <w:sz w:val="13"/>
                <w:szCs w:val="13"/>
                <w:color w:val="0E1020"/>
              </w:rPr>
              <w:t>10,000</w:t>
            </w:r>
          </w:p>
        </w:tc>
        <w:tc>
          <w:tcPr>
            <w:tcW w:w="940" w:type="dxa"/>
            <w:vAlign w:val="bottom"/>
          </w:tcPr>
          <w:p>
            <w:pPr>
              <w:jc w:val="right"/>
              <w:spacing w:after="0"/>
              <w:rPr>
                <w:sz w:val="20"/>
                <w:szCs w:val="20"/>
                <w:color w:val="auto"/>
              </w:rPr>
            </w:pPr>
            <w:r>
              <w:rPr>
                <w:rFonts w:ascii="Arial" w:cs="Arial" w:eastAsia="Arial" w:hAnsi="Arial"/>
                <w:sz w:val="13"/>
                <w:szCs w:val="13"/>
                <w:color w:val="0E1020"/>
              </w:rPr>
              <w:t>145,000</w:t>
            </w:r>
          </w:p>
        </w:tc>
        <w:tc>
          <w:tcPr>
            <w:tcW w:w="1120" w:type="dxa"/>
            <w:vAlign w:val="bottom"/>
          </w:tcPr>
          <w:p>
            <w:pPr>
              <w:jc w:val="right"/>
              <w:spacing w:after="0"/>
              <w:rPr>
                <w:sz w:val="20"/>
                <w:szCs w:val="20"/>
                <w:color w:val="auto"/>
              </w:rPr>
            </w:pPr>
            <w:r>
              <w:rPr>
                <w:rFonts w:ascii="Arial" w:cs="Arial" w:eastAsia="Arial" w:hAnsi="Arial"/>
                <w:sz w:val="13"/>
                <w:szCs w:val="13"/>
                <w:color w:val="0E1020"/>
              </w:rPr>
              <w:t>239,463</w:t>
            </w:r>
          </w:p>
        </w:tc>
        <w:tc>
          <w:tcPr>
            <w:tcW w:w="1380" w:type="dxa"/>
            <w:vAlign w:val="bottom"/>
          </w:tcPr>
          <w:p>
            <w:pPr>
              <w:jc w:val="right"/>
              <w:ind w:right="97"/>
              <w:spacing w:after="0"/>
              <w:rPr>
                <w:sz w:val="20"/>
                <w:szCs w:val="20"/>
                <w:color w:val="auto"/>
              </w:rPr>
            </w:pPr>
            <w:r>
              <w:rPr>
                <w:rFonts w:ascii="Arial" w:cs="Arial" w:eastAsia="Arial" w:hAnsi="Arial"/>
                <w:sz w:val="13"/>
                <w:szCs w:val="13"/>
                <w:color w:val="0E1020"/>
              </w:rPr>
              <w:t>384,463</w:t>
            </w:r>
          </w:p>
        </w:tc>
      </w:tr>
      <w:tr>
        <w:trPr>
          <w:trHeight w:val="21"/>
        </w:trPr>
        <w:tc>
          <w:tcPr>
            <w:tcW w:w="1880" w:type="dxa"/>
            <w:vAlign w:val="bottom"/>
            <w:tcBorders>
              <w:bottom w:val="single" w:sz="8" w:color="CFCFD2"/>
            </w:tcBorders>
          </w:tcPr>
          <w:p>
            <w:pPr>
              <w:spacing w:after="0" w:line="20" w:lineRule="exact"/>
              <w:rPr>
                <w:sz w:val="1"/>
                <w:szCs w:val="1"/>
                <w:color w:val="auto"/>
              </w:rPr>
            </w:pPr>
          </w:p>
        </w:tc>
        <w:tc>
          <w:tcPr>
            <w:tcW w:w="800" w:type="dxa"/>
            <w:vAlign w:val="bottom"/>
            <w:tcBorders>
              <w:bottom w:val="single" w:sz="8" w:color="CFCFD2"/>
            </w:tcBorders>
          </w:tcPr>
          <w:p>
            <w:pPr>
              <w:spacing w:after="0" w:line="20" w:lineRule="exact"/>
              <w:rPr>
                <w:sz w:val="1"/>
                <w:szCs w:val="1"/>
                <w:color w:val="auto"/>
              </w:rPr>
            </w:pPr>
          </w:p>
        </w:tc>
        <w:tc>
          <w:tcPr>
            <w:tcW w:w="940" w:type="dxa"/>
            <w:vAlign w:val="bottom"/>
            <w:tcBorders>
              <w:bottom w:val="single" w:sz="8" w:color="CFCFD2"/>
            </w:tcBorders>
          </w:tcPr>
          <w:p>
            <w:pPr>
              <w:spacing w:after="0" w:line="20" w:lineRule="exact"/>
              <w:rPr>
                <w:sz w:val="1"/>
                <w:szCs w:val="1"/>
                <w:color w:val="auto"/>
              </w:rPr>
            </w:pPr>
          </w:p>
        </w:tc>
        <w:tc>
          <w:tcPr>
            <w:tcW w:w="1040" w:type="dxa"/>
            <w:vAlign w:val="bottom"/>
            <w:tcBorders>
              <w:bottom w:val="single" w:sz="8" w:color="CFCFD2"/>
            </w:tcBorders>
          </w:tcPr>
          <w:p>
            <w:pPr>
              <w:spacing w:after="0" w:line="20" w:lineRule="exact"/>
              <w:rPr>
                <w:sz w:val="1"/>
                <w:szCs w:val="1"/>
                <w:color w:val="auto"/>
              </w:rPr>
            </w:pPr>
          </w:p>
        </w:tc>
        <w:tc>
          <w:tcPr>
            <w:tcW w:w="1140" w:type="dxa"/>
            <w:vAlign w:val="bottom"/>
            <w:tcBorders>
              <w:bottom w:val="single" w:sz="8" w:color="CFCFD2"/>
            </w:tcBorders>
          </w:tcPr>
          <w:p>
            <w:pPr>
              <w:spacing w:after="0" w:line="20" w:lineRule="exact"/>
              <w:rPr>
                <w:sz w:val="1"/>
                <w:szCs w:val="1"/>
                <w:color w:val="auto"/>
              </w:rPr>
            </w:pPr>
          </w:p>
        </w:tc>
        <w:tc>
          <w:tcPr>
            <w:tcW w:w="1100" w:type="dxa"/>
            <w:vAlign w:val="bottom"/>
            <w:tcBorders>
              <w:bottom w:val="single" w:sz="8" w:color="CFCFD2"/>
            </w:tcBorders>
          </w:tcPr>
          <w:p>
            <w:pPr>
              <w:spacing w:after="0" w:line="20" w:lineRule="exact"/>
              <w:rPr>
                <w:sz w:val="1"/>
                <w:szCs w:val="1"/>
                <w:color w:val="auto"/>
              </w:rPr>
            </w:pPr>
          </w:p>
        </w:tc>
        <w:tc>
          <w:tcPr>
            <w:tcW w:w="900" w:type="dxa"/>
            <w:vAlign w:val="bottom"/>
            <w:tcBorders>
              <w:bottom w:val="single" w:sz="8" w:color="CFCFD2"/>
            </w:tcBorders>
          </w:tcPr>
          <w:p>
            <w:pPr>
              <w:spacing w:after="0" w:line="20" w:lineRule="exact"/>
              <w:rPr>
                <w:sz w:val="1"/>
                <w:szCs w:val="1"/>
                <w:color w:val="auto"/>
              </w:rPr>
            </w:pPr>
          </w:p>
        </w:tc>
        <w:tc>
          <w:tcPr>
            <w:tcW w:w="940" w:type="dxa"/>
            <w:vAlign w:val="bottom"/>
            <w:tcBorders>
              <w:bottom w:val="single" w:sz="8" w:color="CFCFD2"/>
            </w:tcBorders>
          </w:tcPr>
          <w:p>
            <w:pPr>
              <w:spacing w:after="0" w:line="20" w:lineRule="exact"/>
              <w:rPr>
                <w:sz w:val="1"/>
                <w:szCs w:val="1"/>
                <w:color w:val="auto"/>
              </w:rPr>
            </w:pPr>
          </w:p>
        </w:tc>
        <w:tc>
          <w:tcPr>
            <w:tcW w:w="1120" w:type="dxa"/>
            <w:vAlign w:val="bottom"/>
            <w:tcBorders>
              <w:bottom w:val="single" w:sz="8" w:color="CFCFD2"/>
            </w:tcBorders>
          </w:tcPr>
          <w:p>
            <w:pPr>
              <w:spacing w:after="0" w:line="20" w:lineRule="exact"/>
              <w:rPr>
                <w:sz w:val="1"/>
                <w:szCs w:val="1"/>
                <w:color w:val="auto"/>
              </w:rPr>
            </w:pPr>
          </w:p>
        </w:tc>
        <w:tc>
          <w:tcPr>
            <w:tcW w:w="1380" w:type="dxa"/>
            <w:vAlign w:val="bottom"/>
            <w:tcBorders>
              <w:bottom w:val="single" w:sz="8" w:color="CFCFD2"/>
            </w:tcBorders>
          </w:tcPr>
          <w:p>
            <w:pPr>
              <w:spacing w:after="0" w:line="20" w:lineRule="exact"/>
              <w:rPr>
                <w:sz w:val="1"/>
                <w:szCs w:val="1"/>
                <w:color w:val="auto"/>
              </w:rPr>
            </w:pPr>
          </w:p>
        </w:tc>
      </w:tr>
      <w:tr>
        <w:trPr>
          <w:trHeight w:val="173"/>
        </w:trPr>
        <w:tc>
          <w:tcPr>
            <w:tcW w:w="1880" w:type="dxa"/>
            <w:vAlign w:val="bottom"/>
          </w:tcPr>
          <w:p>
            <w:pPr>
              <w:ind w:left="100"/>
              <w:spacing w:after="0"/>
              <w:rPr>
                <w:sz w:val="20"/>
                <w:szCs w:val="20"/>
                <w:color w:val="auto"/>
              </w:rPr>
            </w:pPr>
            <w:r>
              <w:rPr>
                <w:rFonts w:ascii="Arial" w:cs="Arial" w:eastAsia="Arial" w:hAnsi="Arial"/>
                <w:sz w:val="13"/>
                <w:szCs w:val="13"/>
                <w:b w:val="1"/>
                <w:bCs w:val="1"/>
                <w:color w:val="004AAC"/>
              </w:rPr>
              <w:t>Robert F. Woods</w:t>
            </w:r>
          </w:p>
        </w:tc>
        <w:tc>
          <w:tcPr>
            <w:tcW w:w="800" w:type="dxa"/>
            <w:vAlign w:val="bottom"/>
          </w:tcPr>
          <w:p>
            <w:pPr>
              <w:jc w:val="right"/>
              <w:spacing w:after="0"/>
              <w:rPr>
                <w:sz w:val="20"/>
                <w:szCs w:val="20"/>
                <w:color w:val="auto"/>
              </w:rPr>
            </w:pPr>
            <w:r>
              <w:rPr>
                <w:rFonts w:ascii="Arial" w:cs="Arial" w:eastAsia="Arial" w:hAnsi="Arial"/>
                <w:sz w:val="13"/>
                <w:szCs w:val="13"/>
                <w:color w:val="0E1020"/>
              </w:rPr>
              <w:t>100,000</w:t>
            </w:r>
          </w:p>
        </w:tc>
        <w:tc>
          <w:tcPr>
            <w:tcW w:w="940" w:type="dxa"/>
            <w:vAlign w:val="bottom"/>
          </w:tcPr>
          <w:p>
            <w:pPr>
              <w:jc w:val="right"/>
              <w:spacing w:after="0"/>
              <w:rPr>
                <w:sz w:val="20"/>
                <w:szCs w:val="20"/>
                <w:color w:val="auto"/>
              </w:rPr>
            </w:pPr>
            <w:r>
              <w:rPr>
                <w:rFonts w:ascii="Arial" w:cs="Arial" w:eastAsia="Arial" w:hAnsi="Arial"/>
                <w:sz w:val="13"/>
                <w:szCs w:val="13"/>
                <w:color w:val="0E1020"/>
              </w:rPr>
              <w:t>—</w:t>
            </w:r>
          </w:p>
        </w:tc>
        <w:tc>
          <w:tcPr>
            <w:tcW w:w="1040" w:type="dxa"/>
            <w:vAlign w:val="bottom"/>
          </w:tcPr>
          <w:p>
            <w:pPr>
              <w:jc w:val="right"/>
              <w:spacing w:after="0"/>
              <w:rPr>
                <w:sz w:val="20"/>
                <w:szCs w:val="20"/>
                <w:color w:val="auto"/>
              </w:rPr>
            </w:pPr>
            <w:r>
              <w:rPr>
                <w:rFonts w:ascii="Arial" w:cs="Arial" w:eastAsia="Arial" w:hAnsi="Arial"/>
                <w:sz w:val="13"/>
                <w:szCs w:val="13"/>
                <w:color w:val="0E1020"/>
              </w:rPr>
              <w:t>35,000</w:t>
            </w:r>
          </w:p>
        </w:tc>
        <w:tc>
          <w:tcPr>
            <w:tcW w:w="1140" w:type="dxa"/>
            <w:vAlign w:val="bottom"/>
          </w:tcPr>
          <w:p>
            <w:pPr>
              <w:jc w:val="right"/>
              <w:ind w:right="57"/>
              <w:spacing w:after="0"/>
              <w:rPr>
                <w:sz w:val="20"/>
                <w:szCs w:val="20"/>
                <w:color w:val="auto"/>
              </w:rPr>
            </w:pPr>
            <w:r>
              <w:rPr>
                <w:rFonts w:ascii="Arial" w:cs="Arial" w:eastAsia="Arial" w:hAnsi="Arial"/>
                <w:sz w:val="13"/>
                <w:szCs w:val="13"/>
                <w:color w:val="0E1020"/>
              </w:rPr>
              <w:t>10,000</w:t>
            </w:r>
          </w:p>
        </w:tc>
        <w:tc>
          <w:tcPr>
            <w:tcW w:w="1100" w:type="dxa"/>
            <w:vAlign w:val="bottom"/>
          </w:tcPr>
          <w:p>
            <w:pPr>
              <w:jc w:val="right"/>
              <w:ind w:right="97"/>
              <w:spacing w:after="0"/>
              <w:rPr>
                <w:sz w:val="20"/>
                <w:szCs w:val="20"/>
                <w:color w:val="auto"/>
              </w:rPr>
            </w:pPr>
            <w:r>
              <w:rPr>
                <w:rFonts w:ascii="Arial" w:cs="Arial" w:eastAsia="Arial" w:hAnsi="Arial"/>
                <w:sz w:val="13"/>
                <w:szCs w:val="13"/>
                <w:color w:val="0E1020"/>
              </w:rPr>
              <w:t>—</w:t>
            </w:r>
          </w:p>
        </w:tc>
        <w:tc>
          <w:tcPr>
            <w:tcW w:w="900" w:type="dxa"/>
            <w:vAlign w:val="bottom"/>
          </w:tcPr>
          <w:p>
            <w:pPr>
              <w:jc w:val="right"/>
              <w:spacing w:after="0"/>
              <w:rPr>
                <w:sz w:val="20"/>
                <w:szCs w:val="20"/>
                <w:color w:val="auto"/>
              </w:rPr>
            </w:pPr>
            <w:r>
              <w:rPr>
                <w:rFonts w:ascii="Arial" w:cs="Arial" w:eastAsia="Arial" w:hAnsi="Arial"/>
                <w:sz w:val="13"/>
                <w:szCs w:val="13"/>
                <w:color w:val="0E1020"/>
              </w:rPr>
              <w:t>10,000</w:t>
            </w:r>
          </w:p>
        </w:tc>
        <w:tc>
          <w:tcPr>
            <w:tcW w:w="940" w:type="dxa"/>
            <w:vAlign w:val="bottom"/>
          </w:tcPr>
          <w:p>
            <w:pPr>
              <w:jc w:val="right"/>
              <w:spacing w:after="0"/>
              <w:rPr>
                <w:sz w:val="20"/>
                <w:szCs w:val="20"/>
                <w:color w:val="auto"/>
              </w:rPr>
            </w:pPr>
            <w:r>
              <w:rPr>
                <w:rFonts w:ascii="Arial" w:cs="Arial" w:eastAsia="Arial" w:hAnsi="Arial"/>
                <w:sz w:val="13"/>
                <w:szCs w:val="13"/>
                <w:color w:val="0E1020"/>
              </w:rPr>
              <w:t>155,000</w:t>
            </w:r>
          </w:p>
        </w:tc>
        <w:tc>
          <w:tcPr>
            <w:tcW w:w="1120" w:type="dxa"/>
            <w:vAlign w:val="bottom"/>
          </w:tcPr>
          <w:p>
            <w:pPr>
              <w:jc w:val="right"/>
              <w:spacing w:after="0"/>
              <w:rPr>
                <w:sz w:val="20"/>
                <w:szCs w:val="20"/>
                <w:color w:val="auto"/>
              </w:rPr>
            </w:pPr>
            <w:r>
              <w:rPr>
                <w:rFonts w:ascii="Arial" w:cs="Arial" w:eastAsia="Arial" w:hAnsi="Arial"/>
                <w:sz w:val="13"/>
                <w:szCs w:val="13"/>
                <w:color w:val="0E1020"/>
              </w:rPr>
              <w:t>239,463</w:t>
            </w:r>
          </w:p>
        </w:tc>
        <w:tc>
          <w:tcPr>
            <w:tcW w:w="1380" w:type="dxa"/>
            <w:vAlign w:val="bottom"/>
          </w:tcPr>
          <w:p>
            <w:pPr>
              <w:jc w:val="right"/>
              <w:ind w:right="97"/>
              <w:spacing w:after="0"/>
              <w:rPr>
                <w:sz w:val="20"/>
                <w:szCs w:val="20"/>
                <w:color w:val="auto"/>
              </w:rPr>
            </w:pPr>
            <w:r>
              <w:rPr>
                <w:rFonts w:ascii="Arial" w:cs="Arial" w:eastAsia="Arial" w:hAnsi="Arial"/>
                <w:sz w:val="13"/>
                <w:szCs w:val="13"/>
                <w:color w:val="0E1020"/>
              </w:rPr>
              <w:t>394,463</w:t>
            </w:r>
          </w:p>
        </w:tc>
      </w:tr>
      <w:tr>
        <w:trPr>
          <w:trHeight w:val="21"/>
        </w:trPr>
        <w:tc>
          <w:tcPr>
            <w:tcW w:w="1880" w:type="dxa"/>
            <w:vAlign w:val="bottom"/>
            <w:tcBorders>
              <w:bottom w:val="single" w:sz="8" w:color="CFCFD2"/>
            </w:tcBorders>
          </w:tcPr>
          <w:p>
            <w:pPr>
              <w:spacing w:after="0" w:line="20" w:lineRule="exact"/>
              <w:rPr>
                <w:sz w:val="1"/>
                <w:szCs w:val="1"/>
                <w:color w:val="auto"/>
              </w:rPr>
            </w:pPr>
          </w:p>
        </w:tc>
        <w:tc>
          <w:tcPr>
            <w:tcW w:w="800" w:type="dxa"/>
            <w:vAlign w:val="bottom"/>
            <w:tcBorders>
              <w:bottom w:val="single" w:sz="8" w:color="CFCFD2"/>
            </w:tcBorders>
          </w:tcPr>
          <w:p>
            <w:pPr>
              <w:spacing w:after="0" w:line="20" w:lineRule="exact"/>
              <w:rPr>
                <w:sz w:val="1"/>
                <w:szCs w:val="1"/>
                <w:color w:val="auto"/>
              </w:rPr>
            </w:pPr>
          </w:p>
        </w:tc>
        <w:tc>
          <w:tcPr>
            <w:tcW w:w="940" w:type="dxa"/>
            <w:vAlign w:val="bottom"/>
            <w:tcBorders>
              <w:bottom w:val="single" w:sz="8" w:color="CFCFD2"/>
            </w:tcBorders>
          </w:tcPr>
          <w:p>
            <w:pPr>
              <w:spacing w:after="0" w:line="20" w:lineRule="exact"/>
              <w:rPr>
                <w:sz w:val="1"/>
                <w:szCs w:val="1"/>
                <w:color w:val="auto"/>
              </w:rPr>
            </w:pPr>
          </w:p>
        </w:tc>
        <w:tc>
          <w:tcPr>
            <w:tcW w:w="1040" w:type="dxa"/>
            <w:vAlign w:val="bottom"/>
            <w:tcBorders>
              <w:bottom w:val="single" w:sz="8" w:color="CFCFD2"/>
            </w:tcBorders>
          </w:tcPr>
          <w:p>
            <w:pPr>
              <w:spacing w:after="0" w:line="20" w:lineRule="exact"/>
              <w:rPr>
                <w:sz w:val="1"/>
                <w:szCs w:val="1"/>
                <w:color w:val="auto"/>
              </w:rPr>
            </w:pPr>
          </w:p>
        </w:tc>
        <w:tc>
          <w:tcPr>
            <w:tcW w:w="1140" w:type="dxa"/>
            <w:vAlign w:val="bottom"/>
            <w:tcBorders>
              <w:bottom w:val="single" w:sz="8" w:color="CFCFD2"/>
            </w:tcBorders>
          </w:tcPr>
          <w:p>
            <w:pPr>
              <w:spacing w:after="0" w:line="20" w:lineRule="exact"/>
              <w:rPr>
                <w:sz w:val="1"/>
                <w:szCs w:val="1"/>
                <w:color w:val="auto"/>
              </w:rPr>
            </w:pPr>
          </w:p>
        </w:tc>
        <w:tc>
          <w:tcPr>
            <w:tcW w:w="1100" w:type="dxa"/>
            <w:vAlign w:val="bottom"/>
            <w:tcBorders>
              <w:bottom w:val="single" w:sz="8" w:color="CFCFD2"/>
            </w:tcBorders>
          </w:tcPr>
          <w:p>
            <w:pPr>
              <w:spacing w:after="0" w:line="20" w:lineRule="exact"/>
              <w:rPr>
                <w:sz w:val="1"/>
                <w:szCs w:val="1"/>
                <w:color w:val="auto"/>
              </w:rPr>
            </w:pPr>
          </w:p>
        </w:tc>
        <w:tc>
          <w:tcPr>
            <w:tcW w:w="900" w:type="dxa"/>
            <w:vAlign w:val="bottom"/>
            <w:tcBorders>
              <w:bottom w:val="single" w:sz="8" w:color="CFCFD2"/>
            </w:tcBorders>
          </w:tcPr>
          <w:p>
            <w:pPr>
              <w:spacing w:after="0" w:line="20" w:lineRule="exact"/>
              <w:rPr>
                <w:sz w:val="1"/>
                <w:szCs w:val="1"/>
                <w:color w:val="auto"/>
              </w:rPr>
            </w:pPr>
          </w:p>
        </w:tc>
        <w:tc>
          <w:tcPr>
            <w:tcW w:w="940" w:type="dxa"/>
            <w:vAlign w:val="bottom"/>
            <w:tcBorders>
              <w:bottom w:val="single" w:sz="8" w:color="CFCFD2"/>
            </w:tcBorders>
          </w:tcPr>
          <w:p>
            <w:pPr>
              <w:spacing w:after="0" w:line="20" w:lineRule="exact"/>
              <w:rPr>
                <w:sz w:val="1"/>
                <w:szCs w:val="1"/>
                <w:color w:val="auto"/>
              </w:rPr>
            </w:pPr>
          </w:p>
        </w:tc>
        <w:tc>
          <w:tcPr>
            <w:tcW w:w="1120" w:type="dxa"/>
            <w:vAlign w:val="bottom"/>
            <w:tcBorders>
              <w:bottom w:val="single" w:sz="8" w:color="CFCFD2"/>
            </w:tcBorders>
          </w:tcPr>
          <w:p>
            <w:pPr>
              <w:spacing w:after="0" w:line="20" w:lineRule="exact"/>
              <w:rPr>
                <w:sz w:val="1"/>
                <w:szCs w:val="1"/>
                <w:color w:val="auto"/>
              </w:rPr>
            </w:pPr>
          </w:p>
        </w:tc>
        <w:tc>
          <w:tcPr>
            <w:tcW w:w="1380" w:type="dxa"/>
            <w:vAlign w:val="bottom"/>
            <w:tcBorders>
              <w:bottom w:val="single" w:sz="8" w:color="CFCFD2"/>
            </w:tcBorders>
          </w:tcPr>
          <w:p>
            <w:pPr>
              <w:spacing w:after="0" w:line="20" w:lineRule="exact"/>
              <w:rPr>
                <w:sz w:val="1"/>
                <w:szCs w:val="1"/>
                <w:color w:val="auto"/>
              </w:rPr>
            </w:pPr>
          </w:p>
        </w:tc>
      </w:tr>
    </w:tbl>
    <w:p>
      <w:pPr>
        <w:spacing w:after="0" w:line="178" w:lineRule="exact"/>
        <w:rPr>
          <w:sz w:val="20"/>
          <w:szCs w:val="20"/>
          <w:color w:val="auto"/>
        </w:rPr>
      </w:pPr>
    </w:p>
    <w:p>
      <w:pPr>
        <w:ind w:left="500" w:hanging="332"/>
        <w:spacing w:after="0"/>
        <w:tabs>
          <w:tab w:leader="none" w:pos="500" w:val="left"/>
        </w:tabs>
        <w:numPr>
          <w:ilvl w:val="0"/>
          <w:numId w:val="46"/>
        </w:numPr>
        <w:rPr>
          <w:rFonts w:ascii="Arial" w:cs="Arial" w:eastAsia="Arial" w:hAnsi="Arial"/>
          <w:sz w:val="14"/>
          <w:szCs w:val="14"/>
          <w:color w:val="0E1020"/>
        </w:rPr>
      </w:pPr>
      <w:r>
        <w:rPr>
          <w:rFonts w:ascii="Arial" w:cs="Arial" w:eastAsia="Arial" w:hAnsi="Arial"/>
          <w:sz w:val="14"/>
          <w:szCs w:val="14"/>
          <w:color w:val="0E1020"/>
        </w:rPr>
        <w:t>Column (b) reflects the sum total of all cash compensation earned during fiscal 2026, whether or not payment was deferred pursuant to the Deferred Compensation Plan.</w:t>
      </w:r>
    </w:p>
    <w:p>
      <w:pPr>
        <w:spacing w:after="0" w:line="66" w:lineRule="exact"/>
        <w:rPr>
          <w:rFonts w:ascii="Arial" w:cs="Arial" w:eastAsia="Arial" w:hAnsi="Arial"/>
          <w:sz w:val="14"/>
          <w:szCs w:val="14"/>
          <w:color w:val="0E1020"/>
        </w:rPr>
      </w:pPr>
    </w:p>
    <w:p>
      <w:pPr>
        <w:ind w:left="460" w:hanging="292"/>
        <w:spacing w:after="0"/>
        <w:tabs>
          <w:tab w:leader="none" w:pos="460" w:val="left"/>
        </w:tabs>
        <w:numPr>
          <w:ilvl w:val="0"/>
          <w:numId w:val="46"/>
        </w:numPr>
        <w:rPr>
          <w:rFonts w:ascii="Arial" w:cs="Arial" w:eastAsia="Arial" w:hAnsi="Arial"/>
          <w:sz w:val="14"/>
          <w:szCs w:val="14"/>
          <w:color w:val="0E1020"/>
        </w:rPr>
      </w:pPr>
      <w:r>
        <w:rPr>
          <w:rFonts w:ascii="Arial" w:cs="Arial" w:eastAsia="Arial" w:hAnsi="Arial"/>
          <w:sz w:val="14"/>
          <w:szCs w:val="14"/>
          <w:color w:val="0E1020"/>
        </w:rPr>
        <w:t>Other than the Chairman of the Board, each director serving as a non-employee director of DXC as of the close of DXC’s 2025 Annual Meeting of Stockholders on</w:t>
      </w:r>
    </w:p>
    <w:p>
      <w:pPr>
        <w:spacing w:after="0" w:line="27" w:lineRule="exact"/>
        <w:rPr>
          <w:sz w:val="20"/>
          <w:szCs w:val="20"/>
          <w:color w:val="auto"/>
        </w:rPr>
      </w:pPr>
    </w:p>
    <w:p>
      <w:pPr>
        <w:ind w:left="480" w:right="60"/>
        <w:spacing w:after="0" w:line="260" w:lineRule="auto"/>
        <w:rPr>
          <w:sz w:val="20"/>
          <w:szCs w:val="20"/>
          <w:color w:val="auto"/>
        </w:rPr>
      </w:pPr>
      <w:r>
        <w:rPr>
          <w:rFonts w:ascii="Arial" w:cs="Arial" w:eastAsia="Arial" w:hAnsi="Arial"/>
          <w:sz w:val="14"/>
          <w:szCs w:val="14"/>
          <w:color w:val="0E1020"/>
        </w:rPr>
        <w:t>July 22, 2025, received 18,100 RSUs determined by (i) dividing $240,000 by the closing price of our common stock on the New York Stock Exchange on the grant date of August 5, 2025 ($13.23), and (ii) rounding the result to the nearest multiple of 100. The RSUs are scheduled to vest in full on the date of DXC’s 2026 annual meeting (July 21, 2026). The Chairman of the Board received 25,700 RSUs determined by (i) dividing $340,000 by the closing price of our common stock on the New York Stock Exchange on the grant date of August 5, 2025 ($13.23), and (ii) rounding the result to the nearest multiple of 100. The RSUs are scheduled to vest in full on the date of DXC’s 2026 annual meeting (July 21, 2026).</w:t>
      </w:r>
    </w:p>
    <w:p>
      <w:pPr>
        <w:spacing w:after="0" w:line="26" w:lineRule="exact"/>
        <w:rPr>
          <w:sz w:val="20"/>
          <w:szCs w:val="20"/>
          <w:color w:val="auto"/>
        </w:rPr>
      </w:pPr>
    </w:p>
    <w:p>
      <w:pPr>
        <w:ind w:left="480" w:right="120"/>
        <w:spacing w:after="0" w:line="267" w:lineRule="auto"/>
        <w:rPr>
          <w:sz w:val="20"/>
          <w:szCs w:val="20"/>
          <w:color w:val="auto"/>
        </w:rPr>
      </w:pPr>
      <w:r>
        <w:rPr>
          <w:rFonts w:ascii="Arial" w:cs="Arial" w:eastAsia="Arial" w:hAnsi="Arial"/>
          <w:sz w:val="14"/>
          <w:szCs w:val="14"/>
          <w:color w:val="0E1020"/>
        </w:rPr>
        <w:t>Column (c) reflects the grant date fair value computed in accordance with Financial Accounting Standards Board Accounting Standards Codification Topic 718 – Compensation – Stock Compensation (FASB ASC Topic 718) in connection with the RSUs granted during fiscal 2026. For a discussion of the assumptions made in the valuation of RSUs, reference is made to the section of Notes 1 and 16 to the Consolidated Financial Statements in DXC’s Annual Report filed on Form 10-K for the fiscal year ended March 31, 2026, providing details of DXC’s accounting under FASB ASC Topic 718.</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51</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59" w:name="page60"/>
    <w:bookmarkEnd w:id="59"/>
    <w:p>
      <w:pPr>
        <w:spacing w:after="0"/>
        <w:tabs>
          <w:tab w:leader="none" w:pos="10080" w:val="left"/>
        </w:tabs>
        <w:rPr>
          <w:sz w:val="20"/>
          <w:szCs w:val="20"/>
          <w:color w:val="auto"/>
        </w:rPr>
      </w:pPr>
      <w:r>
        <w:rPr>
          <w:rFonts w:ascii="Arial" w:cs="Arial" w:eastAsia="Arial" w:hAnsi="Arial"/>
          <w:sz w:val="14"/>
          <w:szCs w:val="14"/>
          <w:color w:val="auto"/>
        </w:rPr>
        <w:t>Director Compensation</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60"/>
        <w:spacing w:after="0"/>
        <w:rPr>
          <w:sz w:val="20"/>
          <w:szCs w:val="20"/>
          <w:color w:val="auto"/>
        </w:rPr>
      </w:pPr>
      <w:r>
        <w:rPr>
          <w:rFonts w:ascii="Arial" w:cs="Arial" w:eastAsia="Arial" w:hAnsi="Arial"/>
          <w:sz w:val="14"/>
          <w:szCs w:val="14"/>
          <w:color w:val="0E1020"/>
        </w:rPr>
        <w:t>The aggregate number of unvested DXC stock awards outstanding for each DXC non-employee director at March 31, 2026, were as follows:</w:t>
      </w: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245"/>
        </w:trPr>
        <w:tc>
          <w:tcPr>
            <w:tcW w:w="7440" w:type="dxa"/>
            <w:vAlign w:val="bottom"/>
            <w:shd w:val="clear" w:color="auto" w:fill="F6F3F0"/>
          </w:tcPr>
          <w:p>
            <w:pPr>
              <w:spacing w:after="0"/>
              <w:rPr>
                <w:sz w:val="21"/>
                <w:szCs w:val="21"/>
                <w:color w:val="auto"/>
              </w:rPr>
            </w:pPr>
          </w:p>
        </w:tc>
        <w:tc>
          <w:tcPr>
            <w:tcW w:w="2740" w:type="dxa"/>
            <w:vAlign w:val="bottom"/>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Aggregate Unvested Stock Awards</w:t>
            </w:r>
          </w:p>
        </w:tc>
        <w:tc>
          <w:tcPr>
            <w:tcW w:w="0" w:type="dxa"/>
            <w:vAlign w:val="bottom"/>
          </w:tcPr>
          <w:p>
            <w:pPr>
              <w:spacing w:after="0"/>
              <w:rPr>
                <w:sz w:val="1"/>
                <w:szCs w:val="1"/>
                <w:color w:val="auto"/>
              </w:rPr>
            </w:pPr>
          </w:p>
        </w:tc>
      </w:tr>
      <w:tr>
        <w:trPr>
          <w:trHeight w:val="174"/>
        </w:trPr>
        <w:tc>
          <w:tcPr>
            <w:tcW w:w="7440" w:type="dxa"/>
            <w:vAlign w:val="bottom"/>
            <w:vMerge w:val="restart"/>
            <w:shd w:val="clear" w:color="auto" w:fill="F6F3F0"/>
          </w:tcPr>
          <w:p>
            <w:pPr>
              <w:ind w:left="100"/>
              <w:spacing w:after="0"/>
              <w:rPr>
                <w:sz w:val="20"/>
                <w:szCs w:val="20"/>
                <w:color w:val="auto"/>
              </w:rPr>
            </w:pPr>
            <w:r>
              <w:rPr>
                <w:rFonts w:ascii="Arial" w:cs="Arial" w:eastAsia="Arial" w:hAnsi="Arial"/>
                <w:sz w:val="14"/>
                <w:szCs w:val="14"/>
                <w:b w:val="1"/>
                <w:bCs w:val="1"/>
                <w:color w:val="0E1020"/>
              </w:rPr>
              <w:t>Name</w:t>
            </w:r>
          </w:p>
        </w:tc>
        <w:tc>
          <w:tcPr>
            <w:tcW w:w="2740" w:type="dxa"/>
            <w:vAlign w:val="bottom"/>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Outstanding</w:t>
            </w:r>
          </w:p>
        </w:tc>
        <w:tc>
          <w:tcPr>
            <w:tcW w:w="0" w:type="dxa"/>
            <w:vAlign w:val="bottom"/>
          </w:tcPr>
          <w:p>
            <w:pPr>
              <w:spacing w:after="0"/>
              <w:rPr>
                <w:sz w:val="1"/>
                <w:szCs w:val="1"/>
                <w:color w:val="auto"/>
              </w:rPr>
            </w:pPr>
          </w:p>
        </w:tc>
      </w:tr>
      <w:tr>
        <w:trPr>
          <w:trHeight w:val="251"/>
        </w:trPr>
        <w:tc>
          <w:tcPr>
            <w:tcW w:w="7440" w:type="dxa"/>
            <w:vAlign w:val="bottom"/>
            <w:tcBorders>
              <w:bottom w:val="single" w:sz="8" w:color="F6F3F0"/>
            </w:tcBorders>
            <w:vMerge w:val="continue"/>
            <w:shd w:val="clear" w:color="auto" w:fill="F6F3F0"/>
          </w:tcPr>
          <w:p>
            <w:pPr>
              <w:spacing w:after="0"/>
              <w:rPr>
                <w:sz w:val="21"/>
                <w:szCs w:val="21"/>
                <w:color w:val="auto"/>
              </w:rPr>
            </w:pPr>
          </w:p>
        </w:tc>
        <w:tc>
          <w:tcPr>
            <w:tcW w:w="2740" w:type="dxa"/>
            <w:vAlign w:val="bottom"/>
            <w:tcBorders>
              <w:bottom w:val="single" w:sz="8" w:color="F6F3F0"/>
            </w:tcBorders>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as of March 31, 2026</w:t>
            </w:r>
          </w:p>
        </w:tc>
        <w:tc>
          <w:tcPr>
            <w:tcW w:w="0" w:type="dxa"/>
            <w:vAlign w:val="bottom"/>
          </w:tcPr>
          <w:p>
            <w:pPr>
              <w:spacing w:after="0"/>
              <w:rPr>
                <w:sz w:val="1"/>
                <w:szCs w:val="1"/>
                <w:color w:val="auto"/>
              </w:rPr>
            </w:pPr>
          </w:p>
        </w:tc>
      </w:tr>
      <w:tr>
        <w:trPr>
          <w:trHeight w:val="215"/>
        </w:trPr>
        <w:tc>
          <w:tcPr>
            <w:tcW w:w="7440" w:type="dxa"/>
            <w:vAlign w:val="bottom"/>
            <w:tcBorders>
              <w:top w:val="single" w:sz="8" w:color="CFCFD2"/>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David A. Barnes</w:t>
            </w:r>
          </w:p>
        </w:tc>
        <w:tc>
          <w:tcPr>
            <w:tcW w:w="2740" w:type="dxa"/>
            <w:vAlign w:val="bottom"/>
            <w:tcBorders>
              <w:top w:val="single" w:sz="8" w:color="CFCFD2"/>
              <w:bottom w:val="single" w:sz="8" w:color="CFCFD2"/>
            </w:tcBorders>
          </w:tcPr>
          <w:p>
            <w:pPr>
              <w:jc w:val="right"/>
              <w:ind w:right="69"/>
              <w:spacing w:after="0"/>
              <w:rPr>
                <w:sz w:val="20"/>
                <w:szCs w:val="20"/>
                <w:color w:val="auto"/>
              </w:rPr>
            </w:pPr>
            <w:r>
              <w:rPr>
                <w:rFonts w:ascii="Arial" w:cs="Arial" w:eastAsia="Arial" w:hAnsi="Arial"/>
                <w:sz w:val="14"/>
                <w:szCs w:val="14"/>
                <w:color w:val="0E1020"/>
              </w:rPr>
              <w:t>18,100</w:t>
            </w:r>
          </w:p>
        </w:tc>
        <w:tc>
          <w:tcPr>
            <w:tcW w:w="0" w:type="dxa"/>
            <w:vAlign w:val="bottom"/>
          </w:tcPr>
          <w:p>
            <w:pPr>
              <w:spacing w:after="0"/>
              <w:rPr>
                <w:sz w:val="1"/>
                <w:szCs w:val="1"/>
                <w:color w:val="auto"/>
              </w:rPr>
            </w:pPr>
          </w:p>
        </w:tc>
      </w:tr>
      <w:tr>
        <w:trPr>
          <w:trHeight w:val="228"/>
        </w:trPr>
        <w:tc>
          <w:tcPr>
            <w:tcW w:w="74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Raul J. Fernandez</w:t>
            </w:r>
            <w:r>
              <w:rPr>
                <w:rFonts w:ascii="Arial" w:cs="Arial" w:eastAsia="Arial" w:hAnsi="Arial"/>
                <w:sz w:val="18"/>
                <w:szCs w:val="18"/>
                <w:b w:val="1"/>
                <w:bCs w:val="1"/>
                <w:color w:val="004AAC"/>
                <w:vertAlign w:val="superscript"/>
              </w:rPr>
              <w:t>(3)</w:t>
            </w:r>
          </w:p>
        </w:tc>
        <w:tc>
          <w:tcPr>
            <w:tcW w:w="2740" w:type="dxa"/>
            <w:vAlign w:val="bottom"/>
            <w:tcBorders>
              <w:bottom w:val="single" w:sz="8" w:color="CFCFD2"/>
            </w:tcBorders>
          </w:tcPr>
          <w:p>
            <w:pPr>
              <w:jc w:val="right"/>
              <w:ind w:right="69"/>
              <w:spacing w:after="0"/>
              <w:rPr>
                <w:sz w:val="20"/>
                <w:szCs w:val="20"/>
                <w:color w:val="auto"/>
              </w:rPr>
            </w:pPr>
            <w:r>
              <w:rPr>
                <w:rFonts w:ascii="Arial" w:cs="Arial" w:eastAsia="Arial" w:hAnsi="Arial"/>
                <w:sz w:val="14"/>
                <w:szCs w:val="14"/>
                <w:color w:val="0E1020"/>
              </w:rPr>
              <w:t>—</w:t>
            </w:r>
          </w:p>
        </w:tc>
        <w:tc>
          <w:tcPr>
            <w:tcW w:w="0" w:type="dxa"/>
            <w:vAlign w:val="bottom"/>
          </w:tcPr>
          <w:p>
            <w:pPr>
              <w:spacing w:after="0"/>
              <w:rPr>
                <w:sz w:val="1"/>
                <w:szCs w:val="1"/>
                <w:color w:val="auto"/>
              </w:rPr>
            </w:pPr>
          </w:p>
        </w:tc>
      </w:tr>
      <w:tr>
        <w:trPr>
          <w:trHeight w:val="215"/>
        </w:trPr>
        <w:tc>
          <w:tcPr>
            <w:tcW w:w="74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Anthony Gonzalez</w:t>
            </w:r>
          </w:p>
        </w:tc>
        <w:tc>
          <w:tcPr>
            <w:tcW w:w="2740" w:type="dxa"/>
            <w:vAlign w:val="bottom"/>
            <w:tcBorders>
              <w:bottom w:val="single" w:sz="8" w:color="CFCFD2"/>
            </w:tcBorders>
          </w:tcPr>
          <w:p>
            <w:pPr>
              <w:jc w:val="right"/>
              <w:ind w:right="69"/>
              <w:spacing w:after="0"/>
              <w:rPr>
                <w:sz w:val="20"/>
                <w:szCs w:val="20"/>
                <w:color w:val="auto"/>
              </w:rPr>
            </w:pPr>
            <w:r>
              <w:rPr>
                <w:rFonts w:ascii="Arial" w:cs="Arial" w:eastAsia="Arial" w:hAnsi="Arial"/>
                <w:sz w:val="14"/>
                <w:szCs w:val="14"/>
                <w:color w:val="0E1020"/>
              </w:rPr>
              <w:t>18,100</w:t>
            </w:r>
          </w:p>
        </w:tc>
        <w:tc>
          <w:tcPr>
            <w:tcW w:w="0" w:type="dxa"/>
            <w:vAlign w:val="bottom"/>
          </w:tcPr>
          <w:p>
            <w:pPr>
              <w:spacing w:after="0"/>
              <w:rPr>
                <w:sz w:val="1"/>
                <w:szCs w:val="1"/>
                <w:color w:val="auto"/>
              </w:rPr>
            </w:pPr>
          </w:p>
        </w:tc>
      </w:tr>
      <w:tr>
        <w:trPr>
          <w:trHeight w:val="221"/>
        </w:trPr>
        <w:tc>
          <w:tcPr>
            <w:tcW w:w="74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David L. Herzog</w:t>
            </w:r>
          </w:p>
        </w:tc>
        <w:tc>
          <w:tcPr>
            <w:tcW w:w="2740" w:type="dxa"/>
            <w:vAlign w:val="bottom"/>
            <w:tcBorders>
              <w:bottom w:val="single" w:sz="8" w:color="CFCFD2"/>
            </w:tcBorders>
          </w:tcPr>
          <w:p>
            <w:pPr>
              <w:jc w:val="right"/>
              <w:ind w:right="69"/>
              <w:spacing w:after="0"/>
              <w:rPr>
                <w:sz w:val="20"/>
                <w:szCs w:val="20"/>
                <w:color w:val="auto"/>
              </w:rPr>
            </w:pPr>
            <w:r>
              <w:rPr>
                <w:rFonts w:ascii="Arial" w:cs="Arial" w:eastAsia="Arial" w:hAnsi="Arial"/>
                <w:sz w:val="14"/>
                <w:szCs w:val="14"/>
                <w:color w:val="0E1020"/>
              </w:rPr>
              <w:t>25,700</w:t>
            </w:r>
          </w:p>
        </w:tc>
        <w:tc>
          <w:tcPr>
            <w:tcW w:w="0" w:type="dxa"/>
            <w:vAlign w:val="bottom"/>
          </w:tcPr>
          <w:p>
            <w:pPr>
              <w:spacing w:after="0"/>
              <w:rPr>
                <w:sz w:val="1"/>
                <w:szCs w:val="1"/>
                <w:color w:val="auto"/>
              </w:rPr>
            </w:pPr>
          </w:p>
        </w:tc>
      </w:tr>
      <w:tr>
        <w:trPr>
          <w:trHeight w:val="221"/>
        </w:trPr>
        <w:tc>
          <w:tcPr>
            <w:tcW w:w="74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Pinkie Mayfield</w:t>
            </w:r>
          </w:p>
        </w:tc>
        <w:tc>
          <w:tcPr>
            <w:tcW w:w="2740" w:type="dxa"/>
            <w:vAlign w:val="bottom"/>
            <w:tcBorders>
              <w:bottom w:val="single" w:sz="8" w:color="CFCFD2"/>
            </w:tcBorders>
          </w:tcPr>
          <w:p>
            <w:pPr>
              <w:jc w:val="right"/>
              <w:ind w:right="69"/>
              <w:spacing w:after="0"/>
              <w:rPr>
                <w:sz w:val="20"/>
                <w:szCs w:val="20"/>
                <w:color w:val="auto"/>
              </w:rPr>
            </w:pPr>
            <w:r>
              <w:rPr>
                <w:rFonts w:ascii="Arial" w:cs="Arial" w:eastAsia="Arial" w:hAnsi="Arial"/>
                <w:sz w:val="14"/>
                <w:szCs w:val="14"/>
                <w:color w:val="0E1020"/>
              </w:rPr>
              <w:t>18,100</w:t>
            </w:r>
          </w:p>
        </w:tc>
        <w:tc>
          <w:tcPr>
            <w:tcW w:w="0" w:type="dxa"/>
            <w:vAlign w:val="bottom"/>
          </w:tcPr>
          <w:p>
            <w:pPr>
              <w:spacing w:after="0"/>
              <w:rPr>
                <w:sz w:val="1"/>
                <w:szCs w:val="1"/>
                <w:color w:val="auto"/>
              </w:rPr>
            </w:pPr>
          </w:p>
        </w:tc>
      </w:tr>
      <w:tr>
        <w:trPr>
          <w:trHeight w:val="228"/>
        </w:trPr>
        <w:tc>
          <w:tcPr>
            <w:tcW w:w="74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Karl Racine</w:t>
            </w:r>
            <w:r>
              <w:rPr>
                <w:rFonts w:ascii="Arial" w:cs="Arial" w:eastAsia="Arial" w:hAnsi="Arial"/>
                <w:sz w:val="18"/>
                <w:szCs w:val="18"/>
                <w:b w:val="1"/>
                <w:bCs w:val="1"/>
                <w:color w:val="004AAC"/>
                <w:vertAlign w:val="superscript"/>
              </w:rPr>
              <w:t>(4)</w:t>
            </w:r>
          </w:p>
        </w:tc>
        <w:tc>
          <w:tcPr>
            <w:tcW w:w="2740" w:type="dxa"/>
            <w:vAlign w:val="bottom"/>
            <w:tcBorders>
              <w:bottom w:val="single" w:sz="8" w:color="CFCFD2"/>
            </w:tcBorders>
          </w:tcPr>
          <w:p>
            <w:pPr>
              <w:jc w:val="right"/>
              <w:ind w:right="69"/>
              <w:spacing w:after="0"/>
              <w:rPr>
                <w:sz w:val="20"/>
                <w:szCs w:val="20"/>
                <w:color w:val="auto"/>
              </w:rPr>
            </w:pPr>
            <w:r>
              <w:rPr>
                <w:rFonts w:ascii="Arial" w:cs="Arial" w:eastAsia="Arial" w:hAnsi="Arial"/>
                <w:sz w:val="14"/>
                <w:szCs w:val="14"/>
                <w:color w:val="0E1020"/>
              </w:rPr>
              <w:t>18,100</w:t>
            </w:r>
          </w:p>
        </w:tc>
        <w:tc>
          <w:tcPr>
            <w:tcW w:w="0" w:type="dxa"/>
            <w:vAlign w:val="bottom"/>
          </w:tcPr>
          <w:p>
            <w:pPr>
              <w:spacing w:after="0"/>
              <w:rPr>
                <w:sz w:val="1"/>
                <w:szCs w:val="1"/>
                <w:color w:val="auto"/>
              </w:rPr>
            </w:pPr>
          </w:p>
        </w:tc>
      </w:tr>
      <w:tr>
        <w:trPr>
          <w:trHeight w:val="215"/>
        </w:trPr>
        <w:tc>
          <w:tcPr>
            <w:tcW w:w="74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Dawn Rogers</w:t>
            </w:r>
          </w:p>
        </w:tc>
        <w:tc>
          <w:tcPr>
            <w:tcW w:w="2740" w:type="dxa"/>
            <w:vAlign w:val="bottom"/>
            <w:tcBorders>
              <w:bottom w:val="single" w:sz="8" w:color="CFCFD2"/>
            </w:tcBorders>
          </w:tcPr>
          <w:p>
            <w:pPr>
              <w:jc w:val="right"/>
              <w:ind w:right="69"/>
              <w:spacing w:after="0"/>
              <w:rPr>
                <w:sz w:val="20"/>
                <w:szCs w:val="20"/>
                <w:color w:val="auto"/>
              </w:rPr>
            </w:pPr>
            <w:r>
              <w:rPr>
                <w:rFonts w:ascii="Arial" w:cs="Arial" w:eastAsia="Arial" w:hAnsi="Arial"/>
                <w:sz w:val="14"/>
                <w:szCs w:val="14"/>
                <w:color w:val="0E1020"/>
              </w:rPr>
              <w:t>18,100</w:t>
            </w:r>
          </w:p>
        </w:tc>
        <w:tc>
          <w:tcPr>
            <w:tcW w:w="0" w:type="dxa"/>
            <w:vAlign w:val="bottom"/>
          </w:tcPr>
          <w:p>
            <w:pPr>
              <w:spacing w:after="0"/>
              <w:rPr>
                <w:sz w:val="1"/>
                <w:szCs w:val="1"/>
                <w:color w:val="auto"/>
              </w:rPr>
            </w:pPr>
          </w:p>
        </w:tc>
      </w:tr>
      <w:tr>
        <w:trPr>
          <w:trHeight w:val="221"/>
        </w:trPr>
        <w:tc>
          <w:tcPr>
            <w:tcW w:w="74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Carrie W. Teffner</w:t>
            </w:r>
          </w:p>
        </w:tc>
        <w:tc>
          <w:tcPr>
            <w:tcW w:w="2740" w:type="dxa"/>
            <w:vAlign w:val="bottom"/>
            <w:tcBorders>
              <w:bottom w:val="single" w:sz="8" w:color="CFCFD2"/>
            </w:tcBorders>
          </w:tcPr>
          <w:p>
            <w:pPr>
              <w:jc w:val="right"/>
              <w:ind w:right="69"/>
              <w:spacing w:after="0"/>
              <w:rPr>
                <w:sz w:val="20"/>
                <w:szCs w:val="20"/>
                <w:color w:val="auto"/>
              </w:rPr>
            </w:pPr>
            <w:r>
              <w:rPr>
                <w:rFonts w:ascii="Arial" w:cs="Arial" w:eastAsia="Arial" w:hAnsi="Arial"/>
                <w:sz w:val="14"/>
                <w:szCs w:val="14"/>
                <w:color w:val="0E1020"/>
              </w:rPr>
              <w:t>18,100</w:t>
            </w:r>
          </w:p>
        </w:tc>
        <w:tc>
          <w:tcPr>
            <w:tcW w:w="0" w:type="dxa"/>
            <w:vAlign w:val="bottom"/>
          </w:tcPr>
          <w:p>
            <w:pPr>
              <w:spacing w:after="0"/>
              <w:rPr>
                <w:sz w:val="1"/>
                <w:szCs w:val="1"/>
                <w:color w:val="auto"/>
              </w:rPr>
            </w:pPr>
          </w:p>
        </w:tc>
      </w:tr>
      <w:tr>
        <w:trPr>
          <w:trHeight w:val="221"/>
        </w:trPr>
        <w:tc>
          <w:tcPr>
            <w:tcW w:w="74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Akihiko Washington</w:t>
            </w:r>
          </w:p>
        </w:tc>
        <w:tc>
          <w:tcPr>
            <w:tcW w:w="2740" w:type="dxa"/>
            <w:vAlign w:val="bottom"/>
            <w:tcBorders>
              <w:bottom w:val="single" w:sz="8" w:color="CFCFD2"/>
            </w:tcBorders>
          </w:tcPr>
          <w:p>
            <w:pPr>
              <w:jc w:val="right"/>
              <w:ind w:right="69"/>
              <w:spacing w:after="0"/>
              <w:rPr>
                <w:sz w:val="20"/>
                <w:szCs w:val="20"/>
                <w:color w:val="auto"/>
              </w:rPr>
            </w:pPr>
            <w:r>
              <w:rPr>
                <w:rFonts w:ascii="Arial" w:cs="Arial" w:eastAsia="Arial" w:hAnsi="Arial"/>
                <w:sz w:val="14"/>
                <w:szCs w:val="14"/>
                <w:color w:val="0E1020"/>
              </w:rPr>
              <w:t>18,100</w:t>
            </w:r>
          </w:p>
        </w:tc>
        <w:tc>
          <w:tcPr>
            <w:tcW w:w="0" w:type="dxa"/>
            <w:vAlign w:val="bottom"/>
          </w:tcPr>
          <w:p>
            <w:pPr>
              <w:spacing w:after="0"/>
              <w:rPr>
                <w:sz w:val="1"/>
                <w:szCs w:val="1"/>
                <w:color w:val="auto"/>
              </w:rPr>
            </w:pPr>
          </w:p>
        </w:tc>
      </w:tr>
      <w:tr>
        <w:trPr>
          <w:trHeight w:val="221"/>
        </w:trPr>
        <w:tc>
          <w:tcPr>
            <w:tcW w:w="74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Robert F. Woods</w:t>
            </w:r>
          </w:p>
        </w:tc>
        <w:tc>
          <w:tcPr>
            <w:tcW w:w="2740" w:type="dxa"/>
            <w:vAlign w:val="bottom"/>
            <w:tcBorders>
              <w:bottom w:val="single" w:sz="8" w:color="CFCFD2"/>
            </w:tcBorders>
          </w:tcPr>
          <w:p>
            <w:pPr>
              <w:jc w:val="right"/>
              <w:ind w:right="69"/>
              <w:spacing w:after="0"/>
              <w:rPr>
                <w:sz w:val="20"/>
                <w:szCs w:val="20"/>
                <w:color w:val="auto"/>
              </w:rPr>
            </w:pPr>
            <w:r>
              <w:rPr>
                <w:rFonts w:ascii="Arial" w:cs="Arial" w:eastAsia="Arial" w:hAnsi="Arial"/>
                <w:sz w:val="14"/>
                <w:szCs w:val="14"/>
                <w:color w:val="0E1020"/>
              </w:rPr>
              <w:t>18,100</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60" w:right="800" w:hanging="312"/>
        <w:spacing w:after="0" w:line="289" w:lineRule="auto"/>
        <w:tabs>
          <w:tab w:leader="none" w:pos="433" w:val="left"/>
        </w:tabs>
        <w:numPr>
          <w:ilvl w:val="0"/>
          <w:numId w:val="47"/>
        </w:numPr>
        <w:rPr>
          <w:rFonts w:ascii="Arial" w:cs="Arial" w:eastAsia="Arial" w:hAnsi="Arial"/>
          <w:sz w:val="14"/>
          <w:szCs w:val="14"/>
          <w:color w:val="0E1020"/>
        </w:rPr>
      </w:pPr>
      <w:r>
        <w:rPr>
          <w:rFonts w:ascii="Arial" w:cs="Arial" w:eastAsia="Arial" w:hAnsi="Arial"/>
          <w:sz w:val="14"/>
          <w:szCs w:val="14"/>
          <w:color w:val="0E1020"/>
        </w:rPr>
        <w:t>Mr. Fernandez’s compensation as President and CEO is reflected in the Summary Compensation Table. Mr. Fernandez did not and does not receive separate compensation for his additional service on our Board.</w:t>
      </w:r>
    </w:p>
    <w:p>
      <w:pPr>
        <w:spacing w:after="0" w:line="1" w:lineRule="exact"/>
        <w:rPr>
          <w:rFonts w:ascii="Arial" w:cs="Arial" w:eastAsia="Arial" w:hAnsi="Arial"/>
          <w:sz w:val="14"/>
          <w:szCs w:val="14"/>
          <w:color w:val="0E1020"/>
        </w:rPr>
      </w:pPr>
    </w:p>
    <w:p>
      <w:pPr>
        <w:ind w:left="440" w:hanging="292"/>
        <w:spacing w:after="0"/>
        <w:tabs>
          <w:tab w:leader="none" w:pos="440" w:val="left"/>
        </w:tabs>
        <w:numPr>
          <w:ilvl w:val="0"/>
          <w:numId w:val="47"/>
        </w:numPr>
        <w:rPr>
          <w:rFonts w:ascii="Arial" w:cs="Arial" w:eastAsia="Arial" w:hAnsi="Arial"/>
          <w:sz w:val="14"/>
          <w:szCs w:val="14"/>
          <w:color w:val="0E1020"/>
        </w:rPr>
      </w:pPr>
      <w:r>
        <w:rPr>
          <w:rFonts w:ascii="Arial" w:cs="Arial" w:eastAsia="Arial" w:hAnsi="Arial"/>
          <w:sz w:val="14"/>
          <w:szCs w:val="14"/>
          <w:color w:val="0E1020"/>
        </w:rPr>
        <w:t>Mr. Racine will serve on the Board until DXC’s 2026 Annual Meeting of Stockholders (July 21, 2026).</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5500" w:val="left"/>
          <w:tab w:leader="none" w:pos="946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52</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137795</wp:posOffset>
            </wp:positionV>
            <wp:extent cx="71589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224" w:right="359" w:bottom="1440" w:gutter="0" w:footer="0" w:header="0"/>
        </w:sectPr>
      </w:pPr>
    </w:p>
    <w:bookmarkStart w:id="60" w:name="page61"/>
    <w:bookmarkEnd w:id="60"/>
    <w:p>
      <w:pPr>
        <w:ind w:left="2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6166485</wp:posOffset>
            </wp:positionH>
            <wp:positionV relativeFrom="page">
              <wp:posOffset>106045</wp:posOffset>
            </wp:positionV>
            <wp:extent cx="1166495" cy="3232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232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620"/>
        <w:spacing w:after="0" w:line="290" w:lineRule="auto"/>
        <w:rPr>
          <w:sz w:val="20"/>
          <w:szCs w:val="20"/>
          <w:color w:val="auto"/>
        </w:rPr>
      </w:pPr>
      <w:r>
        <w:rPr>
          <w:rFonts w:ascii="Times New Roman" w:cs="Times New Roman" w:eastAsia="Times New Roman" w:hAnsi="Times New Roman"/>
          <w:sz w:val="39"/>
          <w:szCs w:val="39"/>
          <w:b w:val="1"/>
          <w:bCs w:val="1"/>
          <w:color w:val="0E1020"/>
        </w:rPr>
        <w:t>SECURITY OWNERSHIP OF CERTAIN BENEFICIAL OWNERS AND MANAGEMENT</w:t>
      </w:r>
    </w:p>
    <w:p>
      <w:pPr>
        <w:spacing w:after="0" w:line="68"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Security Ownership</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E1020"/>
        </w:rPr>
        <w:t>The following table provides information on the beneficial ownership of our common stock as of May 28, 2026, by:</w:t>
      </w:r>
    </w:p>
    <w:p>
      <w:pPr>
        <w:spacing w:after="0" w:line="124" w:lineRule="exact"/>
        <w:rPr>
          <w:sz w:val="20"/>
          <w:szCs w:val="20"/>
          <w:color w:val="auto"/>
        </w:rPr>
      </w:pPr>
    </w:p>
    <w:p>
      <w:pPr>
        <w:ind w:left="300" w:hanging="293"/>
        <w:spacing w:after="0"/>
        <w:tabs>
          <w:tab w:leader="none" w:pos="300" w:val="left"/>
        </w:tabs>
        <w:numPr>
          <w:ilvl w:val="0"/>
          <w:numId w:val="48"/>
        </w:numPr>
        <w:rPr>
          <w:rFonts w:ascii="Arial" w:cs="Arial" w:eastAsia="Arial" w:hAnsi="Arial"/>
          <w:sz w:val="16"/>
          <w:szCs w:val="16"/>
          <w:color w:val="0E1020"/>
        </w:rPr>
      </w:pPr>
      <w:r>
        <w:rPr>
          <w:rFonts w:ascii="Arial" w:cs="Arial" w:eastAsia="Arial" w:hAnsi="Arial"/>
          <w:sz w:val="16"/>
          <w:szCs w:val="16"/>
          <w:color w:val="0E1020"/>
        </w:rPr>
        <w:t>each person or group believed by the Company to be the beneficial owner of more than 5% of our outstanding common stock;</w:t>
      </w:r>
    </w:p>
    <w:p>
      <w:pPr>
        <w:spacing w:after="0" w:line="97" w:lineRule="exact"/>
        <w:rPr>
          <w:rFonts w:ascii="Arial" w:cs="Arial" w:eastAsia="Arial" w:hAnsi="Arial"/>
          <w:sz w:val="16"/>
          <w:szCs w:val="16"/>
          <w:color w:val="0E1020"/>
        </w:rPr>
      </w:pPr>
    </w:p>
    <w:p>
      <w:pPr>
        <w:ind w:left="300" w:hanging="293"/>
        <w:spacing w:after="0"/>
        <w:tabs>
          <w:tab w:leader="none" w:pos="300" w:val="left"/>
        </w:tabs>
        <w:numPr>
          <w:ilvl w:val="0"/>
          <w:numId w:val="48"/>
        </w:numPr>
        <w:rPr>
          <w:rFonts w:ascii="Arial" w:cs="Arial" w:eastAsia="Arial" w:hAnsi="Arial"/>
          <w:sz w:val="16"/>
          <w:szCs w:val="16"/>
          <w:color w:val="0E1020"/>
        </w:rPr>
      </w:pPr>
      <w:r>
        <w:rPr>
          <w:rFonts w:ascii="Arial" w:cs="Arial" w:eastAsia="Arial" w:hAnsi="Arial"/>
          <w:sz w:val="16"/>
          <w:szCs w:val="16"/>
          <w:color w:val="0E1020"/>
        </w:rPr>
        <w:t>each of our named executive officers;</w:t>
      </w:r>
    </w:p>
    <w:p>
      <w:pPr>
        <w:spacing w:after="0" w:line="97" w:lineRule="exact"/>
        <w:rPr>
          <w:rFonts w:ascii="Arial" w:cs="Arial" w:eastAsia="Arial" w:hAnsi="Arial"/>
          <w:sz w:val="16"/>
          <w:szCs w:val="16"/>
          <w:color w:val="0E1020"/>
        </w:rPr>
      </w:pPr>
    </w:p>
    <w:p>
      <w:pPr>
        <w:ind w:left="300" w:hanging="293"/>
        <w:spacing w:after="0"/>
        <w:tabs>
          <w:tab w:leader="none" w:pos="300" w:val="left"/>
        </w:tabs>
        <w:numPr>
          <w:ilvl w:val="0"/>
          <w:numId w:val="48"/>
        </w:numPr>
        <w:rPr>
          <w:rFonts w:ascii="Arial" w:cs="Arial" w:eastAsia="Arial" w:hAnsi="Arial"/>
          <w:sz w:val="16"/>
          <w:szCs w:val="16"/>
          <w:color w:val="0E1020"/>
        </w:rPr>
      </w:pPr>
      <w:r>
        <w:rPr>
          <w:rFonts w:ascii="Arial" w:cs="Arial" w:eastAsia="Arial" w:hAnsi="Arial"/>
          <w:sz w:val="16"/>
          <w:szCs w:val="16"/>
          <w:color w:val="0E1020"/>
        </w:rPr>
        <w:t>each of our directors and director nominees; and</w:t>
      </w:r>
    </w:p>
    <w:p>
      <w:pPr>
        <w:spacing w:after="0" w:line="97" w:lineRule="exact"/>
        <w:rPr>
          <w:rFonts w:ascii="Arial" w:cs="Arial" w:eastAsia="Arial" w:hAnsi="Arial"/>
          <w:sz w:val="16"/>
          <w:szCs w:val="16"/>
          <w:color w:val="0E1020"/>
        </w:rPr>
      </w:pPr>
    </w:p>
    <w:p>
      <w:pPr>
        <w:ind w:left="300" w:hanging="293"/>
        <w:spacing w:after="0"/>
        <w:tabs>
          <w:tab w:leader="none" w:pos="300" w:val="left"/>
        </w:tabs>
        <w:numPr>
          <w:ilvl w:val="0"/>
          <w:numId w:val="48"/>
        </w:numPr>
        <w:rPr>
          <w:rFonts w:ascii="Arial" w:cs="Arial" w:eastAsia="Arial" w:hAnsi="Arial"/>
          <w:sz w:val="16"/>
          <w:szCs w:val="16"/>
          <w:color w:val="0E1020"/>
        </w:rPr>
      </w:pPr>
      <w:r>
        <w:rPr>
          <w:rFonts w:ascii="Arial" w:cs="Arial" w:eastAsia="Arial" w:hAnsi="Arial"/>
          <w:sz w:val="16"/>
          <w:szCs w:val="16"/>
          <w:color w:val="0E1020"/>
        </w:rPr>
        <w:t>all executive officers and directors, as a group.</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0E1020"/>
        </w:rPr>
        <w:t>Unless otherwise indicated, each person or group has sole voting and investment power with respect to all shares beneficially owned.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00" w:type="dxa"/>
            <w:vAlign w:val="bottom"/>
            <w:shd w:val="clear" w:color="auto" w:fill="F6F3F0"/>
          </w:tcPr>
          <w:p>
            <w:pPr>
              <w:spacing w:after="0"/>
              <w:rPr>
                <w:sz w:val="18"/>
                <w:szCs w:val="18"/>
                <w:color w:val="auto"/>
              </w:rPr>
            </w:pPr>
          </w:p>
        </w:tc>
        <w:tc>
          <w:tcPr>
            <w:tcW w:w="216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rPr>
              <w:t>Number of Shares Beneficially</w:t>
            </w:r>
          </w:p>
        </w:tc>
        <w:tc>
          <w:tcPr>
            <w:tcW w:w="2180" w:type="dxa"/>
            <w:vAlign w:val="bottom"/>
            <w:gridSpan w:val="2"/>
            <w:shd w:val="clear" w:color="auto" w:fill="F6F3F0"/>
          </w:tcPr>
          <w:p>
            <w:pPr>
              <w:jc w:val="right"/>
              <w:ind w:right="160"/>
              <w:spacing w:after="0"/>
              <w:rPr>
                <w:sz w:val="20"/>
                <w:szCs w:val="20"/>
                <w:color w:val="auto"/>
              </w:rPr>
            </w:pPr>
            <w:r>
              <w:rPr>
                <w:rFonts w:ascii="Arial" w:cs="Arial" w:eastAsia="Arial" w:hAnsi="Arial"/>
                <w:sz w:val="13"/>
                <w:szCs w:val="13"/>
                <w:b w:val="1"/>
                <w:bCs w:val="1"/>
                <w:color w:val="0E1020"/>
              </w:rPr>
              <w:t>Percentage</w:t>
            </w:r>
          </w:p>
        </w:tc>
      </w:tr>
      <w:tr>
        <w:trPr>
          <w:trHeight w:val="161"/>
        </w:trPr>
        <w:tc>
          <w:tcPr>
            <w:tcW w:w="6900" w:type="dxa"/>
            <w:vAlign w:val="bottom"/>
            <w:shd w:val="clear" w:color="auto" w:fill="F6F3F0"/>
          </w:tcPr>
          <w:p>
            <w:pPr>
              <w:spacing w:after="0"/>
              <w:rPr>
                <w:sz w:val="13"/>
                <w:szCs w:val="13"/>
                <w:color w:val="auto"/>
              </w:rPr>
            </w:pPr>
          </w:p>
        </w:tc>
        <w:tc>
          <w:tcPr>
            <w:tcW w:w="216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rPr>
              <w:t>Owned</w:t>
            </w:r>
          </w:p>
        </w:tc>
        <w:tc>
          <w:tcPr>
            <w:tcW w:w="2180" w:type="dxa"/>
            <w:vAlign w:val="bottom"/>
            <w:gridSpan w:val="2"/>
            <w:shd w:val="clear" w:color="auto" w:fill="F6F3F0"/>
          </w:tcPr>
          <w:p>
            <w:pPr>
              <w:jc w:val="right"/>
              <w:ind w:right="160"/>
              <w:spacing w:after="0" w:line="161" w:lineRule="exact"/>
              <w:rPr>
                <w:sz w:val="20"/>
                <w:szCs w:val="20"/>
                <w:color w:val="auto"/>
              </w:rPr>
            </w:pPr>
            <w:r>
              <w:rPr>
                <w:rFonts w:ascii="Arial" w:cs="Arial" w:eastAsia="Arial" w:hAnsi="Arial"/>
                <w:sz w:val="13"/>
                <w:szCs w:val="13"/>
                <w:b w:val="1"/>
                <w:bCs w:val="1"/>
                <w:color w:val="0E1020"/>
              </w:rPr>
              <w:t>of Class</w:t>
            </w:r>
            <w:r>
              <w:rPr>
                <w:rFonts w:ascii="Arial" w:cs="Arial" w:eastAsia="Arial" w:hAnsi="Arial"/>
                <w:sz w:val="16"/>
                <w:szCs w:val="16"/>
                <w:b w:val="1"/>
                <w:bCs w:val="1"/>
                <w:color w:val="0E1020"/>
                <w:vertAlign w:val="superscript"/>
              </w:rPr>
              <w:t>(2)</w:t>
            </w:r>
          </w:p>
        </w:tc>
      </w:tr>
      <w:tr>
        <w:trPr>
          <w:trHeight w:val="251"/>
        </w:trPr>
        <w:tc>
          <w:tcPr>
            <w:tcW w:w="6900" w:type="dxa"/>
            <w:vAlign w:val="bottom"/>
            <w:tcBorders>
              <w:bottom w:val="single" w:sz="8" w:color="F6F3F0"/>
            </w:tcBorders>
            <w:shd w:val="clear" w:color="auto" w:fill="F6F3F0"/>
          </w:tcPr>
          <w:p>
            <w:pPr>
              <w:ind w:left="100"/>
              <w:spacing w:after="0"/>
              <w:rPr>
                <w:sz w:val="20"/>
                <w:szCs w:val="20"/>
                <w:color w:val="auto"/>
              </w:rPr>
            </w:pPr>
            <w:r>
              <w:rPr>
                <w:rFonts w:ascii="Arial" w:cs="Arial" w:eastAsia="Arial" w:hAnsi="Arial"/>
                <w:sz w:val="13"/>
                <w:szCs w:val="13"/>
                <w:b w:val="1"/>
                <w:bCs w:val="1"/>
                <w:color w:val="0E1020"/>
              </w:rPr>
              <w:t>Name and Address of Beneficial Owner</w:t>
            </w:r>
            <w:r>
              <w:rPr>
                <w:rFonts w:ascii="Arial" w:cs="Arial" w:eastAsia="Arial" w:hAnsi="Arial"/>
                <w:sz w:val="16"/>
                <w:szCs w:val="16"/>
                <w:b w:val="1"/>
                <w:bCs w:val="1"/>
                <w:color w:val="0E1020"/>
                <w:vertAlign w:val="superscript"/>
              </w:rPr>
              <w:t>(1)</w:t>
            </w:r>
          </w:p>
        </w:tc>
        <w:tc>
          <w:tcPr>
            <w:tcW w:w="216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3"/>
                <w:szCs w:val="13"/>
                <w:b w:val="1"/>
                <w:bCs w:val="1"/>
                <w:color w:val="0E1020"/>
              </w:rPr>
              <w:t>(#)</w:t>
            </w:r>
          </w:p>
        </w:tc>
        <w:tc>
          <w:tcPr>
            <w:tcW w:w="204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3"/>
                <w:szCs w:val="13"/>
                <w:b w:val="1"/>
                <w:bCs w:val="1"/>
                <w:color w:val="0E1020"/>
              </w:rPr>
              <w:t>(%)</w:t>
            </w:r>
          </w:p>
        </w:tc>
        <w:tc>
          <w:tcPr>
            <w:tcW w:w="140" w:type="dxa"/>
            <w:vAlign w:val="bottom"/>
            <w:tcBorders>
              <w:bottom w:val="single" w:sz="8" w:color="F6F3F0"/>
            </w:tcBorders>
            <w:shd w:val="clear" w:color="auto" w:fill="F6F3F0"/>
          </w:tcPr>
          <w:p>
            <w:pPr>
              <w:spacing w:after="0"/>
              <w:rPr>
                <w:sz w:val="21"/>
                <w:szCs w:val="21"/>
                <w:color w:val="auto"/>
              </w:rPr>
            </w:pPr>
          </w:p>
        </w:tc>
      </w:tr>
      <w:tr>
        <w:trPr>
          <w:trHeight w:val="150"/>
        </w:trPr>
        <w:tc>
          <w:tcPr>
            <w:tcW w:w="6900" w:type="dxa"/>
            <w:vAlign w:val="bottom"/>
            <w:tcBorders>
              <w:top w:val="single" w:sz="8" w:color="CFCFD2"/>
            </w:tcBorders>
          </w:tcPr>
          <w:p>
            <w:pPr>
              <w:ind w:left="100"/>
              <w:spacing w:after="0"/>
              <w:rPr>
                <w:sz w:val="20"/>
                <w:szCs w:val="20"/>
                <w:color w:val="auto"/>
              </w:rPr>
            </w:pPr>
            <w:r>
              <w:rPr>
                <w:rFonts w:ascii="Arial" w:cs="Arial" w:eastAsia="Arial" w:hAnsi="Arial"/>
                <w:sz w:val="13"/>
                <w:szCs w:val="13"/>
                <w:b w:val="1"/>
                <w:bCs w:val="1"/>
                <w:color w:val="0E1020"/>
              </w:rPr>
              <w:t>BlackRock, Inc.</w:t>
            </w:r>
          </w:p>
        </w:tc>
        <w:tc>
          <w:tcPr>
            <w:tcW w:w="2160" w:type="dxa"/>
            <w:vAlign w:val="bottom"/>
            <w:tcBorders>
              <w:top w:val="single" w:sz="8" w:color="CFCFD2"/>
            </w:tcBorders>
          </w:tcPr>
          <w:p>
            <w:pPr>
              <w:spacing w:after="0"/>
              <w:rPr>
                <w:sz w:val="13"/>
                <w:szCs w:val="13"/>
                <w:color w:val="auto"/>
              </w:rPr>
            </w:pPr>
          </w:p>
        </w:tc>
        <w:tc>
          <w:tcPr>
            <w:tcW w:w="2040" w:type="dxa"/>
            <w:vAlign w:val="bottom"/>
            <w:tcBorders>
              <w:top w:val="single" w:sz="8" w:color="CFCFD2"/>
            </w:tcBorders>
          </w:tcPr>
          <w:p>
            <w:pPr>
              <w:spacing w:after="0"/>
              <w:rPr>
                <w:sz w:val="13"/>
                <w:szCs w:val="13"/>
                <w:color w:val="auto"/>
              </w:rPr>
            </w:pPr>
          </w:p>
        </w:tc>
        <w:tc>
          <w:tcPr>
            <w:tcW w:w="140" w:type="dxa"/>
            <w:vAlign w:val="bottom"/>
            <w:tcBorders>
              <w:top w:val="single" w:sz="8" w:color="CFCFD2"/>
            </w:tcBorders>
          </w:tcPr>
          <w:p>
            <w:pPr>
              <w:spacing w:after="0"/>
              <w:rPr>
                <w:sz w:val="13"/>
                <w:szCs w:val="13"/>
                <w:color w:val="auto"/>
              </w:rPr>
            </w:pPr>
          </w:p>
        </w:tc>
      </w:tr>
      <w:tr>
        <w:trPr>
          <w:trHeight w:val="161"/>
        </w:trPr>
        <w:tc>
          <w:tcPr>
            <w:tcW w:w="6900" w:type="dxa"/>
            <w:vAlign w:val="bottom"/>
          </w:tcPr>
          <w:p>
            <w:pPr>
              <w:ind w:left="180"/>
              <w:spacing w:after="0"/>
              <w:rPr>
                <w:sz w:val="20"/>
                <w:szCs w:val="20"/>
                <w:color w:val="auto"/>
              </w:rPr>
            </w:pPr>
            <w:r>
              <w:rPr>
                <w:rFonts w:ascii="Arial" w:cs="Arial" w:eastAsia="Arial" w:hAnsi="Arial"/>
                <w:sz w:val="13"/>
                <w:szCs w:val="13"/>
                <w:color w:val="0E1020"/>
              </w:rPr>
              <w:t>50 Hudson Yards</w:t>
            </w:r>
          </w:p>
        </w:tc>
        <w:tc>
          <w:tcPr>
            <w:tcW w:w="2160" w:type="dxa"/>
            <w:vAlign w:val="bottom"/>
          </w:tcPr>
          <w:p>
            <w:pPr>
              <w:jc w:val="right"/>
              <w:spacing w:after="0" w:line="161" w:lineRule="exact"/>
              <w:rPr>
                <w:sz w:val="20"/>
                <w:szCs w:val="20"/>
                <w:color w:val="auto"/>
              </w:rPr>
            </w:pPr>
            <w:r>
              <w:rPr>
                <w:rFonts w:ascii="Arial" w:cs="Arial" w:eastAsia="Arial" w:hAnsi="Arial"/>
                <w:sz w:val="13"/>
                <w:szCs w:val="13"/>
                <w:color w:val="0E1020"/>
              </w:rPr>
              <w:t>23,053,124</w:t>
            </w:r>
            <w:r>
              <w:rPr>
                <w:rFonts w:ascii="Arial" w:cs="Arial" w:eastAsia="Arial" w:hAnsi="Arial"/>
                <w:sz w:val="16"/>
                <w:szCs w:val="16"/>
                <w:color w:val="0E1020"/>
                <w:vertAlign w:val="superscript"/>
              </w:rPr>
              <w:t>(3)</w:t>
            </w:r>
          </w:p>
        </w:tc>
        <w:tc>
          <w:tcPr>
            <w:tcW w:w="2040" w:type="dxa"/>
            <w:vAlign w:val="bottom"/>
          </w:tcPr>
          <w:p>
            <w:pPr>
              <w:jc w:val="right"/>
              <w:spacing w:after="0"/>
              <w:rPr>
                <w:sz w:val="20"/>
                <w:szCs w:val="20"/>
                <w:color w:val="auto"/>
              </w:rPr>
            </w:pPr>
            <w:r>
              <w:rPr>
                <w:rFonts w:ascii="Arial" w:cs="Arial" w:eastAsia="Arial" w:hAnsi="Arial"/>
                <w:sz w:val="13"/>
                <w:szCs w:val="13"/>
                <w:color w:val="0E1020"/>
              </w:rPr>
              <w:t>14.22</w:t>
            </w:r>
          </w:p>
        </w:tc>
        <w:tc>
          <w:tcPr>
            <w:tcW w:w="140" w:type="dxa"/>
            <w:vAlign w:val="bottom"/>
          </w:tcPr>
          <w:p>
            <w:pPr>
              <w:spacing w:after="0"/>
              <w:rPr>
                <w:sz w:val="13"/>
                <w:szCs w:val="13"/>
                <w:color w:val="auto"/>
              </w:rPr>
            </w:pPr>
          </w:p>
        </w:tc>
      </w:tr>
      <w:tr>
        <w:trPr>
          <w:trHeight w:val="165"/>
        </w:trPr>
        <w:tc>
          <w:tcPr>
            <w:tcW w:w="6900" w:type="dxa"/>
            <w:vAlign w:val="bottom"/>
          </w:tcPr>
          <w:p>
            <w:pPr>
              <w:ind w:left="180"/>
              <w:spacing w:after="0"/>
              <w:rPr>
                <w:sz w:val="20"/>
                <w:szCs w:val="20"/>
                <w:color w:val="auto"/>
              </w:rPr>
            </w:pPr>
            <w:r>
              <w:rPr>
                <w:rFonts w:ascii="Arial" w:cs="Arial" w:eastAsia="Arial" w:hAnsi="Arial"/>
                <w:sz w:val="13"/>
                <w:szCs w:val="13"/>
                <w:color w:val="0E1020"/>
              </w:rPr>
              <w:t>New York, NY 10001</w:t>
            </w:r>
          </w:p>
        </w:tc>
        <w:tc>
          <w:tcPr>
            <w:tcW w:w="2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7"/>
        </w:trPr>
        <w:tc>
          <w:tcPr>
            <w:tcW w:w="6900" w:type="dxa"/>
            <w:vAlign w:val="bottom"/>
            <w:tcBorders>
              <w:bottom w:val="single" w:sz="8" w:color="CFCFD2"/>
            </w:tcBorders>
          </w:tcPr>
          <w:p>
            <w:pPr>
              <w:spacing w:after="0"/>
              <w:rPr>
                <w:sz w:val="2"/>
                <w:szCs w:val="2"/>
                <w:color w:val="auto"/>
              </w:rPr>
            </w:pPr>
          </w:p>
        </w:tc>
        <w:tc>
          <w:tcPr>
            <w:tcW w:w="2160" w:type="dxa"/>
            <w:vAlign w:val="bottom"/>
            <w:tcBorders>
              <w:bottom w:val="single" w:sz="8" w:color="CFCFD2"/>
            </w:tcBorders>
          </w:tcPr>
          <w:p>
            <w:pPr>
              <w:spacing w:after="0"/>
              <w:rPr>
                <w:sz w:val="2"/>
                <w:szCs w:val="2"/>
                <w:color w:val="auto"/>
              </w:rPr>
            </w:pPr>
          </w:p>
        </w:tc>
        <w:tc>
          <w:tcPr>
            <w:tcW w:w="2040" w:type="dxa"/>
            <w:vAlign w:val="bottom"/>
            <w:tcBorders>
              <w:bottom w:val="single" w:sz="8" w:color="CFCFD2"/>
            </w:tcBorders>
          </w:tcPr>
          <w:p>
            <w:pPr>
              <w:spacing w:after="0"/>
              <w:rPr>
                <w:sz w:val="2"/>
                <w:szCs w:val="2"/>
                <w:color w:val="auto"/>
              </w:rPr>
            </w:pPr>
          </w:p>
        </w:tc>
        <w:tc>
          <w:tcPr>
            <w:tcW w:w="140" w:type="dxa"/>
            <w:vAlign w:val="bottom"/>
            <w:tcBorders>
              <w:bottom w:val="single" w:sz="8" w:color="CFCFD2"/>
            </w:tcBorders>
          </w:tcPr>
          <w:p>
            <w:pPr>
              <w:spacing w:after="0"/>
              <w:rPr>
                <w:sz w:val="2"/>
                <w:szCs w:val="2"/>
                <w:color w:val="auto"/>
              </w:rPr>
            </w:pPr>
          </w:p>
        </w:tc>
      </w:tr>
      <w:tr>
        <w:trPr>
          <w:trHeight w:val="150"/>
        </w:trPr>
        <w:tc>
          <w:tcPr>
            <w:tcW w:w="6900" w:type="dxa"/>
            <w:vAlign w:val="bottom"/>
          </w:tcPr>
          <w:p>
            <w:pPr>
              <w:ind w:left="100"/>
              <w:spacing w:after="0"/>
              <w:rPr>
                <w:sz w:val="20"/>
                <w:szCs w:val="20"/>
                <w:color w:val="auto"/>
              </w:rPr>
            </w:pPr>
            <w:r>
              <w:rPr>
                <w:rFonts w:ascii="Arial" w:cs="Arial" w:eastAsia="Arial" w:hAnsi="Arial"/>
                <w:sz w:val="13"/>
                <w:szCs w:val="13"/>
                <w:b w:val="1"/>
                <w:bCs w:val="1"/>
                <w:color w:val="0E1020"/>
              </w:rPr>
              <w:t>Vanguard Portfolio Management</w:t>
            </w:r>
          </w:p>
        </w:tc>
        <w:tc>
          <w:tcPr>
            <w:tcW w:w="21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1"/>
        </w:trPr>
        <w:tc>
          <w:tcPr>
            <w:tcW w:w="6900" w:type="dxa"/>
            <w:vAlign w:val="bottom"/>
          </w:tcPr>
          <w:p>
            <w:pPr>
              <w:ind w:left="180"/>
              <w:spacing w:after="0"/>
              <w:rPr>
                <w:sz w:val="20"/>
                <w:szCs w:val="20"/>
                <w:color w:val="auto"/>
              </w:rPr>
            </w:pPr>
            <w:r>
              <w:rPr>
                <w:rFonts w:ascii="Arial" w:cs="Arial" w:eastAsia="Arial" w:hAnsi="Arial"/>
                <w:sz w:val="13"/>
                <w:szCs w:val="13"/>
                <w:color w:val="0E1020"/>
              </w:rPr>
              <w:t>100 Vanguard Blvd.</w:t>
            </w:r>
          </w:p>
        </w:tc>
        <w:tc>
          <w:tcPr>
            <w:tcW w:w="2160" w:type="dxa"/>
            <w:vAlign w:val="bottom"/>
          </w:tcPr>
          <w:p>
            <w:pPr>
              <w:jc w:val="right"/>
              <w:spacing w:after="0" w:line="161" w:lineRule="exact"/>
              <w:rPr>
                <w:sz w:val="20"/>
                <w:szCs w:val="20"/>
                <w:color w:val="auto"/>
              </w:rPr>
            </w:pPr>
            <w:r>
              <w:rPr>
                <w:rFonts w:ascii="Arial" w:cs="Arial" w:eastAsia="Arial" w:hAnsi="Arial"/>
                <w:sz w:val="13"/>
                <w:szCs w:val="13"/>
                <w:color w:val="0E1020"/>
              </w:rPr>
              <w:t>13,143,240</w:t>
            </w:r>
            <w:r>
              <w:rPr>
                <w:rFonts w:ascii="Arial" w:cs="Arial" w:eastAsia="Arial" w:hAnsi="Arial"/>
                <w:sz w:val="16"/>
                <w:szCs w:val="16"/>
                <w:color w:val="0E1020"/>
                <w:vertAlign w:val="superscript"/>
              </w:rPr>
              <w:t>(4)(5)</w:t>
            </w:r>
          </w:p>
        </w:tc>
        <w:tc>
          <w:tcPr>
            <w:tcW w:w="2040" w:type="dxa"/>
            <w:vAlign w:val="bottom"/>
          </w:tcPr>
          <w:p>
            <w:pPr>
              <w:jc w:val="right"/>
              <w:spacing w:after="0"/>
              <w:rPr>
                <w:sz w:val="20"/>
                <w:szCs w:val="20"/>
                <w:color w:val="auto"/>
              </w:rPr>
            </w:pPr>
            <w:r>
              <w:rPr>
                <w:rFonts w:ascii="Arial" w:cs="Arial" w:eastAsia="Arial" w:hAnsi="Arial"/>
                <w:sz w:val="13"/>
                <w:szCs w:val="13"/>
                <w:color w:val="0E1020"/>
              </w:rPr>
              <w:t>8.11</w:t>
            </w:r>
          </w:p>
        </w:tc>
        <w:tc>
          <w:tcPr>
            <w:tcW w:w="140" w:type="dxa"/>
            <w:vAlign w:val="bottom"/>
          </w:tcPr>
          <w:p>
            <w:pPr>
              <w:spacing w:after="0"/>
              <w:rPr>
                <w:sz w:val="13"/>
                <w:szCs w:val="13"/>
                <w:color w:val="auto"/>
              </w:rPr>
            </w:pPr>
          </w:p>
        </w:tc>
      </w:tr>
      <w:tr>
        <w:trPr>
          <w:trHeight w:val="165"/>
        </w:trPr>
        <w:tc>
          <w:tcPr>
            <w:tcW w:w="6900" w:type="dxa"/>
            <w:vAlign w:val="bottom"/>
          </w:tcPr>
          <w:p>
            <w:pPr>
              <w:ind w:left="180"/>
              <w:spacing w:after="0"/>
              <w:rPr>
                <w:sz w:val="20"/>
                <w:szCs w:val="20"/>
                <w:color w:val="auto"/>
              </w:rPr>
            </w:pPr>
            <w:r>
              <w:rPr>
                <w:rFonts w:ascii="Arial" w:cs="Arial" w:eastAsia="Arial" w:hAnsi="Arial"/>
                <w:sz w:val="13"/>
                <w:szCs w:val="13"/>
                <w:color w:val="0E1020"/>
              </w:rPr>
              <w:t>Malvern, PA 19355</w:t>
            </w:r>
          </w:p>
        </w:tc>
        <w:tc>
          <w:tcPr>
            <w:tcW w:w="2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7"/>
        </w:trPr>
        <w:tc>
          <w:tcPr>
            <w:tcW w:w="6900" w:type="dxa"/>
            <w:vAlign w:val="bottom"/>
            <w:tcBorders>
              <w:bottom w:val="single" w:sz="8" w:color="CFCFD2"/>
            </w:tcBorders>
          </w:tcPr>
          <w:p>
            <w:pPr>
              <w:spacing w:after="0"/>
              <w:rPr>
                <w:sz w:val="2"/>
                <w:szCs w:val="2"/>
                <w:color w:val="auto"/>
              </w:rPr>
            </w:pPr>
          </w:p>
        </w:tc>
        <w:tc>
          <w:tcPr>
            <w:tcW w:w="2160" w:type="dxa"/>
            <w:vAlign w:val="bottom"/>
            <w:tcBorders>
              <w:bottom w:val="single" w:sz="8" w:color="CFCFD2"/>
            </w:tcBorders>
          </w:tcPr>
          <w:p>
            <w:pPr>
              <w:spacing w:after="0"/>
              <w:rPr>
                <w:sz w:val="2"/>
                <w:szCs w:val="2"/>
                <w:color w:val="auto"/>
              </w:rPr>
            </w:pPr>
          </w:p>
        </w:tc>
        <w:tc>
          <w:tcPr>
            <w:tcW w:w="2040" w:type="dxa"/>
            <w:vAlign w:val="bottom"/>
            <w:tcBorders>
              <w:bottom w:val="single" w:sz="8" w:color="CFCFD2"/>
            </w:tcBorders>
          </w:tcPr>
          <w:p>
            <w:pPr>
              <w:spacing w:after="0"/>
              <w:rPr>
                <w:sz w:val="2"/>
                <w:szCs w:val="2"/>
                <w:color w:val="auto"/>
              </w:rPr>
            </w:pPr>
          </w:p>
        </w:tc>
        <w:tc>
          <w:tcPr>
            <w:tcW w:w="140" w:type="dxa"/>
            <w:vAlign w:val="bottom"/>
          </w:tcPr>
          <w:p>
            <w:pPr>
              <w:spacing w:after="0"/>
              <w:rPr>
                <w:sz w:val="2"/>
                <w:szCs w:val="2"/>
                <w:color w:val="auto"/>
              </w:rPr>
            </w:pPr>
          </w:p>
        </w:tc>
      </w:tr>
      <w:tr>
        <w:trPr>
          <w:trHeight w:val="150"/>
        </w:trPr>
        <w:tc>
          <w:tcPr>
            <w:tcW w:w="6900" w:type="dxa"/>
            <w:vAlign w:val="bottom"/>
          </w:tcPr>
          <w:p>
            <w:pPr>
              <w:ind w:left="100"/>
              <w:spacing w:after="0"/>
              <w:rPr>
                <w:sz w:val="20"/>
                <w:szCs w:val="20"/>
                <w:color w:val="auto"/>
              </w:rPr>
            </w:pPr>
            <w:r>
              <w:rPr>
                <w:rFonts w:ascii="Arial" w:cs="Arial" w:eastAsia="Arial" w:hAnsi="Arial"/>
                <w:sz w:val="13"/>
                <w:szCs w:val="13"/>
                <w:b w:val="1"/>
                <w:bCs w:val="1"/>
                <w:color w:val="0E1020"/>
              </w:rPr>
              <w:t>Vanguard Capital Management</w:t>
            </w:r>
          </w:p>
        </w:tc>
        <w:tc>
          <w:tcPr>
            <w:tcW w:w="21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1"/>
        </w:trPr>
        <w:tc>
          <w:tcPr>
            <w:tcW w:w="6900" w:type="dxa"/>
            <w:vAlign w:val="bottom"/>
          </w:tcPr>
          <w:p>
            <w:pPr>
              <w:ind w:left="180"/>
              <w:spacing w:after="0"/>
              <w:rPr>
                <w:sz w:val="20"/>
                <w:szCs w:val="20"/>
                <w:color w:val="auto"/>
              </w:rPr>
            </w:pPr>
            <w:r>
              <w:rPr>
                <w:rFonts w:ascii="Arial" w:cs="Arial" w:eastAsia="Arial" w:hAnsi="Arial"/>
                <w:sz w:val="13"/>
                <w:szCs w:val="13"/>
                <w:color w:val="0E1020"/>
              </w:rPr>
              <w:t>100 Vanguard Blvd.</w:t>
            </w:r>
          </w:p>
        </w:tc>
        <w:tc>
          <w:tcPr>
            <w:tcW w:w="2160" w:type="dxa"/>
            <w:vAlign w:val="bottom"/>
          </w:tcPr>
          <w:p>
            <w:pPr>
              <w:jc w:val="right"/>
              <w:spacing w:after="0" w:line="161" w:lineRule="exact"/>
              <w:rPr>
                <w:sz w:val="20"/>
                <w:szCs w:val="20"/>
                <w:color w:val="auto"/>
              </w:rPr>
            </w:pPr>
            <w:r>
              <w:rPr>
                <w:rFonts w:ascii="Arial" w:cs="Arial" w:eastAsia="Arial" w:hAnsi="Arial"/>
                <w:sz w:val="13"/>
                <w:szCs w:val="13"/>
                <w:color w:val="0E1020"/>
              </w:rPr>
              <w:t>8,883,306</w:t>
            </w:r>
            <w:r>
              <w:rPr>
                <w:rFonts w:ascii="Arial" w:cs="Arial" w:eastAsia="Arial" w:hAnsi="Arial"/>
                <w:sz w:val="16"/>
                <w:szCs w:val="16"/>
                <w:color w:val="0E1020"/>
                <w:vertAlign w:val="superscript"/>
              </w:rPr>
              <w:t>(4)(6)</w:t>
            </w:r>
          </w:p>
        </w:tc>
        <w:tc>
          <w:tcPr>
            <w:tcW w:w="2040" w:type="dxa"/>
            <w:vAlign w:val="bottom"/>
          </w:tcPr>
          <w:p>
            <w:pPr>
              <w:jc w:val="right"/>
              <w:spacing w:after="0"/>
              <w:rPr>
                <w:sz w:val="20"/>
                <w:szCs w:val="20"/>
                <w:color w:val="auto"/>
              </w:rPr>
            </w:pPr>
            <w:r>
              <w:rPr>
                <w:rFonts w:ascii="Arial" w:cs="Arial" w:eastAsia="Arial" w:hAnsi="Arial"/>
                <w:sz w:val="13"/>
                <w:szCs w:val="13"/>
                <w:color w:val="0E1020"/>
              </w:rPr>
              <w:t>5.48</w:t>
            </w:r>
          </w:p>
        </w:tc>
        <w:tc>
          <w:tcPr>
            <w:tcW w:w="140" w:type="dxa"/>
            <w:vAlign w:val="bottom"/>
          </w:tcPr>
          <w:p>
            <w:pPr>
              <w:spacing w:after="0"/>
              <w:rPr>
                <w:sz w:val="13"/>
                <w:szCs w:val="13"/>
                <w:color w:val="auto"/>
              </w:rPr>
            </w:pPr>
          </w:p>
        </w:tc>
      </w:tr>
      <w:tr>
        <w:trPr>
          <w:trHeight w:val="165"/>
        </w:trPr>
        <w:tc>
          <w:tcPr>
            <w:tcW w:w="6900" w:type="dxa"/>
            <w:vAlign w:val="bottom"/>
          </w:tcPr>
          <w:p>
            <w:pPr>
              <w:ind w:left="180"/>
              <w:spacing w:after="0"/>
              <w:rPr>
                <w:sz w:val="20"/>
                <w:szCs w:val="20"/>
                <w:color w:val="auto"/>
              </w:rPr>
            </w:pPr>
            <w:r>
              <w:rPr>
                <w:rFonts w:ascii="Arial" w:cs="Arial" w:eastAsia="Arial" w:hAnsi="Arial"/>
                <w:sz w:val="13"/>
                <w:szCs w:val="13"/>
                <w:color w:val="0E1020"/>
              </w:rPr>
              <w:t>Malvern, PA 19355</w:t>
            </w:r>
          </w:p>
        </w:tc>
        <w:tc>
          <w:tcPr>
            <w:tcW w:w="2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7"/>
        </w:trPr>
        <w:tc>
          <w:tcPr>
            <w:tcW w:w="6900" w:type="dxa"/>
            <w:vAlign w:val="bottom"/>
            <w:tcBorders>
              <w:bottom w:val="single" w:sz="8" w:color="CFCFD2"/>
            </w:tcBorders>
          </w:tcPr>
          <w:p>
            <w:pPr>
              <w:spacing w:after="0"/>
              <w:rPr>
                <w:sz w:val="2"/>
                <w:szCs w:val="2"/>
                <w:color w:val="auto"/>
              </w:rPr>
            </w:pPr>
          </w:p>
        </w:tc>
        <w:tc>
          <w:tcPr>
            <w:tcW w:w="2160" w:type="dxa"/>
            <w:vAlign w:val="bottom"/>
            <w:tcBorders>
              <w:bottom w:val="single" w:sz="8" w:color="CFCFD2"/>
            </w:tcBorders>
          </w:tcPr>
          <w:p>
            <w:pPr>
              <w:spacing w:after="0"/>
              <w:rPr>
                <w:sz w:val="2"/>
                <w:szCs w:val="2"/>
                <w:color w:val="auto"/>
              </w:rPr>
            </w:pPr>
          </w:p>
        </w:tc>
        <w:tc>
          <w:tcPr>
            <w:tcW w:w="2040" w:type="dxa"/>
            <w:vAlign w:val="bottom"/>
            <w:tcBorders>
              <w:bottom w:val="single" w:sz="8" w:color="CFCFD2"/>
            </w:tcBorders>
          </w:tcPr>
          <w:p>
            <w:pPr>
              <w:spacing w:after="0"/>
              <w:rPr>
                <w:sz w:val="2"/>
                <w:szCs w:val="2"/>
                <w:color w:val="auto"/>
              </w:rPr>
            </w:pPr>
          </w:p>
        </w:tc>
        <w:tc>
          <w:tcPr>
            <w:tcW w:w="140" w:type="dxa"/>
            <w:vAlign w:val="bottom"/>
          </w:tcPr>
          <w:p>
            <w:pPr>
              <w:spacing w:after="0"/>
              <w:rPr>
                <w:sz w:val="2"/>
                <w:szCs w:val="2"/>
                <w:color w:val="auto"/>
              </w:rPr>
            </w:pPr>
          </w:p>
        </w:tc>
      </w:tr>
      <w:tr>
        <w:trPr>
          <w:trHeight w:val="150"/>
        </w:trPr>
        <w:tc>
          <w:tcPr>
            <w:tcW w:w="6900" w:type="dxa"/>
            <w:vAlign w:val="bottom"/>
          </w:tcPr>
          <w:p>
            <w:pPr>
              <w:ind w:left="100"/>
              <w:spacing w:after="0"/>
              <w:rPr>
                <w:sz w:val="20"/>
                <w:szCs w:val="20"/>
                <w:color w:val="auto"/>
              </w:rPr>
            </w:pPr>
            <w:r>
              <w:rPr>
                <w:rFonts w:ascii="Arial" w:cs="Arial" w:eastAsia="Arial" w:hAnsi="Arial"/>
                <w:sz w:val="13"/>
                <w:szCs w:val="13"/>
                <w:b w:val="1"/>
                <w:bCs w:val="1"/>
                <w:color w:val="0E1020"/>
              </w:rPr>
              <w:t>Dimensional Fund Advisors LP</w:t>
            </w:r>
          </w:p>
        </w:tc>
        <w:tc>
          <w:tcPr>
            <w:tcW w:w="21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1"/>
        </w:trPr>
        <w:tc>
          <w:tcPr>
            <w:tcW w:w="6900" w:type="dxa"/>
            <w:vAlign w:val="bottom"/>
          </w:tcPr>
          <w:p>
            <w:pPr>
              <w:ind w:left="180"/>
              <w:spacing w:after="0"/>
              <w:rPr>
                <w:sz w:val="20"/>
                <w:szCs w:val="20"/>
                <w:color w:val="auto"/>
              </w:rPr>
            </w:pPr>
            <w:r>
              <w:rPr>
                <w:rFonts w:ascii="Arial" w:cs="Arial" w:eastAsia="Arial" w:hAnsi="Arial"/>
                <w:sz w:val="13"/>
                <w:szCs w:val="13"/>
                <w:color w:val="0E1020"/>
              </w:rPr>
              <w:t>6300 Bee Cave Road, Building One</w:t>
            </w:r>
          </w:p>
        </w:tc>
        <w:tc>
          <w:tcPr>
            <w:tcW w:w="2160" w:type="dxa"/>
            <w:vAlign w:val="bottom"/>
          </w:tcPr>
          <w:p>
            <w:pPr>
              <w:jc w:val="right"/>
              <w:spacing w:after="0" w:line="161" w:lineRule="exact"/>
              <w:rPr>
                <w:sz w:val="20"/>
                <w:szCs w:val="20"/>
                <w:color w:val="auto"/>
              </w:rPr>
            </w:pPr>
            <w:r>
              <w:rPr>
                <w:rFonts w:ascii="Arial" w:cs="Arial" w:eastAsia="Arial" w:hAnsi="Arial"/>
                <w:sz w:val="13"/>
                <w:szCs w:val="13"/>
                <w:color w:val="0E1020"/>
              </w:rPr>
              <w:t>10,058,219</w:t>
            </w:r>
            <w:r>
              <w:rPr>
                <w:rFonts w:ascii="Arial" w:cs="Arial" w:eastAsia="Arial" w:hAnsi="Arial"/>
                <w:sz w:val="16"/>
                <w:szCs w:val="16"/>
                <w:color w:val="0E1020"/>
                <w:vertAlign w:val="superscript"/>
              </w:rPr>
              <w:t>(7)</w:t>
            </w:r>
          </w:p>
        </w:tc>
        <w:tc>
          <w:tcPr>
            <w:tcW w:w="2040" w:type="dxa"/>
            <w:vAlign w:val="bottom"/>
          </w:tcPr>
          <w:p>
            <w:pPr>
              <w:jc w:val="right"/>
              <w:spacing w:after="0"/>
              <w:rPr>
                <w:sz w:val="20"/>
                <w:szCs w:val="20"/>
                <w:color w:val="auto"/>
              </w:rPr>
            </w:pPr>
            <w:r>
              <w:rPr>
                <w:rFonts w:ascii="Arial" w:cs="Arial" w:eastAsia="Arial" w:hAnsi="Arial"/>
                <w:sz w:val="13"/>
                <w:szCs w:val="13"/>
                <w:color w:val="0E1020"/>
              </w:rPr>
              <w:t>6.21</w:t>
            </w:r>
          </w:p>
        </w:tc>
        <w:tc>
          <w:tcPr>
            <w:tcW w:w="140" w:type="dxa"/>
            <w:vAlign w:val="bottom"/>
          </w:tcPr>
          <w:p>
            <w:pPr>
              <w:spacing w:after="0"/>
              <w:rPr>
                <w:sz w:val="13"/>
                <w:szCs w:val="13"/>
                <w:color w:val="auto"/>
              </w:rPr>
            </w:pPr>
          </w:p>
        </w:tc>
      </w:tr>
      <w:tr>
        <w:trPr>
          <w:trHeight w:val="165"/>
        </w:trPr>
        <w:tc>
          <w:tcPr>
            <w:tcW w:w="6900" w:type="dxa"/>
            <w:vAlign w:val="bottom"/>
          </w:tcPr>
          <w:p>
            <w:pPr>
              <w:ind w:left="180"/>
              <w:spacing w:after="0"/>
              <w:rPr>
                <w:sz w:val="20"/>
                <w:szCs w:val="20"/>
                <w:color w:val="auto"/>
              </w:rPr>
            </w:pPr>
            <w:r>
              <w:rPr>
                <w:rFonts w:ascii="Arial" w:cs="Arial" w:eastAsia="Arial" w:hAnsi="Arial"/>
                <w:sz w:val="13"/>
                <w:szCs w:val="13"/>
                <w:color w:val="0E1020"/>
              </w:rPr>
              <w:t>Austin, TX 78746</w:t>
            </w:r>
          </w:p>
        </w:tc>
        <w:tc>
          <w:tcPr>
            <w:tcW w:w="2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7"/>
        </w:trPr>
        <w:tc>
          <w:tcPr>
            <w:tcW w:w="6900" w:type="dxa"/>
            <w:vAlign w:val="bottom"/>
            <w:tcBorders>
              <w:bottom w:val="single" w:sz="8" w:color="CFCFD2"/>
            </w:tcBorders>
          </w:tcPr>
          <w:p>
            <w:pPr>
              <w:spacing w:after="0"/>
              <w:rPr>
                <w:sz w:val="2"/>
                <w:szCs w:val="2"/>
                <w:color w:val="auto"/>
              </w:rPr>
            </w:pPr>
          </w:p>
        </w:tc>
        <w:tc>
          <w:tcPr>
            <w:tcW w:w="2160" w:type="dxa"/>
            <w:vAlign w:val="bottom"/>
            <w:tcBorders>
              <w:bottom w:val="single" w:sz="8" w:color="CFCFD2"/>
            </w:tcBorders>
          </w:tcPr>
          <w:p>
            <w:pPr>
              <w:spacing w:after="0"/>
              <w:rPr>
                <w:sz w:val="2"/>
                <w:szCs w:val="2"/>
                <w:color w:val="auto"/>
              </w:rPr>
            </w:pPr>
          </w:p>
        </w:tc>
        <w:tc>
          <w:tcPr>
            <w:tcW w:w="2040" w:type="dxa"/>
            <w:vAlign w:val="bottom"/>
            <w:tcBorders>
              <w:bottom w:val="single" w:sz="8" w:color="CFCFD2"/>
            </w:tcBorders>
          </w:tcPr>
          <w:p>
            <w:pPr>
              <w:spacing w:after="0"/>
              <w:rPr>
                <w:sz w:val="2"/>
                <w:szCs w:val="2"/>
                <w:color w:val="auto"/>
              </w:rPr>
            </w:pPr>
          </w:p>
        </w:tc>
        <w:tc>
          <w:tcPr>
            <w:tcW w:w="140" w:type="dxa"/>
            <w:vAlign w:val="bottom"/>
            <w:tcBorders>
              <w:bottom w:val="single" w:sz="8" w:color="CFCFD2"/>
            </w:tcBorders>
          </w:tcPr>
          <w:p>
            <w:pPr>
              <w:spacing w:after="0"/>
              <w:rPr>
                <w:sz w:val="2"/>
                <w:szCs w:val="2"/>
                <w:color w:val="auto"/>
              </w:rPr>
            </w:pPr>
          </w:p>
        </w:tc>
      </w:tr>
      <w:tr>
        <w:trPr>
          <w:trHeight w:val="150"/>
        </w:trPr>
        <w:tc>
          <w:tcPr>
            <w:tcW w:w="6900" w:type="dxa"/>
            <w:vAlign w:val="bottom"/>
          </w:tcPr>
          <w:p>
            <w:pPr>
              <w:ind w:left="100"/>
              <w:spacing w:after="0"/>
              <w:rPr>
                <w:sz w:val="20"/>
                <w:szCs w:val="20"/>
                <w:color w:val="auto"/>
              </w:rPr>
            </w:pPr>
            <w:r>
              <w:rPr>
                <w:rFonts w:ascii="Arial" w:cs="Arial" w:eastAsia="Arial" w:hAnsi="Arial"/>
                <w:sz w:val="13"/>
                <w:szCs w:val="13"/>
                <w:b w:val="1"/>
                <w:bCs w:val="1"/>
                <w:color w:val="0E1020"/>
              </w:rPr>
              <w:t>American Century Investment Management, Inc.</w:t>
            </w:r>
          </w:p>
        </w:tc>
        <w:tc>
          <w:tcPr>
            <w:tcW w:w="21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1"/>
        </w:trPr>
        <w:tc>
          <w:tcPr>
            <w:tcW w:w="6900" w:type="dxa"/>
            <w:vAlign w:val="bottom"/>
          </w:tcPr>
          <w:p>
            <w:pPr>
              <w:ind w:left="180"/>
              <w:spacing w:after="0"/>
              <w:rPr>
                <w:sz w:val="20"/>
                <w:szCs w:val="20"/>
                <w:color w:val="auto"/>
              </w:rPr>
            </w:pPr>
            <w:r>
              <w:rPr>
                <w:rFonts w:ascii="Arial" w:cs="Arial" w:eastAsia="Arial" w:hAnsi="Arial"/>
                <w:sz w:val="13"/>
                <w:szCs w:val="13"/>
                <w:color w:val="0E1020"/>
              </w:rPr>
              <w:t>4500 Main Street, 9th Floor</w:t>
            </w:r>
          </w:p>
        </w:tc>
        <w:tc>
          <w:tcPr>
            <w:tcW w:w="2160" w:type="dxa"/>
            <w:vAlign w:val="bottom"/>
          </w:tcPr>
          <w:p>
            <w:pPr>
              <w:jc w:val="right"/>
              <w:spacing w:after="0" w:line="161" w:lineRule="exact"/>
              <w:rPr>
                <w:sz w:val="20"/>
                <w:szCs w:val="20"/>
                <w:color w:val="auto"/>
              </w:rPr>
            </w:pPr>
            <w:r>
              <w:rPr>
                <w:rFonts w:ascii="Arial" w:cs="Arial" w:eastAsia="Arial" w:hAnsi="Arial"/>
                <w:sz w:val="13"/>
                <w:szCs w:val="13"/>
                <w:color w:val="0E1020"/>
              </w:rPr>
              <w:t>9,074,619</w:t>
            </w:r>
            <w:r>
              <w:rPr>
                <w:rFonts w:ascii="Arial" w:cs="Arial" w:eastAsia="Arial" w:hAnsi="Arial"/>
                <w:sz w:val="16"/>
                <w:szCs w:val="16"/>
                <w:color w:val="0E1020"/>
                <w:vertAlign w:val="superscript"/>
              </w:rPr>
              <w:t>(8)</w:t>
            </w:r>
          </w:p>
        </w:tc>
        <w:tc>
          <w:tcPr>
            <w:tcW w:w="2040" w:type="dxa"/>
            <w:vAlign w:val="bottom"/>
          </w:tcPr>
          <w:p>
            <w:pPr>
              <w:jc w:val="right"/>
              <w:spacing w:after="0"/>
              <w:rPr>
                <w:sz w:val="20"/>
                <w:szCs w:val="20"/>
                <w:color w:val="auto"/>
              </w:rPr>
            </w:pPr>
            <w:r>
              <w:rPr>
                <w:rFonts w:ascii="Arial" w:cs="Arial" w:eastAsia="Arial" w:hAnsi="Arial"/>
                <w:sz w:val="13"/>
                <w:szCs w:val="13"/>
                <w:color w:val="0E1020"/>
              </w:rPr>
              <w:t>5.60</w:t>
            </w:r>
          </w:p>
        </w:tc>
        <w:tc>
          <w:tcPr>
            <w:tcW w:w="140" w:type="dxa"/>
            <w:vAlign w:val="bottom"/>
          </w:tcPr>
          <w:p>
            <w:pPr>
              <w:spacing w:after="0"/>
              <w:rPr>
                <w:sz w:val="13"/>
                <w:szCs w:val="13"/>
                <w:color w:val="auto"/>
              </w:rPr>
            </w:pPr>
          </w:p>
        </w:tc>
      </w:tr>
      <w:tr>
        <w:trPr>
          <w:trHeight w:val="165"/>
        </w:trPr>
        <w:tc>
          <w:tcPr>
            <w:tcW w:w="6900" w:type="dxa"/>
            <w:vAlign w:val="bottom"/>
          </w:tcPr>
          <w:p>
            <w:pPr>
              <w:ind w:left="180"/>
              <w:spacing w:after="0"/>
              <w:rPr>
                <w:sz w:val="20"/>
                <w:szCs w:val="20"/>
                <w:color w:val="auto"/>
              </w:rPr>
            </w:pPr>
            <w:r>
              <w:rPr>
                <w:rFonts w:ascii="Arial" w:cs="Arial" w:eastAsia="Arial" w:hAnsi="Arial"/>
                <w:sz w:val="13"/>
                <w:szCs w:val="13"/>
                <w:color w:val="0E1020"/>
              </w:rPr>
              <w:t>Kansas City, MO 64111</w:t>
            </w:r>
          </w:p>
        </w:tc>
        <w:tc>
          <w:tcPr>
            <w:tcW w:w="2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7"/>
        </w:trPr>
        <w:tc>
          <w:tcPr>
            <w:tcW w:w="6900" w:type="dxa"/>
            <w:vAlign w:val="bottom"/>
            <w:tcBorders>
              <w:bottom w:val="single" w:sz="8" w:color="CFCFD2"/>
            </w:tcBorders>
          </w:tcPr>
          <w:p>
            <w:pPr>
              <w:spacing w:after="0"/>
              <w:rPr>
                <w:sz w:val="2"/>
                <w:szCs w:val="2"/>
                <w:color w:val="auto"/>
              </w:rPr>
            </w:pPr>
          </w:p>
        </w:tc>
        <w:tc>
          <w:tcPr>
            <w:tcW w:w="2160" w:type="dxa"/>
            <w:vAlign w:val="bottom"/>
            <w:tcBorders>
              <w:bottom w:val="single" w:sz="8" w:color="CFCFD2"/>
            </w:tcBorders>
          </w:tcPr>
          <w:p>
            <w:pPr>
              <w:spacing w:after="0"/>
              <w:rPr>
                <w:sz w:val="2"/>
                <w:szCs w:val="2"/>
                <w:color w:val="auto"/>
              </w:rPr>
            </w:pPr>
          </w:p>
        </w:tc>
        <w:tc>
          <w:tcPr>
            <w:tcW w:w="2040" w:type="dxa"/>
            <w:vAlign w:val="bottom"/>
            <w:tcBorders>
              <w:bottom w:val="single" w:sz="8" w:color="CFCFD2"/>
            </w:tcBorders>
          </w:tcPr>
          <w:p>
            <w:pPr>
              <w:spacing w:after="0"/>
              <w:rPr>
                <w:sz w:val="2"/>
                <w:szCs w:val="2"/>
                <w:color w:val="auto"/>
              </w:rPr>
            </w:pPr>
          </w:p>
        </w:tc>
        <w:tc>
          <w:tcPr>
            <w:tcW w:w="140" w:type="dxa"/>
            <w:vAlign w:val="bottom"/>
          </w:tcPr>
          <w:p>
            <w:pPr>
              <w:spacing w:after="0"/>
              <w:rPr>
                <w:sz w:val="2"/>
                <w:szCs w:val="2"/>
                <w:color w:val="auto"/>
              </w:rPr>
            </w:pPr>
          </w:p>
        </w:tc>
      </w:tr>
      <w:tr>
        <w:trPr>
          <w:trHeight w:val="150"/>
        </w:trPr>
        <w:tc>
          <w:tcPr>
            <w:tcW w:w="6900" w:type="dxa"/>
            <w:vAlign w:val="bottom"/>
          </w:tcPr>
          <w:p>
            <w:pPr>
              <w:ind w:left="100"/>
              <w:spacing w:after="0"/>
              <w:rPr>
                <w:sz w:val="20"/>
                <w:szCs w:val="20"/>
                <w:color w:val="auto"/>
              </w:rPr>
            </w:pPr>
            <w:r>
              <w:rPr>
                <w:rFonts w:ascii="Arial" w:cs="Arial" w:eastAsia="Arial" w:hAnsi="Arial"/>
                <w:sz w:val="13"/>
                <w:szCs w:val="13"/>
                <w:b w:val="1"/>
                <w:bCs w:val="1"/>
                <w:color w:val="0E1020"/>
              </w:rPr>
              <w:t>Glenview Capital Management, LLC</w:t>
            </w:r>
          </w:p>
        </w:tc>
        <w:tc>
          <w:tcPr>
            <w:tcW w:w="21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1"/>
        </w:trPr>
        <w:tc>
          <w:tcPr>
            <w:tcW w:w="6900" w:type="dxa"/>
            <w:vAlign w:val="bottom"/>
          </w:tcPr>
          <w:p>
            <w:pPr>
              <w:ind w:left="180"/>
              <w:spacing w:after="0"/>
              <w:rPr>
                <w:sz w:val="20"/>
                <w:szCs w:val="20"/>
                <w:color w:val="auto"/>
              </w:rPr>
            </w:pPr>
            <w:r>
              <w:rPr>
                <w:rFonts w:ascii="Arial" w:cs="Arial" w:eastAsia="Arial" w:hAnsi="Arial"/>
                <w:sz w:val="13"/>
                <w:szCs w:val="13"/>
                <w:color w:val="0E1020"/>
              </w:rPr>
              <w:t>520 Madison Avenue, 33rd Floor</w:t>
            </w:r>
          </w:p>
        </w:tc>
        <w:tc>
          <w:tcPr>
            <w:tcW w:w="2160" w:type="dxa"/>
            <w:vAlign w:val="bottom"/>
          </w:tcPr>
          <w:p>
            <w:pPr>
              <w:jc w:val="right"/>
              <w:spacing w:after="0" w:line="161" w:lineRule="exact"/>
              <w:rPr>
                <w:sz w:val="20"/>
                <w:szCs w:val="20"/>
                <w:color w:val="auto"/>
              </w:rPr>
            </w:pPr>
            <w:r>
              <w:rPr>
                <w:rFonts w:ascii="Arial" w:cs="Arial" w:eastAsia="Arial" w:hAnsi="Arial"/>
                <w:sz w:val="13"/>
                <w:szCs w:val="13"/>
                <w:color w:val="0E1020"/>
              </w:rPr>
              <w:t>8,895,875</w:t>
            </w:r>
            <w:r>
              <w:rPr>
                <w:rFonts w:ascii="Arial" w:cs="Arial" w:eastAsia="Arial" w:hAnsi="Arial"/>
                <w:sz w:val="16"/>
                <w:szCs w:val="16"/>
                <w:color w:val="0E1020"/>
                <w:vertAlign w:val="superscript"/>
              </w:rPr>
              <w:t>(9)</w:t>
            </w:r>
          </w:p>
        </w:tc>
        <w:tc>
          <w:tcPr>
            <w:tcW w:w="2040" w:type="dxa"/>
            <w:vAlign w:val="bottom"/>
          </w:tcPr>
          <w:p>
            <w:pPr>
              <w:jc w:val="right"/>
              <w:spacing w:after="0"/>
              <w:rPr>
                <w:sz w:val="20"/>
                <w:szCs w:val="20"/>
                <w:color w:val="auto"/>
              </w:rPr>
            </w:pPr>
            <w:r>
              <w:rPr>
                <w:rFonts w:ascii="Arial" w:cs="Arial" w:eastAsia="Arial" w:hAnsi="Arial"/>
                <w:sz w:val="13"/>
                <w:szCs w:val="13"/>
                <w:color w:val="0E1020"/>
              </w:rPr>
              <w:t>5.49</w:t>
            </w:r>
          </w:p>
        </w:tc>
        <w:tc>
          <w:tcPr>
            <w:tcW w:w="140" w:type="dxa"/>
            <w:vAlign w:val="bottom"/>
          </w:tcPr>
          <w:p>
            <w:pPr>
              <w:spacing w:after="0"/>
              <w:rPr>
                <w:sz w:val="13"/>
                <w:szCs w:val="13"/>
                <w:color w:val="auto"/>
              </w:rPr>
            </w:pPr>
          </w:p>
        </w:tc>
      </w:tr>
      <w:tr>
        <w:trPr>
          <w:trHeight w:val="165"/>
        </w:trPr>
        <w:tc>
          <w:tcPr>
            <w:tcW w:w="6900" w:type="dxa"/>
            <w:vAlign w:val="bottom"/>
          </w:tcPr>
          <w:p>
            <w:pPr>
              <w:ind w:left="180"/>
              <w:spacing w:after="0"/>
              <w:rPr>
                <w:sz w:val="20"/>
                <w:szCs w:val="20"/>
                <w:color w:val="auto"/>
              </w:rPr>
            </w:pPr>
            <w:r>
              <w:rPr>
                <w:rFonts w:ascii="Arial" w:cs="Arial" w:eastAsia="Arial" w:hAnsi="Arial"/>
                <w:sz w:val="13"/>
                <w:szCs w:val="13"/>
                <w:color w:val="0E1020"/>
              </w:rPr>
              <w:t>New York, NY 10022</w:t>
            </w:r>
          </w:p>
        </w:tc>
        <w:tc>
          <w:tcPr>
            <w:tcW w:w="2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7"/>
        </w:trPr>
        <w:tc>
          <w:tcPr>
            <w:tcW w:w="6900" w:type="dxa"/>
            <w:vAlign w:val="bottom"/>
            <w:tcBorders>
              <w:bottom w:val="single" w:sz="8" w:color="CFCFD2"/>
            </w:tcBorders>
          </w:tcPr>
          <w:p>
            <w:pPr>
              <w:spacing w:after="0"/>
              <w:rPr>
                <w:sz w:val="2"/>
                <w:szCs w:val="2"/>
                <w:color w:val="auto"/>
              </w:rPr>
            </w:pPr>
          </w:p>
        </w:tc>
        <w:tc>
          <w:tcPr>
            <w:tcW w:w="2160" w:type="dxa"/>
            <w:vAlign w:val="bottom"/>
            <w:tcBorders>
              <w:bottom w:val="single" w:sz="8" w:color="CFCFD2"/>
            </w:tcBorders>
          </w:tcPr>
          <w:p>
            <w:pPr>
              <w:spacing w:after="0"/>
              <w:rPr>
                <w:sz w:val="2"/>
                <w:szCs w:val="2"/>
                <w:color w:val="auto"/>
              </w:rPr>
            </w:pPr>
          </w:p>
        </w:tc>
        <w:tc>
          <w:tcPr>
            <w:tcW w:w="2040" w:type="dxa"/>
            <w:vAlign w:val="bottom"/>
            <w:tcBorders>
              <w:bottom w:val="single" w:sz="8" w:color="CFCFD2"/>
            </w:tcBorders>
          </w:tcPr>
          <w:p>
            <w:pPr>
              <w:spacing w:after="0"/>
              <w:rPr>
                <w:sz w:val="2"/>
                <w:szCs w:val="2"/>
                <w:color w:val="auto"/>
              </w:rPr>
            </w:pPr>
          </w:p>
        </w:tc>
        <w:tc>
          <w:tcPr>
            <w:tcW w:w="140" w:type="dxa"/>
            <w:vAlign w:val="bottom"/>
            <w:tcBorders>
              <w:bottom w:val="single" w:sz="8" w:color="CFCFD2"/>
            </w:tcBorders>
          </w:tcPr>
          <w:p>
            <w:pPr>
              <w:spacing w:after="0"/>
              <w:rPr>
                <w:sz w:val="2"/>
                <w:szCs w:val="2"/>
                <w:color w:val="auto"/>
              </w:rPr>
            </w:pPr>
          </w:p>
        </w:tc>
      </w:tr>
      <w:tr>
        <w:trPr>
          <w:trHeight w:val="173"/>
        </w:trPr>
        <w:tc>
          <w:tcPr>
            <w:tcW w:w="6900" w:type="dxa"/>
            <w:vAlign w:val="bottom"/>
          </w:tcPr>
          <w:p>
            <w:pPr>
              <w:ind w:left="100"/>
              <w:spacing w:after="0"/>
              <w:rPr>
                <w:sz w:val="20"/>
                <w:szCs w:val="20"/>
                <w:color w:val="auto"/>
              </w:rPr>
            </w:pPr>
            <w:r>
              <w:rPr>
                <w:rFonts w:ascii="Arial" w:cs="Arial" w:eastAsia="Arial" w:hAnsi="Arial"/>
                <w:sz w:val="13"/>
                <w:szCs w:val="13"/>
                <w:b w:val="1"/>
                <w:bCs w:val="1"/>
                <w:color w:val="auto"/>
              </w:rPr>
              <w:t>Raul J. Fernandez</w:t>
            </w:r>
          </w:p>
        </w:tc>
        <w:tc>
          <w:tcPr>
            <w:tcW w:w="2160" w:type="dxa"/>
            <w:vAlign w:val="bottom"/>
          </w:tcPr>
          <w:p>
            <w:pPr>
              <w:jc w:val="right"/>
              <w:spacing w:after="0"/>
              <w:rPr>
                <w:sz w:val="20"/>
                <w:szCs w:val="20"/>
                <w:color w:val="auto"/>
              </w:rPr>
            </w:pPr>
            <w:r>
              <w:rPr>
                <w:rFonts w:ascii="Arial" w:cs="Arial" w:eastAsia="Arial" w:hAnsi="Arial"/>
                <w:sz w:val="13"/>
                <w:szCs w:val="13"/>
                <w:color w:val="0E1020"/>
              </w:rPr>
              <w:t>433,794</w:t>
            </w:r>
          </w:p>
        </w:tc>
        <w:tc>
          <w:tcPr>
            <w:tcW w:w="2040" w:type="dxa"/>
            <w:vAlign w:val="bottom"/>
          </w:tcPr>
          <w:p>
            <w:pPr>
              <w:jc w:val="right"/>
              <w:spacing w:after="0"/>
              <w:rPr>
                <w:sz w:val="20"/>
                <w:szCs w:val="20"/>
                <w:color w:val="auto"/>
              </w:rPr>
            </w:pPr>
            <w:r>
              <w:rPr>
                <w:rFonts w:ascii="Arial" w:cs="Arial" w:eastAsia="Arial" w:hAnsi="Arial"/>
                <w:sz w:val="13"/>
                <w:szCs w:val="13"/>
                <w:color w:val="0E1020"/>
              </w:rPr>
              <w:t>*</w:t>
            </w:r>
          </w:p>
        </w:tc>
        <w:tc>
          <w:tcPr>
            <w:tcW w:w="140" w:type="dxa"/>
            <w:vAlign w:val="bottom"/>
          </w:tcPr>
          <w:p>
            <w:pPr>
              <w:spacing w:after="0"/>
              <w:rPr>
                <w:sz w:val="15"/>
                <w:szCs w:val="15"/>
                <w:color w:val="auto"/>
              </w:rPr>
            </w:pPr>
          </w:p>
        </w:tc>
      </w:tr>
      <w:tr>
        <w:trPr>
          <w:trHeight w:val="21"/>
        </w:trPr>
        <w:tc>
          <w:tcPr>
            <w:tcW w:w="6900" w:type="dxa"/>
            <w:vAlign w:val="bottom"/>
            <w:tcBorders>
              <w:bottom w:val="single" w:sz="8" w:color="CFCFD2"/>
            </w:tcBorders>
          </w:tcPr>
          <w:p>
            <w:pPr>
              <w:spacing w:after="0" w:line="20" w:lineRule="exact"/>
              <w:rPr>
                <w:sz w:val="1"/>
                <w:szCs w:val="1"/>
                <w:color w:val="auto"/>
              </w:rPr>
            </w:pPr>
          </w:p>
        </w:tc>
        <w:tc>
          <w:tcPr>
            <w:tcW w:w="2160" w:type="dxa"/>
            <w:vAlign w:val="bottom"/>
            <w:tcBorders>
              <w:bottom w:val="single" w:sz="8" w:color="CFCFD2"/>
            </w:tcBorders>
          </w:tcPr>
          <w:p>
            <w:pPr>
              <w:spacing w:after="0" w:line="20" w:lineRule="exact"/>
              <w:rPr>
                <w:sz w:val="1"/>
                <w:szCs w:val="1"/>
                <w:color w:val="auto"/>
              </w:rPr>
            </w:pPr>
          </w:p>
        </w:tc>
        <w:tc>
          <w:tcPr>
            <w:tcW w:w="2040" w:type="dxa"/>
            <w:vAlign w:val="bottom"/>
            <w:tcBorders>
              <w:bottom w:val="single" w:sz="8" w:color="CFCFD2"/>
            </w:tcBorders>
          </w:tcPr>
          <w:p>
            <w:pPr>
              <w:spacing w:after="0" w:line="20" w:lineRule="exact"/>
              <w:rPr>
                <w:sz w:val="1"/>
                <w:szCs w:val="1"/>
                <w:color w:val="auto"/>
              </w:rPr>
            </w:pPr>
          </w:p>
        </w:tc>
        <w:tc>
          <w:tcPr>
            <w:tcW w:w="140" w:type="dxa"/>
            <w:vAlign w:val="bottom"/>
            <w:tcBorders>
              <w:bottom w:val="single" w:sz="8" w:color="CFCFD2"/>
            </w:tcBorders>
          </w:tcPr>
          <w:p>
            <w:pPr>
              <w:spacing w:after="0" w:line="20" w:lineRule="exact"/>
              <w:rPr>
                <w:sz w:val="1"/>
                <w:szCs w:val="1"/>
                <w:color w:val="auto"/>
              </w:rPr>
            </w:pPr>
          </w:p>
        </w:tc>
      </w:tr>
      <w:tr>
        <w:trPr>
          <w:trHeight w:val="194"/>
        </w:trPr>
        <w:tc>
          <w:tcPr>
            <w:tcW w:w="6900" w:type="dxa"/>
            <w:vAlign w:val="bottom"/>
            <w:tcBorders>
              <w:bottom w:val="single" w:sz="8" w:color="CFCFD2"/>
            </w:tcBorders>
          </w:tcPr>
          <w:p>
            <w:pPr>
              <w:ind w:left="100"/>
              <w:spacing w:after="0"/>
              <w:rPr>
                <w:sz w:val="20"/>
                <w:szCs w:val="20"/>
                <w:color w:val="auto"/>
              </w:rPr>
            </w:pPr>
            <w:r>
              <w:rPr>
                <w:rFonts w:ascii="Arial" w:cs="Arial" w:eastAsia="Arial" w:hAnsi="Arial"/>
                <w:sz w:val="13"/>
                <w:szCs w:val="13"/>
                <w:b w:val="1"/>
                <w:bCs w:val="1"/>
                <w:color w:val="auto"/>
              </w:rPr>
              <w:t>Robert Del Bene</w:t>
            </w:r>
          </w:p>
        </w:tc>
        <w:tc>
          <w:tcPr>
            <w:tcW w:w="216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147,260</w:t>
            </w:r>
            <w:r>
              <w:rPr>
                <w:rFonts w:ascii="Arial" w:cs="Arial" w:eastAsia="Arial" w:hAnsi="Arial"/>
                <w:sz w:val="16"/>
                <w:szCs w:val="16"/>
                <w:color w:val="0E1020"/>
                <w:vertAlign w:val="superscript"/>
              </w:rPr>
              <w:t>(9)</w:t>
            </w:r>
          </w:p>
        </w:tc>
        <w:tc>
          <w:tcPr>
            <w:tcW w:w="204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w:t>
            </w:r>
          </w:p>
        </w:tc>
        <w:tc>
          <w:tcPr>
            <w:tcW w:w="140" w:type="dxa"/>
            <w:vAlign w:val="bottom"/>
            <w:tcBorders>
              <w:bottom w:val="single" w:sz="8" w:color="CFCFD2"/>
            </w:tcBorders>
          </w:tcPr>
          <w:p>
            <w:pPr>
              <w:spacing w:after="0"/>
              <w:rPr>
                <w:sz w:val="16"/>
                <w:szCs w:val="16"/>
                <w:color w:val="auto"/>
              </w:rPr>
            </w:pPr>
          </w:p>
        </w:tc>
      </w:tr>
      <w:tr>
        <w:trPr>
          <w:trHeight w:val="194"/>
        </w:trPr>
        <w:tc>
          <w:tcPr>
            <w:tcW w:w="6900" w:type="dxa"/>
            <w:vAlign w:val="bottom"/>
            <w:tcBorders>
              <w:bottom w:val="single" w:sz="8" w:color="CFCFD2"/>
            </w:tcBorders>
          </w:tcPr>
          <w:p>
            <w:pPr>
              <w:ind w:left="100"/>
              <w:spacing w:after="0"/>
              <w:rPr>
                <w:sz w:val="20"/>
                <w:szCs w:val="20"/>
                <w:color w:val="auto"/>
              </w:rPr>
            </w:pPr>
            <w:r>
              <w:rPr>
                <w:rFonts w:ascii="Arial" w:cs="Arial" w:eastAsia="Arial" w:hAnsi="Arial"/>
                <w:sz w:val="13"/>
                <w:szCs w:val="13"/>
                <w:b w:val="1"/>
                <w:bCs w:val="1"/>
                <w:color w:val="auto"/>
              </w:rPr>
              <w:t>Raymond A. August</w:t>
            </w:r>
          </w:p>
        </w:tc>
        <w:tc>
          <w:tcPr>
            <w:tcW w:w="216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209,976</w:t>
            </w:r>
            <w:r>
              <w:rPr>
                <w:rFonts w:ascii="Arial" w:cs="Arial" w:eastAsia="Arial" w:hAnsi="Arial"/>
                <w:sz w:val="16"/>
                <w:szCs w:val="16"/>
                <w:color w:val="0E1020"/>
                <w:vertAlign w:val="superscript"/>
              </w:rPr>
              <w:t>(9)</w:t>
            </w:r>
          </w:p>
        </w:tc>
        <w:tc>
          <w:tcPr>
            <w:tcW w:w="204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w:t>
            </w:r>
          </w:p>
        </w:tc>
        <w:tc>
          <w:tcPr>
            <w:tcW w:w="140" w:type="dxa"/>
            <w:vAlign w:val="bottom"/>
            <w:tcBorders>
              <w:bottom w:val="single" w:sz="8" w:color="CFCFD2"/>
            </w:tcBorders>
          </w:tcPr>
          <w:p>
            <w:pPr>
              <w:spacing w:after="0"/>
              <w:rPr>
                <w:sz w:val="16"/>
                <w:szCs w:val="16"/>
                <w:color w:val="auto"/>
              </w:rPr>
            </w:pPr>
          </w:p>
        </w:tc>
      </w:tr>
      <w:tr>
        <w:trPr>
          <w:trHeight w:val="194"/>
        </w:trPr>
        <w:tc>
          <w:tcPr>
            <w:tcW w:w="6900" w:type="dxa"/>
            <w:vAlign w:val="bottom"/>
            <w:tcBorders>
              <w:bottom w:val="single" w:sz="8" w:color="CFCFD2"/>
            </w:tcBorders>
          </w:tcPr>
          <w:p>
            <w:pPr>
              <w:ind w:left="100"/>
              <w:spacing w:after="0"/>
              <w:rPr>
                <w:sz w:val="20"/>
                <w:szCs w:val="20"/>
                <w:color w:val="auto"/>
              </w:rPr>
            </w:pPr>
            <w:r>
              <w:rPr>
                <w:rFonts w:ascii="Arial" w:cs="Arial" w:eastAsia="Arial" w:hAnsi="Arial"/>
                <w:sz w:val="13"/>
                <w:szCs w:val="13"/>
                <w:b w:val="1"/>
                <w:bCs w:val="1"/>
                <w:color w:val="auto"/>
              </w:rPr>
              <w:t>Howard Boville</w:t>
            </w:r>
          </w:p>
        </w:tc>
        <w:tc>
          <w:tcPr>
            <w:tcW w:w="216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84,374</w:t>
            </w:r>
            <w:r>
              <w:rPr>
                <w:rFonts w:ascii="Arial" w:cs="Arial" w:eastAsia="Arial" w:hAnsi="Arial"/>
                <w:sz w:val="16"/>
                <w:szCs w:val="16"/>
                <w:color w:val="0E1020"/>
                <w:vertAlign w:val="superscript"/>
              </w:rPr>
              <w:t>(10)</w:t>
            </w:r>
          </w:p>
        </w:tc>
        <w:tc>
          <w:tcPr>
            <w:tcW w:w="204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w:t>
            </w:r>
          </w:p>
        </w:tc>
        <w:tc>
          <w:tcPr>
            <w:tcW w:w="140" w:type="dxa"/>
            <w:vAlign w:val="bottom"/>
            <w:tcBorders>
              <w:bottom w:val="single" w:sz="8" w:color="CFCFD2"/>
            </w:tcBorders>
          </w:tcPr>
          <w:p>
            <w:pPr>
              <w:spacing w:after="0"/>
              <w:rPr>
                <w:sz w:val="16"/>
                <w:szCs w:val="16"/>
                <w:color w:val="auto"/>
              </w:rPr>
            </w:pPr>
          </w:p>
        </w:tc>
      </w:tr>
      <w:tr>
        <w:trPr>
          <w:trHeight w:val="173"/>
        </w:trPr>
        <w:tc>
          <w:tcPr>
            <w:tcW w:w="6900" w:type="dxa"/>
            <w:vAlign w:val="bottom"/>
          </w:tcPr>
          <w:p>
            <w:pPr>
              <w:ind w:left="100"/>
              <w:spacing w:after="0"/>
              <w:rPr>
                <w:sz w:val="20"/>
                <w:szCs w:val="20"/>
                <w:color w:val="auto"/>
              </w:rPr>
            </w:pPr>
            <w:r>
              <w:rPr>
                <w:rFonts w:ascii="Arial" w:cs="Arial" w:eastAsia="Arial" w:hAnsi="Arial"/>
                <w:sz w:val="13"/>
                <w:szCs w:val="13"/>
                <w:b w:val="1"/>
                <w:bCs w:val="1"/>
                <w:color w:val="auto"/>
              </w:rPr>
              <w:t>Chris Drumgoole</w:t>
            </w:r>
          </w:p>
        </w:tc>
        <w:tc>
          <w:tcPr>
            <w:tcW w:w="2160" w:type="dxa"/>
            <w:vAlign w:val="bottom"/>
          </w:tcPr>
          <w:p>
            <w:pPr>
              <w:jc w:val="right"/>
              <w:spacing w:after="0"/>
              <w:rPr>
                <w:sz w:val="20"/>
                <w:szCs w:val="20"/>
                <w:color w:val="auto"/>
              </w:rPr>
            </w:pPr>
            <w:r>
              <w:rPr>
                <w:rFonts w:ascii="Arial" w:cs="Arial" w:eastAsia="Arial" w:hAnsi="Arial"/>
                <w:sz w:val="13"/>
                <w:szCs w:val="13"/>
                <w:color w:val="0E1020"/>
              </w:rPr>
              <w:t>335,691</w:t>
            </w:r>
          </w:p>
        </w:tc>
        <w:tc>
          <w:tcPr>
            <w:tcW w:w="2040" w:type="dxa"/>
            <w:vAlign w:val="bottom"/>
          </w:tcPr>
          <w:p>
            <w:pPr>
              <w:jc w:val="right"/>
              <w:spacing w:after="0"/>
              <w:rPr>
                <w:sz w:val="20"/>
                <w:szCs w:val="20"/>
                <w:color w:val="auto"/>
              </w:rPr>
            </w:pPr>
            <w:r>
              <w:rPr>
                <w:rFonts w:ascii="Arial" w:cs="Arial" w:eastAsia="Arial" w:hAnsi="Arial"/>
                <w:sz w:val="13"/>
                <w:szCs w:val="13"/>
                <w:color w:val="0E1020"/>
              </w:rPr>
              <w:t>*</w:t>
            </w:r>
          </w:p>
        </w:tc>
        <w:tc>
          <w:tcPr>
            <w:tcW w:w="140" w:type="dxa"/>
            <w:vAlign w:val="bottom"/>
          </w:tcPr>
          <w:p>
            <w:pPr>
              <w:spacing w:after="0"/>
              <w:rPr>
                <w:sz w:val="15"/>
                <w:szCs w:val="15"/>
                <w:color w:val="auto"/>
              </w:rPr>
            </w:pPr>
          </w:p>
        </w:tc>
      </w:tr>
      <w:tr>
        <w:trPr>
          <w:trHeight w:val="21"/>
        </w:trPr>
        <w:tc>
          <w:tcPr>
            <w:tcW w:w="6900" w:type="dxa"/>
            <w:vAlign w:val="bottom"/>
            <w:tcBorders>
              <w:bottom w:val="single" w:sz="8" w:color="CFCFD2"/>
            </w:tcBorders>
          </w:tcPr>
          <w:p>
            <w:pPr>
              <w:spacing w:after="0" w:line="20" w:lineRule="exact"/>
              <w:rPr>
                <w:sz w:val="1"/>
                <w:szCs w:val="1"/>
                <w:color w:val="auto"/>
              </w:rPr>
            </w:pPr>
          </w:p>
        </w:tc>
        <w:tc>
          <w:tcPr>
            <w:tcW w:w="2160" w:type="dxa"/>
            <w:vAlign w:val="bottom"/>
            <w:tcBorders>
              <w:bottom w:val="single" w:sz="8" w:color="CFCFD2"/>
            </w:tcBorders>
          </w:tcPr>
          <w:p>
            <w:pPr>
              <w:spacing w:after="0" w:line="20" w:lineRule="exact"/>
              <w:rPr>
                <w:sz w:val="1"/>
                <w:szCs w:val="1"/>
                <w:color w:val="auto"/>
              </w:rPr>
            </w:pPr>
          </w:p>
        </w:tc>
        <w:tc>
          <w:tcPr>
            <w:tcW w:w="2040" w:type="dxa"/>
            <w:vAlign w:val="bottom"/>
            <w:tcBorders>
              <w:bottom w:val="single" w:sz="8" w:color="CFCFD2"/>
            </w:tcBorders>
          </w:tcPr>
          <w:p>
            <w:pPr>
              <w:spacing w:after="0" w:line="20" w:lineRule="exact"/>
              <w:rPr>
                <w:sz w:val="1"/>
                <w:szCs w:val="1"/>
                <w:color w:val="auto"/>
              </w:rPr>
            </w:pPr>
          </w:p>
        </w:tc>
        <w:tc>
          <w:tcPr>
            <w:tcW w:w="140" w:type="dxa"/>
            <w:vAlign w:val="bottom"/>
            <w:tcBorders>
              <w:bottom w:val="single" w:sz="8" w:color="CFCFD2"/>
            </w:tcBorders>
          </w:tcPr>
          <w:p>
            <w:pPr>
              <w:spacing w:after="0" w:line="20" w:lineRule="exact"/>
              <w:rPr>
                <w:sz w:val="1"/>
                <w:szCs w:val="1"/>
                <w:color w:val="auto"/>
              </w:rPr>
            </w:pPr>
          </w:p>
        </w:tc>
      </w:tr>
      <w:tr>
        <w:trPr>
          <w:trHeight w:val="173"/>
        </w:trPr>
        <w:tc>
          <w:tcPr>
            <w:tcW w:w="6900" w:type="dxa"/>
            <w:vAlign w:val="bottom"/>
          </w:tcPr>
          <w:p>
            <w:pPr>
              <w:ind w:left="100"/>
              <w:spacing w:after="0"/>
              <w:rPr>
                <w:sz w:val="20"/>
                <w:szCs w:val="20"/>
                <w:color w:val="auto"/>
              </w:rPr>
            </w:pPr>
            <w:r>
              <w:rPr>
                <w:rFonts w:ascii="Arial" w:cs="Arial" w:eastAsia="Arial" w:hAnsi="Arial"/>
                <w:sz w:val="13"/>
                <w:szCs w:val="13"/>
                <w:b w:val="1"/>
                <w:bCs w:val="1"/>
                <w:color w:val="auto"/>
              </w:rPr>
              <w:t>Matthew K. Fawcett</w:t>
            </w:r>
          </w:p>
        </w:tc>
        <w:tc>
          <w:tcPr>
            <w:tcW w:w="2160" w:type="dxa"/>
            <w:vAlign w:val="bottom"/>
          </w:tcPr>
          <w:p>
            <w:pPr>
              <w:jc w:val="right"/>
              <w:spacing w:after="0"/>
              <w:rPr>
                <w:sz w:val="20"/>
                <w:szCs w:val="20"/>
                <w:color w:val="auto"/>
              </w:rPr>
            </w:pPr>
            <w:r>
              <w:rPr>
                <w:rFonts w:ascii="Arial" w:cs="Arial" w:eastAsia="Arial" w:hAnsi="Arial"/>
                <w:sz w:val="13"/>
                <w:szCs w:val="13"/>
                <w:color w:val="0E1020"/>
              </w:rPr>
              <w:t>43,832</w:t>
            </w:r>
          </w:p>
        </w:tc>
        <w:tc>
          <w:tcPr>
            <w:tcW w:w="2040" w:type="dxa"/>
            <w:vAlign w:val="bottom"/>
          </w:tcPr>
          <w:p>
            <w:pPr>
              <w:jc w:val="right"/>
              <w:spacing w:after="0"/>
              <w:rPr>
                <w:sz w:val="20"/>
                <w:szCs w:val="20"/>
                <w:color w:val="auto"/>
              </w:rPr>
            </w:pPr>
            <w:r>
              <w:rPr>
                <w:rFonts w:ascii="Arial" w:cs="Arial" w:eastAsia="Arial" w:hAnsi="Arial"/>
                <w:sz w:val="13"/>
                <w:szCs w:val="13"/>
                <w:color w:val="0E1020"/>
              </w:rPr>
              <w:t>*</w:t>
            </w:r>
          </w:p>
        </w:tc>
        <w:tc>
          <w:tcPr>
            <w:tcW w:w="140" w:type="dxa"/>
            <w:vAlign w:val="bottom"/>
          </w:tcPr>
          <w:p>
            <w:pPr>
              <w:spacing w:after="0"/>
              <w:rPr>
                <w:sz w:val="15"/>
                <w:szCs w:val="15"/>
                <w:color w:val="auto"/>
              </w:rPr>
            </w:pPr>
          </w:p>
        </w:tc>
      </w:tr>
      <w:tr>
        <w:trPr>
          <w:trHeight w:val="21"/>
        </w:trPr>
        <w:tc>
          <w:tcPr>
            <w:tcW w:w="6900" w:type="dxa"/>
            <w:vAlign w:val="bottom"/>
            <w:tcBorders>
              <w:bottom w:val="single" w:sz="8" w:color="CFCFD2"/>
            </w:tcBorders>
          </w:tcPr>
          <w:p>
            <w:pPr>
              <w:spacing w:after="0" w:line="20" w:lineRule="exact"/>
              <w:rPr>
                <w:sz w:val="1"/>
                <w:szCs w:val="1"/>
                <w:color w:val="auto"/>
              </w:rPr>
            </w:pPr>
          </w:p>
        </w:tc>
        <w:tc>
          <w:tcPr>
            <w:tcW w:w="2160" w:type="dxa"/>
            <w:vAlign w:val="bottom"/>
            <w:tcBorders>
              <w:bottom w:val="single" w:sz="8" w:color="CFCFD2"/>
            </w:tcBorders>
          </w:tcPr>
          <w:p>
            <w:pPr>
              <w:spacing w:after="0" w:line="20" w:lineRule="exact"/>
              <w:rPr>
                <w:sz w:val="1"/>
                <w:szCs w:val="1"/>
                <w:color w:val="auto"/>
              </w:rPr>
            </w:pPr>
          </w:p>
        </w:tc>
        <w:tc>
          <w:tcPr>
            <w:tcW w:w="2040" w:type="dxa"/>
            <w:vAlign w:val="bottom"/>
            <w:tcBorders>
              <w:bottom w:val="single" w:sz="8" w:color="CFCFD2"/>
            </w:tcBorders>
          </w:tcPr>
          <w:p>
            <w:pPr>
              <w:spacing w:after="0" w:line="20" w:lineRule="exact"/>
              <w:rPr>
                <w:sz w:val="1"/>
                <w:szCs w:val="1"/>
                <w:color w:val="auto"/>
              </w:rPr>
            </w:pPr>
          </w:p>
        </w:tc>
        <w:tc>
          <w:tcPr>
            <w:tcW w:w="140" w:type="dxa"/>
            <w:vAlign w:val="bottom"/>
            <w:tcBorders>
              <w:bottom w:val="single" w:sz="8" w:color="CFCFD2"/>
            </w:tcBorders>
          </w:tcPr>
          <w:p>
            <w:pPr>
              <w:spacing w:after="0" w:line="20" w:lineRule="exact"/>
              <w:rPr>
                <w:sz w:val="1"/>
                <w:szCs w:val="1"/>
                <w:color w:val="auto"/>
              </w:rPr>
            </w:pPr>
          </w:p>
        </w:tc>
      </w:tr>
      <w:tr>
        <w:trPr>
          <w:trHeight w:val="194"/>
        </w:trPr>
        <w:tc>
          <w:tcPr>
            <w:tcW w:w="6900" w:type="dxa"/>
            <w:vAlign w:val="bottom"/>
            <w:tcBorders>
              <w:bottom w:val="single" w:sz="8" w:color="CFCFD2"/>
            </w:tcBorders>
          </w:tcPr>
          <w:p>
            <w:pPr>
              <w:ind w:left="100"/>
              <w:spacing w:after="0"/>
              <w:rPr>
                <w:sz w:val="20"/>
                <w:szCs w:val="20"/>
                <w:color w:val="auto"/>
              </w:rPr>
            </w:pPr>
            <w:r>
              <w:rPr>
                <w:rFonts w:ascii="Arial" w:cs="Arial" w:eastAsia="Arial" w:hAnsi="Arial"/>
                <w:sz w:val="13"/>
                <w:szCs w:val="13"/>
                <w:b w:val="1"/>
                <w:bCs w:val="1"/>
                <w:color w:val="auto"/>
              </w:rPr>
              <w:t>David A. Barnes</w:t>
            </w:r>
          </w:p>
        </w:tc>
        <w:tc>
          <w:tcPr>
            <w:tcW w:w="216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65,000</w:t>
            </w:r>
            <w:r>
              <w:rPr>
                <w:rFonts w:ascii="Arial" w:cs="Arial" w:eastAsia="Arial" w:hAnsi="Arial"/>
                <w:sz w:val="16"/>
                <w:szCs w:val="16"/>
                <w:color w:val="0E1020"/>
                <w:vertAlign w:val="superscript"/>
              </w:rPr>
              <w:t>(9)</w:t>
            </w:r>
          </w:p>
        </w:tc>
        <w:tc>
          <w:tcPr>
            <w:tcW w:w="204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w:t>
            </w:r>
          </w:p>
        </w:tc>
        <w:tc>
          <w:tcPr>
            <w:tcW w:w="140" w:type="dxa"/>
            <w:vAlign w:val="bottom"/>
            <w:tcBorders>
              <w:bottom w:val="single" w:sz="8" w:color="CFCFD2"/>
            </w:tcBorders>
          </w:tcPr>
          <w:p>
            <w:pPr>
              <w:spacing w:after="0"/>
              <w:rPr>
                <w:sz w:val="16"/>
                <w:szCs w:val="16"/>
                <w:color w:val="auto"/>
              </w:rPr>
            </w:pPr>
          </w:p>
        </w:tc>
      </w:tr>
      <w:tr>
        <w:trPr>
          <w:trHeight w:val="194"/>
        </w:trPr>
        <w:tc>
          <w:tcPr>
            <w:tcW w:w="6900" w:type="dxa"/>
            <w:vAlign w:val="bottom"/>
            <w:tcBorders>
              <w:bottom w:val="single" w:sz="8" w:color="CFCFD2"/>
            </w:tcBorders>
          </w:tcPr>
          <w:p>
            <w:pPr>
              <w:ind w:left="100"/>
              <w:spacing w:after="0"/>
              <w:rPr>
                <w:sz w:val="20"/>
                <w:szCs w:val="20"/>
                <w:color w:val="auto"/>
              </w:rPr>
            </w:pPr>
            <w:r>
              <w:rPr>
                <w:rFonts w:ascii="Arial" w:cs="Arial" w:eastAsia="Arial" w:hAnsi="Arial"/>
                <w:sz w:val="13"/>
                <w:szCs w:val="13"/>
                <w:b w:val="1"/>
                <w:bCs w:val="1"/>
                <w:color w:val="auto"/>
              </w:rPr>
              <w:t>Anthony Gonzalez</w:t>
            </w:r>
          </w:p>
        </w:tc>
        <w:tc>
          <w:tcPr>
            <w:tcW w:w="216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34,300</w:t>
            </w:r>
            <w:r>
              <w:rPr>
                <w:rFonts w:ascii="Arial" w:cs="Arial" w:eastAsia="Arial" w:hAnsi="Arial"/>
                <w:sz w:val="16"/>
                <w:szCs w:val="16"/>
                <w:color w:val="0E1020"/>
                <w:vertAlign w:val="superscript"/>
              </w:rPr>
              <w:t>(9)</w:t>
            </w:r>
          </w:p>
        </w:tc>
        <w:tc>
          <w:tcPr>
            <w:tcW w:w="204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w:t>
            </w:r>
          </w:p>
        </w:tc>
        <w:tc>
          <w:tcPr>
            <w:tcW w:w="140" w:type="dxa"/>
            <w:vAlign w:val="bottom"/>
            <w:tcBorders>
              <w:bottom w:val="single" w:sz="8" w:color="CFCFD2"/>
            </w:tcBorders>
          </w:tcPr>
          <w:p>
            <w:pPr>
              <w:spacing w:after="0"/>
              <w:rPr>
                <w:sz w:val="16"/>
                <w:szCs w:val="16"/>
                <w:color w:val="auto"/>
              </w:rPr>
            </w:pPr>
          </w:p>
        </w:tc>
      </w:tr>
      <w:tr>
        <w:trPr>
          <w:trHeight w:val="194"/>
        </w:trPr>
        <w:tc>
          <w:tcPr>
            <w:tcW w:w="6900" w:type="dxa"/>
            <w:vAlign w:val="bottom"/>
            <w:tcBorders>
              <w:bottom w:val="single" w:sz="8" w:color="CFCFD2"/>
            </w:tcBorders>
          </w:tcPr>
          <w:p>
            <w:pPr>
              <w:ind w:left="100"/>
              <w:spacing w:after="0"/>
              <w:rPr>
                <w:sz w:val="20"/>
                <w:szCs w:val="20"/>
                <w:color w:val="auto"/>
              </w:rPr>
            </w:pPr>
            <w:r>
              <w:rPr>
                <w:rFonts w:ascii="Arial" w:cs="Arial" w:eastAsia="Arial" w:hAnsi="Arial"/>
                <w:sz w:val="13"/>
                <w:szCs w:val="13"/>
                <w:b w:val="1"/>
                <w:bCs w:val="1"/>
                <w:color w:val="auto"/>
              </w:rPr>
              <w:t>David L. Herzog</w:t>
            </w:r>
          </w:p>
        </w:tc>
        <w:tc>
          <w:tcPr>
            <w:tcW w:w="216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116,401</w:t>
            </w:r>
            <w:r>
              <w:rPr>
                <w:rFonts w:ascii="Arial" w:cs="Arial" w:eastAsia="Arial" w:hAnsi="Arial"/>
                <w:sz w:val="16"/>
                <w:szCs w:val="16"/>
                <w:color w:val="0E1020"/>
                <w:vertAlign w:val="superscript"/>
              </w:rPr>
              <w:t>(9)</w:t>
            </w:r>
          </w:p>
        </w:tc>
        <w:tc>
          <w:tcPr>
            <w:tcW w:w="204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w:t>
            </w:r>
          </w:p>
        </w:tc>
        <w:tc>
          <w:tcPr>
            <w:tcW w:w="140" w:type="dxa"/>
            <w:vAlign w:val="bottom"/>
            <w:tcBorders>
              <w:bottom w:val="single" w:sz="8" w:color="CFCFD2"/>
            </w:tcBorders>
          </w:tcPr>
          <w:p>
            <w:pPr>
              <w:spacing w:after="0"/>
              <w:rPr>
                <w:sz w:val="16"/>
                <w:szCs w:val="16"/>
                <w:color w:val="auto"/>
              </w:rPr>
            </w:pPr>
          </w:p>
        </w:tc>
      </w:tr>
      <w:tr>
        <w:trPr>
          <w:trHeight w:val="194"/>
        </w:trPr>
        <w:tc>
          <w:tcPr>
            <w:tcW w:w="6900" w:type="dxa"/>
            <w:vAlign w:val="bottom"/>
            <w:tcBorders>
              <w:bottom w:val="single" w:sz="8" w:color="CFCFD2"/>
            </w:tcBorders>
          </w:tcPr>
          <w:p>
            <w:pPr>
              <w:ind w:left="100"/>
              <w:spacing w:after="0"/>
              <w:rPr>
                <w:sz w:val="20"/>
                <w:szCs w:val="20"/>
                <w:color w:val="auto"/>
              </w:rPr>
            </w:pPr>
            <w:r>
              <w:rPr>
                <w:rFonts w:ascii="Arial" w:cs="Arial" w:eastAsia="Arial" w:hAnsi="Arial"/>
                <w:sz w:val="13"/>
                <w:szCs w:val="13"/>
                <w:b w:val="1"/>
                <w:bCs w:val="1"/>
                <w:color w:val="auto"/>
              </w:rPr>
              <w:t>Pinkie D. Mayfield</w:t>
            </w:r>
          </w:p>
        </w:tc>
        <w:tc>
          <w:tcPr>
            <w:tcW w:w="216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42,800</w:t>
            </w:r>
            <w:r>
              <w:rPr>
                <w:rFonts w:ascii="Arial" w:cs="Arial" w:eastAsia="Arial" w:hAnsi="Arial"/>
                <w:sz w:val="16"/>
                <w:szCs w:val="16"/>
                <w:color w:val="0E1020"/>
                <w:vertAlign w:val="superscript"/>
              </w:rPr>
              <w:t>(9)</w:t>
            </w:r>
          </w:p>
        </w:tc>
        <w:tc>
          <w:tcPr>
            <w:tcW w:w="204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w:t>
            </w:r>
          </w:p>
        </w:tc>
        <w:tc>
          <w:tcPr>
            <w:tcW w:w="140" w:type="dxa"/>
            <w:vAlign w:val="bottom"/>
            <w:tcBorders>
              <w:bottom w:val="single" w:sz="8" w:color="CFCFD2"/>
            </w:tcBorders>
          </w:tcPr>
          <w:p>
            <w:pPr>
              <w:spacing w:after="0"/>
              <w:rPr>
                <w:sz w:val="16"/>
                <w:szCs w:val="16"/>
                <w:color w:val="auto"/>
              </w:rPr>
            </w:pPr>
          </w:p>
        </w:tc>
      </w:tr>
      <w:tr>
        <w:trPr>
          <w:trHeight w:val="194"/>
        </w:trPr>
        <w:tc>
          <w:tcPr>
            <w:tcW w:w="6900" w:type="dxa"/>
            <w:vAlign w:val="bottom"/>
            <w:tcBorders>
              <w:bottom w:val="single" w:sz="8" w:color="CFCFD2"/>
            </w:tcBorders>
          </w:tcPr>
          <w:p>
            <w:pPr>
              <w:ind w:left="100"/>
              <w:spacing w:after="0"/>
              <w:rPr>
                <w:sz w:val="20"/>
                <w:szCs w:val="20"/>
                <w:color w:val="auto"/>
              </w:rPr>
            </w:pPr>
            <w:r>
              <w:rPr>
                <w:rFonts w:ascii="Arial" w:cs="Arial" w:eastAsia="Arial" w:hAnsi="Arial"/>
                <w:sz w:val="13"/>
                <w:szCs w:val="13"/>
                <w:b w:val="1"/>
                <w:bCs w:val="1"/>
                <w:color w:val="auto"/>
              </w:rPr>
              <w:t>Karl Racine</w:t>
            </w:r>
          </w:p>
        </w:tc>
        <w:tc>
          <w:tcPr>
            <w:tcW w:w="216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46,600</w:t>
            </w:r>
            <w:r>
              <w:rPr>
                <w:rFonts w:ascii="Arial" w:cs="Arial" w:eastAsia="Arial" w:hAnsi="Arial"/>
                <w:sz w:val="16"/>
                <w:szCs w:val="16"/>
                <w:color w:val="0E1020"/>
                <w:vertAlign w:val="superscript"/>
              </w:rPr>
              <w:t>(9)</w:t>
            </w:r>
          </w:p>
        </w:tc>
        <w:tc>
          <w:tcPr>
            <w:tcW w:w="204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w:t>
            </w:r>
          </w:p>
        </w:tc>
        <w:tc>
          <w:tcPr>
            <w:tcW w:w="140" w:type="dxa"/>
            <w:vAlign w:val="bottom"/>
            <w:tcBorders>
              <w:bottom w:val="single" w:sz="8" w:color="CFCFD2"/>
            </w:tcBorders>
          </w:tcPr>
          <w:p>
            <w:pPr>
              <w:spacing w:after="0"/>
              <w:rPr>
                <w:sz w:val="16"/>
                <w:szCs w:val="16"/>
                <w:color w:val="auto"/>
              </w:rPr>
            </w:pPr>
          </w:p>
        </w:tc>
      </w:tr>
      <w:tr>
        <w:trPr>
          <w:trHeight w:val="194"/>
        </w:trPr>
        <w:tc>
          <w:tcPr>
            <w:tcW w:w="6900" w:type="dxa"/>
            <w:vAlign w:val="bottom"/>
            <w:tcBorders>
              <w:bottom w:val="single" w:sz="8" w:color="CFCFD2"/>
            </w:tcBorders>
          </w:tcPr>
          <w:p>
            <w:pPr>
              <w:ind w:left="100"/>
              <w:spacing w:after="0"/>
              <w:rPr>
                <w:sz w:val="20"/>
                <w:szCs w:val="20"/>
                <w:color w:val="auto"/>
              </w:rPr>
            </w:pPr>
            <w:r>
              <w:rPr>
                <w:rFonts w:ascii="Arial" w:cs="Arial" w:eastAsia="Arial" w:hAnsi="Arial"/>
                <w:sz w:val="13"/>
                <w:szCs w:val="13"/>
                <w:b w:val="1"/>
                <w:bCs w:val="1"/>
                <w:color w:val="auto"/>
              </w:rPr>
              <w:t>Dawn Rogers</w:t>
            </w:r>
          </w:p>
        </w:tc>
        <w:tc>
          <w:tcPr>
            <w:tcW w:w="216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57,500</w:t>
            </w:r>
            <w:r>
              <w:rPr>
                <w:rFonts w:ascii="Arial" w:cs="Arial" w:eastAsia="Arial" w:hAnsi="Arial"/>
                <w:sz w:val="16"/>
                <w:szCs w:val="16"/>
                <w:color w:val="0E1020"/>
                <w:vertAlign w:val="superscript"/>
              </w:rPr>
              <w:t>(9)</w:t>
            </w:r>
          </w:p>
        </w:tc>
        <w:tc>
          <w:tcPr>
            <w:tcW w:w="204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w:t>
            </w:r>
          </w:p>
        </w:tc>
        <w:tc>
          <w:tcPr>
            <w:tcW w:w="140" w:type="dxa"/>
            <w:vAlign w:val="bottom"/>
            <w:tcBorders>
              <w:bottom w:val="single" w:sz="8" w:color="CFCFD2"/>
            </w:tcBorders>
          </w:tcPr>
          <w:p>
            <w:pPr>
              <w:spacing w:after="0"/>
              <w:rPr>
                <w:sz w:val="16"/>
                <w:szCs w:val="16"/>
                <w:color w:val="auto"/>
              </w:rPr>
            </w:pPr>
          </w:p>
        </w:tc>
      </w:tr>
      <w:tr>
        <w:trPr>
          <w:trHeight w:val="194"/>
        </w:trPr>
        <w:tc>
          <w:tcPr>
            <w:tcW w:w="6900" w:type="dxa"/>
            <w:vAlign w:val="bottom"/>
            <w:tcBorders>
              <w:bottom w:val="single" w:sz="8" w:color="CFCFD2"/>
            </w:tcBorders>
          </w:tcPr>
          <w:p>
            <w:pPr>
              <w:ind w:left="100"/>
              <w:spacing w:after="0"/>
              <w:rPr>
                <w:sz w:val="20"/>
                <w:szCs w:val="20"/>
                <w:color w:val="auto"/>
              </w:rPr>
            </w:pPr>
            <w:r>
              <w:rPr>
                <w:rFonts w:ascii="Arial" w:cs="Arial" w:eastAsia="Arial" w:hAnsi="Arial"/>
                <w:sz w:val="13"/>
                <w:szCs w:val="13"/>
                <w:b w:val="1"/>
                <w:bCs w:val="1"/>
                <w:color w:val="auto"/>
              </w:rPr>
              <w:t>Carrie W. Teffner</w:t>
            </w:r>
          </w:p>
        </w:tc>
        <w:tc>
          <w:tcPr>
            <w:tcW w:w="216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50,900</w:t>
            </w:r>
            <w:r>
              <w:rPr>
                <w:rFonts w:ascii="Arial" w:cs="Arial" w:eastAsia="Arial" w:hAnsi="Arial"/>
                <w:sz w:val="16"/>
                <w:szCs w:val="16"/>
                <w:color w:val="0E1020"/>
                <w:vertAlign w:val="superscript"/>
              </w:rPr>
              <w:t>(9)</w:t>
            </w:r>
          </w:p>
        </w:tc>
        <w:tc>
          <w:tcPr>
            <w:tcW w:w="204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w:t>
            </w:r>
          </w:p>
        </w:tc>
        <w:tc>
          <w:tcPr>
            <w:tcW w:w="140" w:type="dxa"/>
            <w:vAlign w:val="bottom"/>
            <w:tcBorders>
              <w:bottom w:val="single" w:sz="8" w:color="CFCFD2"/>
            </w:tcBorders>
          </w:tcPr>
          <w:p>
            <w:pPr>
              <w:spacing w:after="0"/>
              <w:rPr>
                <w:sz w:val="16"/>
                <w:szCs w:val="16"/>
                <w:color w:val="auto"/>
              </w:rPr>
            </w:pPr>
          </w:p>
        </w:tc>
      </w:tr>
      <w:tr>
        <w:trPr>
          <w:trHeight w:val="194"/>
        </w:trPr>
        <w:tc>
          <w:tcPr>
            <w:tcW w:w="6900" w:type="dxa"/>
            <w:vAlign w:val="bottom"/>
            <w:tcBorders>
              <w:bottom w:val="single" w:sz="8" w:color="CFCFD2"/>
            </w:tcBorders>
          </w:tcPr>
          <w:p>
            <w:pPr>
              <w:ind w:left="100"/>
              <w:spacing w:after="0"/>
              <w:rPr>
                <w:sz w:val="20"/>
                <w:szCs w:val="20"/>
                <w:color w:val="auto"/>
              </w:rPr>
            </w:pPr>
            <w:r>
              <w:rPr>
                <w:rFonts w:ascii="Arial" w:cs="Arial" w:eastAsia="Arial" w:hAnsi="Arial"/>
                <w:sz w:val="13"/>
                <w:szCs w:val="13"/>
                <w:b w:val="1"/>
                <w:bCs w:val="1"/>
                <w:color w:val="auto"/>
              </w:rPr>
              <w:t>Akihiko Washington</w:t>
            </w:r>
          </w:p>
        </w:tc>
        <w:tc>
          <w:tcPr>
            <w:tcW w:w="216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57,500</w:t>
            </w:r>
            <w:r>
              <w:rPr>
                <w:rFonts w:ascii="Arial" w:cs="Arial" w:eastAsia="Arial" w:hAnsi="Arial"/>
                <w:sz w:val="16"/>
                <w:szCs w:val="16"/>
                <w:color w:val="0E1020"/>
                <w:vertAlign w:val="superscript"/>
              </w:rPr>
              <w:t>(9)</w:t>
            </w:r>
          </w:p>
        </w:tc>
        <w:tc>
          <w:tcPr>
            <w:tcW w:w="204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w:t>
            </w:r>
          </w:p>
        </w:tc>
        <w:tc>
          <w:tcPr>
            <w:tcW w:w="140" w:type="dxa"/>
            <w:vAlign w:val="bottom"/>
            <w:tcBorders>
              <w:bottom w:val="single" w:sz="8" w:color="CFCFD2"/>
            </w:tcBorders>
          </w:tcPr>
          <w:p>
            <w:pPr>
              <w:spacing w:after="0"/>
              <w:rPr>
                <w:sz w:val="16"/>
                <w:szCs w:val="16"/>
                <w:color w:val="auto"/>
              </w:rPr>
            </w:pPr>
          </w:p>
        </w:tc>
      </w:tr>
      <w:tr>
        <w:trPr>
          <w:trHeight w:val="194"/>
        </w:trPr>
        <w:tc>
          <w:tcPr>
            <w:tcW w:w="6900" w:type="dxa"/>
            <w:vAlign w:val="bottom"/>
            <w:tcBorders>
              <w:bottom w:val="single" w:sz="8" w:color="CFCFD2"/>
            </w:tcBorders>
          </w:tcPr>
          <w:p>
            <w:pPr>
              <w:ind w:left="100"/>
              <w:spacing w:after="0"/>
              <w:rPr>
                <w:sz w:val="20"/>
                <w:szCs w:val="20"/>
                <w:color w:val="auto"/>
              </w:rPr>
            </w:pPr>
            <w:r>
              <w:rPr>
                <w:rFonts w:ascii="Arial" w:cs="Arial" w:eastAsia="Arial" w:hAnsi="Arial"/>
                <w:sz w:val="13"/>
                <w:szCs w:val="13"/>
                <w:b w:val="1"/>
                <w:bCs w:val="1"/>
                <w:color w:val="auto"/>
              </w:rPr>
              <w:t>Robert F. Woods</w:t>
            </w:r>
          </w:p>
        </w:tc>
        <w:tc>
          <w:tcPr>
            <w:tcW w:w="216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87,231</w:t>
            </w:r>
            <w:r>
              <w:rPr>
                <w:rFonts w:ascii="Arial" w:cs="Arial" w:eastAsia="Arial" w:hAnsi="Arial"/>
                <w:sz w:val="16"/>
                <w:szCs w:val="16"/>
                <w:color w:val="0E1020"/>
                <w:vertAlign w:val="superscript"/>
              </w:rPr>
              <w:t>(9)</w:t>
            </w:r>
          </w:p>
        </w:tc>
        <w:tc>
          <w:tcPr>
            <w:tcW w:w="204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w:t>
            </w:r>
          </w:p>
        </w:tc>
        <w:tc>
          <w:tcPr>
            <w:tcW w:w="140" w:type="dxa"/>
            <w:vAlign w:val="bottom"/>
            <w:tcBorders>
              <w:bottom w:val="single" w:sz="8" w:color="CFCFD2"/>
            </w:tcBorders>
          </w:tcPr>
          <w:p>
            <w:pPr>
              <w:spacing w:after="0"/>
              <w:rPr>
                <w:sz w:val="16"/>
                <w:szCs w:val="16"/>
                <w:color w:val="auto"/>
              </w:rPr>
            </w:pPr>
          </w:p>
        </w:tc>
      </w:tr>
      <w:tr>
        <w:trPr>
          <w:trHeight w:val="194"/>
        </w:trPr>
        <w:tc>
          <w:tcPr>
            <w:tcW w:w="6900" w:type="dxa"/>
            <w:vAlign w:val="bottom"/>
            <w:tcBorders>
              <w:bottom w:val="single" w:sz="8" w:color="CFCFD2"/>
            </w:tcBorders>
          </w:tcPr>
          <w:p>
            <w:pPr>
              <w:ind w:left="100"/>
              <w:spacing w:after="0"/>
              <w:rPr>
                <w:sz w:val="20"/>
                <w:szCs w:val="20"/>
                <w:color w:val="auto"/>
              </w:rPr>
            </w:pPr>
            <w:r>
              <w:rPr>
                <w:rFonts w:ascii="Arial" w:cs="Arial" w:eastAsia="Arial" w:hAnsi="Arial"/>
                <w:sz w:val="13"/>
                <w:szCs w:val="13"/>
                <w:b w:val="1"/>
                <w:bCs w:val="1"/>
                <w:color w:val="0E1020"/>
              </w:rPr>
              <w:t>All executive officers and directors of the Company, as a group (17 persons)</w:t>
            </w:r>
          </w:p>
        </w:tc>
        <w:tc>
          <w:tcPr>
            <w:tcW w:w="216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1,839,204</w:t>
            </w:r>
            <w:r>
              <w:rPr>
                <w:rFonts w:ascii="Arial" w:cs="Arial" w:eastAsia="Arial" w:hAnsi="Arial"/>
                <w:sz w:val="16"/>
                <w:szCs w:val="16"/>
                <w:color w:val="0E1020"/>
                <w:vertAlign w:val="superscript"/>
              </w:rPr>
              <w:t>(9)</w:t>
            </w:r>
          </w:p>
        </w:tc>
        <w:tc>
          <w:tcPr>
            <w:tcW w:w="2040" w:type="dxa"/>
            <w:vAlign w:val="bottom"/>
            <w:tcBorders>
              <w:bottom w:val="single" w:sz="8" w:color="CFCFD2"/>
            </w:tcBorders>
          </w:tcPr>
          <w:p>
            <w:pPr>
              <w:jc w:val="right"/>
              <w:spacing w:after="0"/>
              <w:rPr>
                <w:sz w:val="20"/>
                <w:szCs w:val="20"/>
                <w:color w:val="auto"/>
              </w:rPr>
            </w:pPr>
            <w:r>
              <w:rPr>
                <w:rFonts w:ascii="Arial" w:cs="Arial" w:eastAsia="Arial" w:hAnsi="Arial"/>
                <w:sz w:val="13"/>
                <w:szCs w:val="13"/>
                <w:color w:val="0E1020"/>
              </w:rPr>
              <w:t>1.13</w:t>
            </w:r>
          </w:p>
        </w:tc>
        <w:tc>
          <w:tcPr>
            <w:tcW w:w="140" w:type="dxa"/>
            <w:vAlign w:val="bottom"/>
            <w:tcBorders>
              <w:bottom w:val="single" w:sz="8" w:color="CFCFD2"/>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53</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1" w:name="page62"/>
    <w:bookmarkEnd w:id="61"/>
    <w:p>
      <w:pPr>
        <w:spacing w:after="0"/>
        <w:tabs>
          <w:tab w:leader="none" w:pos="10080" w:val="left"/>
        </w:tabs>
        <w:rPr>
          <w:sz w:val="20"/>
          <w:szCs w:val="20"/>
          <w:color w:val="auto"/>
        </w:rPr>
      </w:pPr>
      <w:r>
        <w:rPr>
          <w:rFonts w:ascii="Arial" w:cs="Arial" w:eastAsia="Arial" w:hAnsi="Arial"/>
          <w:sz w:val="14"/>
          <w:szCs w:val="14"/>
          <w:color w:val="auto"/>
        </w:rPr>
        <w:t>Security Ownership of Certain Beneficial Owners and Management</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80" w:hanging="332"/>
        <w:spacing w:after="0"/>
        <w:tabs>
          <w:tab w:leader="none" w:pos="480" w:val="left"/>
        </w:tabs>
        <w:numPr>
          <w:ilvl w:val="0"/>
          <w:numId w:val="49"/>
        </w:numPr>
        <w:rPr>
          <w:rFonts w:ascii="Arial" w:cs="Arial" w:eastAsia="Arial" w:hAnsi="Arial"/>
          <w:sz w:val="14"/>
          <w:szCs w:val="14"/>
          <w:color w:val="0E1020"/>
        </w:rPr>
      </w:pPr>
      <w:r>
        <w:rPr>
          <w:rFonts w:ascii="Arial" w:cs="Arial" w:eastAsia="Arial" w:hAnsi="Arial"/>
          <w:sz w:val="14"/>
          <w:szCs w:val="14"/>
          <w:color w:val="0E1020"/>
        </w:rPr>
        <w:t>Unless otherwise indicated, the address of each person or group is c/o DXC Technology Company, 20408 Bashan Drive, Suite 231, Ashburn, VA 20147.</w:t>
      </w:r>
    </w:p>
    <w:p>
      <w:pPr>
        <w:spacing w:after="0" w:line="66" w:lineRule="exact"/>
        <w:rPr>
          <w:rFonts w:ascii="Arial" w:cs="Arial" w:eastAsia="Arial" w:hAnsi="Arial"/>
          <w:sz w:val="14"/>
          <w:szCs w:val="14"/>
          <w:color w:val="0E1020"/>
        </w:rPr>
      </w:pPr>
    </w:p>
    <w:p>
      <w:pPr>
        <w:ind w:left="440" w:hanging="292"/>
        <w:spacing w:after="0"/>
        <w:tabs>
          <w:tab w:leader="none" w:pos="440" w:val="left"/>
        </w:tabs>
        <w:numPr>
          <w:ilvl w:val="0"/>
          <w:numId w:val="49"/>
        </w:numPr>
        <w:rPr>
          <w:rFonts w:ascii="Arial" w:cs="Arial" w:eastAsia="Arial" w:hAnsi="Arial"/>
          <w:sz w:val="14"/>
          <w:szCs w:val="14"/>
          <w:color w:val="0E1020"/>
        </w:rPr>
      </w:pPr>
      <w:r>
        <w:rPr>
          <w:rFonts w:ascii="Arial" w:cs="Arial" w:eastAsia="Arial" w:hAnsi="Arial"/>
          <w:sz w:val="14"/>
          <w:szCs w:val="14"/>
          <w:color w:val="0E1020"/>
        </w:rPr>
        <w:t>Based on 162,080,263 shares of common stock issued and outstanding on May 28, 2026.</w:t>
      </w:r>
    </w:p>
    <w:p>
      <w:pPr>
        <w:spacing w:after="0" w:line="66" w:lineRule="exact"/>
        <w:rPr>
          <w:rFonts w:ascii="Arial" w:cs="Arial" w:eastAsia="Arial" w:hAnsi="Arial"/>
          <w:sz w:val="14"/>
          <w:szCs w:val="14"/>
          <w:color w:val="0E1020"/>
        </w:rPr>
      </w:pPr>
    </w:p>
    <w:p>
      <w:pPr>
        <w:jc w:val="both"/>
        <w:ind w:left="460" w:right="140" w:hanging="312"/>
        <w:spacing w:after="0" w:line="270" w:lineRule="auto"/>
        <w:tabs>
          <w:tab w:leader="none" w:pos="433" w:val="left"/>
        </w:tabs>
        <w:numPr>
          <w:ilvl w:val="0"/>
          <w:numId w:val="49"/>
        </w:numPr>
        <w:rPr>
          <w:rFonts w:ascii="Arial" w:cs="Arial" w:eastAsia="Arial" w:hAnsi="Arial"/>
          <w:sz w:val="14"/>
          <w:szCs w:val="14"/>
          <w:color w:val="0E1020"/>
        </w:rPr>
      </w:pPr>
      <w:r>
        <w:rPr>
          <w:rFonts w:ascii="Arial" w:cs="Arial" w:eastAsia="Arial" w:hAnsi="Arial"/>
          <w:sz w:val="14"/>
          <w:szCs w:val="14"/>
          <w:color w:val="0E1020"/>
        </w:rPr>
        <w:t>Based solely on the most recently available Schedule 13G/A filed with the SEC on April 30, 2025, by BlackRock, Inc. (BlackRock). The Schedule 13G/A provides that (i) BlackRock is a parent holding company or control person and (ii) BlackRock, through its subsidiaries identified therein, has sole voting power over 22,455,801 shares of DXC and sole dispositive power over 23,053,124 shares of DXC.</w:t>
      </w:r>
    </w:p>
    <w:p>
      <w:pPr>
        <w:spacing w:after="0" w:line="19" w:lineRule="exact"/>
        <w:rPr>
          <w:rFonts w:ascii="Arial" w:cs="Arial" w:eastAsia="Arial" w:hAnsi="Arial"/>
          <w:sz w:val="14"/>
          <w:szCs w:val="14"/>
          <w:color w:val="0E1020"/>
        </w:rPr>
      </w:pPr>
    </w:p>
    <w:p>
      <w:pPr>
        <w:ind w:left="460" w:right="40" w:hanging="312"/>
        <w:spacing w:after="0" w:line="299" w:lineRule="auto"/>
        <w:tabs>
          <w:tab w:leader="none" w:pos="433" w:val="left"/>
        </w:tabs>
        <w:numPr>
          <w:ilvl w:val="0"/>
          <w:numId w:val="49"/>
        </w:numPr>
        <w:rPr>
          <w:rFonts w:ascii="Arial" w:cs="Arial" w:eastAsia="Arial" w:hAnsi="Arial"/>
          <w:sz w:val="14"/>
          <w:szCs w:val="14"/>
          <w:color w:val="0E1020"/>
        </w:rPr>
      </w:pPr>
      <w:r>
        <w:rPr>
          <w:rFonts w:ascii="Arial" w:cs="Arial" w:eastAsia="Arial" w:hAnsi="Arial"/>
          <w:sz w:val="14"/>
          <w:szCs w:val="14"/>
          <w:color w:val="0E1020"/>
        </w:rPr>
        <w:t>Following an internal realignment effective January 12, 2026, The Vanguard Group, Inc. filed a Schedule 13G/A on March 26, 2026 reporting 0% beneficial ownership and disclosing that certain subsidiaries would report beneficial ownership separately on a disaggregated basis in reliance on SEC Release No. 34-39538 (January 12, 1998).</w:t>
      </w:r>
    </w:p>
    <w:p>
      <w:pPr>
        <w:spacing w:after="0" w:line="1" w:lineRule="exact"/>
        <w:rPr>
          <w:rFonts w:ascii="Arial" w:cs="Arial" w:eastAsia="Arial" w:hAnsi="Arial"/>
          <w:sz w:val="14"/>
          <w:szCs w:val="14"/>
          <w:color w:val="0E1020"/>
        </w:rPr>
      </w:pPr>
    </w:p>
    <w:p>
      <w:pPr>
        <w:ind w:left="460" w:right="500" w:hanging="312"/>
        <w:spacing w:after="0" w:line="282" w:lineRule="auto"/>
        <w:tabs>
          <w:tab w:leader="none" w:pos="433" w:val="left"/>
        </w:tabs>
        <w:numPr>
          <w:ilvl w:val="0"/>
          <w:numId w:val="49"/>
        </w:numPr>
        <w:rPr>
          <w:rFonts w:ascii="Arial" w:cs="Arial" w:eastAsia="Arial" w:hAnsi="Arial"/>
          <w:sz w:val="14"/>
          <w:szCs w:val="14"/>
          <w:color w:val="0E1020"/>
        </w:rPr>
      </w:pPr>
      <w:r>
        <w:rPr>
          <w:rFonts w:ascii="Arial" w:cs="Arial" w:eastAsia="Arial" w:hAnsi="Arial"/>
          <w:sz w:val="14"/>
          <w:szCs w:val="14"/>
          <w:color w:val="0E1020"/>
        </w:rPr>
        <w:t>Based solely on the most recently available Schedule 13G filed with the SEC on April 29, 2026 by Vanguard Portfolio Management LLC (VPM). The Schedule 13G provides that VPM has (i) sole voting power over 247,989 shares of DXC and (ii) sole dispositive power over 13,143,240 shares of DXC.</w:t>
      </w:r>
    </w:p>
    <w:p>
      <w:pPr>
        <w:spacing w:after="0" w:line="10" w:lineRule="exact"/>
        <w:rPr>
          <w:rFonts w:ascii="Arial" w:cs="Arial" w:eastAsia="Arial" w:hAnsi="Arial"/>
          <w:sz w:val="14"/>
          <w:szCs w:val="14"/>
          <w:color w:val="0E1020"/>
        </w:rPr>
      </w:pPr>
    </w:p>
    <w:p>
      <w:pPr>
        <w:ind w:left="460" w:right="560" w:hanging="312"/>
        <w:spacing w:after="0" w:line="299" w:lineRule="auto"/>
        <w:tabs>
          <w:tab w:leader="none" w:pos="433" w:val="left"/>
        </w:tabs>
        <w:numPr>
          <w:ilvl w:val="0"/>
          <w:numId w:val="49"/>
        </w:numPr>
        <w:rPr>
          <w:rFonts w:ascii="Arial" w:cs="Arial" w:eastAsia="Arial" w:hAnsi="Arial"/>
          <w:sz w:val="14"/>
          <w:szCs w:val="14"/>
          <w:color w:val="0E1020"/>
        </w:rPr>
      </w:pPr>
      <w:r>
        <w:rPr>
          <w:rFonts w:ascii="Arial" w:cs="Arial" w:eastAsia="Arial" w:hAnsi="Arial"/>
          <w:sz w:val="14"/>
          <w:szCs w:val="14"/>
          <w:color w:val="0E1020"/>
        </w:rPr>
        <w:t>Based solely on the most recently available Schedule 13G filed with the SEC on April 29, 2026 by Vanguard Capital Management LLC (VCM). The Schedule 13G provides that VCM has (i) sole voting power over 1,296,265 shares of DXC and (ii) sole dispositive power over 8,883,306 shares of DXC.</w:t>
      </w:r>
    </w:p>
    <w:p>
      <w:pPr>
        <w:spacing w:after="0" w:line="1" w:lineRule="exact"/>
        <w:rPr>
          <w:rFonts w:ascii="Arial" w:cs="Arial" w:eastAsia="Arial" w:hAnsi="Arial"/>
          <w:sz w:val="14"/>
          <w:szCs w:val="14"/>
          <w:color w:val="0E1020"/>
        </w:rPr>
      </w:pPr>
    </w:p>
    <w:p>
      <w:pPr>
        <w:ind w:left="460" w:right="180" w:hanging="312"/>
        <w:spacing w:after="0" w:line="289" w:lineRule="auto"/>
        <w:tabs>
          <w:tab w:leader="none" w:pos="447" w:val="left"/>
        </w:tabs>
        <w:numPr>
          <w:ilvl w:val="0"/>
          <w:numId w:val="49"/>
        </w:numPr>
        <w:rPr>
          <w:rFonts w:ascii="Arial" w:cs="Arial" w:eastAsia="Arial" w:hAnsi="Arial"/>
          <w:sz w:val="14"/>
          <w:szCs w:val="14"/>
          <w:color w:val="0E1020"/>
        </w:rPr>
      </w:pPr>
      <w:r>
        <w:rPr>
          <w:rFonts w:ascii="Arial" w:cs="Arial" w:eastAsia="Arial" w:hAnsi="Arial"/>
          <w:sz w:val="14"/>
          <w:szCs w:val="14"/>
          <w:color w:val="0E1020"/>
        </w:rPr>
        <w:t>Based solely on the most recently available Schedule 13G filed with the SEC on October 31, 2024 by Dimensional Fund Advisors LP (Dimensional). The Schedule 13G provides that Dimensional has sole voting power over 9,830,236 shares of DXC and sole dispositive power over 10,058,219 shares of DXC.</w:t>
      </w:r>
    </w:p>
    <w:p>
      <w:pPr>
        <w:spacing w:after="0" w:line="1" w:lineRule="exact"/>
        <w:rPr>
          <w:rFonts w:ascii="Arial" w:cs="Arial" w:eastAsia="Arial" w:hAnsi="Arial"/>
          <w:sz w:val="14"/>
          <w:szCs w:val="14"/>
          <w:color w:val="0E1020"/>
        </w:rPr>
      </w:pPr>
    </w:p>
    <w:p>
      <w:pPr>
        <w:ind w:left="460" w:right="160" w:hanging="312"/>
        <w:spacing w:after="0" w:line="273" w:lineRule="auto"/>
        <w:tabs>
          <w:tab w:leader="none" w:pos="433" w:val="left"/>
        </w:tabs>
        <w:numPr>
          <w:ilvl w:val="0"/>
          <w:numId w:val="49"/>
        </w:numPr>
        <w:rPr>
          <w:rFonts w:ascii="Arial" w:cs="Arial" w:eastAsia="Arial" w:hAnsi="Arial"/>
          <w:sz w:val="14"/>
          <w:szCs w:val="14"/>
          <w:color w:val="0E1020"/>
        </w:rPr>
      </w:pPr>
      <w:r>
        <w:rPr>
          <w:rFonts w:ascii="Arial" w:cs="Arial" w:eastAsia="Arial" w:hAnsi="Arial"/>
          <w:sz w:val="14"/>
          <w:szCs w:val="14"/>
          <w:color w:val="0E1020"/>
        </w:rPr>
        <w:t>Based solely on the most recently available Schedule 13G filed with the SEC on May 1, 2026 by American Century Investment Management, Inc. (ACIM), American Century Companies, Inc. (ACC), Stowers Institute for Medical Research (Stowers Institute), and American Century ETF Trust. The Schedule 13G provides that each of ACIM, ACC, and Stowers Institute has sole voting power and sole dispositive power over 9,074,619 shares of DXC. American Century ETF Trust has sole voting power and sole dispositive power over 8,706,339 shares of DXC. ACC is controlled by Stowers Institute. ACIM is a wholly owned subsidiary of ACC.</w:t>
      </w:r>
    </w:p>
    <w:p>
      <w:pPr>
        <w:spacing w:after="0" w:line="18" w:lineRule="exact"/>
        <w:rPr>
          <w:rFonts w:ascii="Arial" w:cs="Arial" w:eastAsia="Arial" w:hAnsi="Arial"/>
          <w:sz w:val="14"/>
          <w:szCs w:val="14"/>
          <w:color w:val="0E1020"/>
        </w:rPr>
      </w:pPr>
    </w:p>
    <w:p>
      <w:pPr>
        <w:ind w:left="460" w:right="80" w:hanging="312"/>
        <w:spacing w:after="0" w:line="265" w:lineRule="auto"/>
        <w:tabs>
          <w:tab w:leader="none" w:pos="433" w:val="left"/>
        </w:tabs>
        <w:numPr>
          <w:ilvl w:val="0"/>
          <w:numId w:val="49"/>
        </w:numPr>
        <w:rPr>
          <w:rFonts w:ascii="Arial" w:cs="Arial" w:eastAsia="Arial" w:hAnsi="Arial"/>
          <w:sz w:val="14"/>
          <w:szCs w:val="14"/>
          <w:color w:val="0E1020"/>
        </w:rPr>
      </w:pPr>
      <w:r>
        <w:rPr>
          <w:rFonts w:ascii="Arial" w:cs="Arial" w:eastAsia="Arial" w:hAnsi="Arial"/>
          <w:sz w:val="14"/>
          <w:szCs w:val="14"/>
          <w:color w:val="0E1020"/>
        </w:rPr>
        <w:t>Based solely on the most recently available Schedule 13G filed with the SEC on March 27, 2026 by Glenview Capital Management, LLC (Glenview Capital Management) and Larry Robbins. The Schedule 13G provides that each reporting person has shared voting power and shared dispositive power over 8,895,875 shares of DXC. This amount consists of 3,753,999 shares held for the account of Glenview Capital Master Fund, Ltd. and 5,141,876 shares held for the account of Glenview Offshore Opportunity Master Fund, Ltd. Glenview Capital Management serves as investment manager to each fund. Mr. Robbins is the Chief Investment Officer of Glenview Capital Management.</w:t>
      </w:r>
    </w:p>
    <w:p>
      <w:pPr>
        <w:spacing w:after="0" w:line="22" w:lineRule="exact"/>
        <w:rPr>
          <w:rFonts w:ascii="Arial" w:cs="Arial" w:eastAsia="Arial" w:hAnsi="Arial"/>
          <w:sz w:val="14"/>
          <w:szCs w:val="14"/>
          <w:color w:val="0E1020"/>
        </w:rPr>
      </w:pPr>
    </w:p>
    <w:p>
      <w:pPr>
        <w:ind w:left="460" w:right="40" w:hanging="312"/>
        <w:spacing w:after="0" w:line="265" w:lineRule="auto"/>
        <w:tabs>
          <w:tab w:leader="none" w:pos="446" w:val="left"/>
        </w:tabs>
        <w:numPr>
          <w:ilvl w:val="0"/>
          <w:numId w:val="49"/>
        </w:numPr>
        <w:rPr>
          <w:rFonts w:ascii="Arial" w:cs="Arial" w:eastAsia="Arial" w:hAnsi="Arial"/>
          <w:sz w:val="14"/>
          <w:szCs w:val="14"/>
          <w:color w:val="0E1020"/>
        </w:rPr>
      </w:pPr>
      <w:r>
        <w:rPr>
          <w:rFonts w:ascii="Arial" w:cs="Arial" w:eastAsia="Arial" w:hAnsi="Arial"/>
          <w:sz w:val="14"/>
          <w:szCs w:val="14"/>
          <w:color w:val="0E1020"/>
        </w:rPr>
        <w:t>With respect to Messrs. Del Bene, August, Barnes, Gonzalez, Herzog, Racine, Washington and Woods, and Mses. Mayfield, Rogers and Teffner and all executive officers and directors of the Company as a group, includes 30,527; 68,060; 18,100; 18,100; 25,700; 18,100; 18,100; 18,100; 18,100; 18,100; 18,100; and 269,087 Restricted Stock Units (RSUs), respectively, outstanding as of May 28, 2026 that would vest or could settle on or within 60 days after May 28, 2026. Each RSU entitles the reporting person to receive one share of common stock upon the vesting date. These shares have been deemed to be outstanding in computing the Percentage of Class with respect to each applicable person.</w:t>
      </w:r>
    </w:p>
    <w:p>
      <w:pPr>
        <w:spacing w:after="0" w:line="22" w:lineRule="exact"/>
        <w:rPr>
          <w:rFonts w:ascii="Arial" w:cs="Arial" w:eastAsia="Arial" w:hAnsi="Arial"/>
          <w:sz w:val="14"/>
          <w:szCs w:val="14"/>
          <w:color w:val="0E1020"/>
        </w:rPr>
      </w:pPr>
    </w:p>
    <w:p>
      <w:pPr>
        <w:ind w:left="460" w:right="120" w:hanging="312"/>
        <w:spacing w:after="0" w:line="270" w:lineRule="auto"/>
        <w:tabs>
          <w:tab w:leader="none" w:pos="462" w:val="left"/>
        </w:tabs>
        <w:numPr>
          <w:ilvl w:val="0"/>
          <w:numId w:val="49"/>
        </w:numPr>
        <w:rPr>
          <w:rFonts w:ascii="Arial" w:cs="Arial" w:eastAsia="Arial" w:hAnsi="Arial"/>
          <w:sz w:val="14"/>
          <w:szCs w:val="14"/>
          <w:color w:val="0E1020"/>
        </w:rPr>
      </w:pPr>
      <w:r>
        <w:rPr>
          <w:rFonts w:ascii="Arial" w:cs="Arial" w:eastAsia="Arial" w:hAnsi="Arial"/>
          <w:sz w:val="14"/>
          <w:szCs w:val="14"/>
          <w:color w:val="0E1020"/>
        </w:rPr>
        <w:t>Based on DXC records and a Form 4 filed by Mr. Boville on May 23, 2025, reporting a beneficial ownership of 454,883 shares of common stock, which included 392,951 restricted stock units (RSUs) outstanding as of the reporting date. Upon his departure on July 1, 2025, Mr. Boville received prorated vesting of 22,442 shares of these RSUs, with the remaining RSUs forfeited.</w:t>
      </w:r>
    </w:p>
    <w:p>
      <w:pPr>
        <w:spacing w:after="0" w:line="20" w:lineRule="exact"/>
        <w:rPr>
          <w:sz w:val="20"/>
          <w:szCs w:val="20"/>
          <w:color w:val="auto"/>
        </w:rPr>
      </w:pPr>
    </w:p>
    <w:p>
      <w:pPr>
        <w:ind w:left="440" w:hanging="292"/>
        <w:spacing w:after="0"/>
        <w:tabs>
          <w:tab w:leader="none" w:pos="440" w:val="left"/>
        </w:tabs>
        <w:numPr>
          <w:ilvl w:val="0"/>
          <w:numId w:val="50"/>
        </w:numPr>
        <w:rPr>
          <w:rFonts w:ascii="Arial" w:cs="Arial" w:eastAsia="Arial" w:hAnsi="Arial"/>
          <w:sz w:val="14"/>
          <w:szCs w:val="14"/>
          <w:color w:val="0E1020"/>
        </w:rPr>
      </w:pPr>
      <w:r>
        <w:rPr>
          <w:rFonts w:ascii="Arial" w:cs="Arial" w:eastAsia="Arial" w:hAnsi="Arial"/>
          <w:sz w:val="14"/>
          <w:szCs w:val="14"/>
          <w:color w:val="0E1020"/>
        </w:rPr>
        <w:t>Less than 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5500" w:val="left"/>
          <w:tab w:leader="none" w:pos="946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54</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146050</wp:posOffset>
            </wp:positionV>
            <wp:extent cx="715899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224" w:right="359" w:bottom="1440" w:gutter="0" w:footer="0" w:header="0"/>
        </w:sectPr>
      </w:pPr>
    </w:p>
    <w:bookmarkStart w:id="62" w:name="page63"/>
    <w:bookmarkEnd w:id="62"/>
    <w:p>
      <w:pPr>
        <w:ind w:left="2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6166485</wp:posOffset>
            </wp:positionH>
            <wp:positionV relativeFrom="page">
              <wp:posOffset>106045</wp:posOffset>
            </wp:positionV>
            <wp:extent cx="1166495" cy="3232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232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820"/>
        <w:spacing w:after="0" w:line="290" w:lineRule="auto"/>
        <w:rPr>
          <w:sz w:val="20"/>
          <w:szCs w:val="20"/>
          <w:color w:val="auto"/>
        </w:rPr>
      </w:pPr>
      <w:r>
        <w:rPr>
          <w:rFonts w:ascii="Times New Roman" w:cs="Times New Roman" w:eastAsia="Times New Roman" w:hAnsi="Times New Roman"/>
          <w:sz w:val="39"/>
          <w:szCs w:val="39"/>
          <w:b w:val="1"/>
          <w:bCs w:val="1"/>
          <w:color w:val="0E1020"/>
        </w:rPr>
        <w:t>CERTAIN RELATIONSHIPS AND RELATED PARTY TRANSACTIONS</w:t>
      </w:r>
    </w:p>
    <w:p>
      <w:pPr>
        <w:spacing w:after="0" w:line="68"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Related Party Transaction Policy</w:t>
      </w:r>
    </w:p>
    <w:p>
      <w:pPr>
        <w:spacing w:after="0" w:line="148" w:lineRule="exact"/>
        <w:rPr>
          <w:sz w:val="20"/>
          <w:szCs w:val="20"/>
          <w:color w:val="auto"/>
        </w:rPr>
      </w:pPr>
    </w:p>
    <w:p>
      <w:pPr>
        <w:ind w:right="60"/>
        <w:spacing w:after="0" w:line="316" w:lineRule="auto"/>
        <w:rPr>
          <w:sz w:val="20"/>
          <w:szCs w:val="20"/>
          <w:color w:val="auto"/>
        </w:rPr>
      </w:pPr>
      <w:r>
        <w:rPr>
          <w:rFonts w:ascii="Arial" w:cs="Arial" w:eastAsia="Arial" w:hAnsi="Arial"/>
          <w:sz w:val="16"/>
          <w:szCs w:val="16"/>
          <w:color w:val="0E1020"/>
        </w:rPr>
        <w:t>DXC has adopted a written policy requiring the approval of the Nominating/Corporate Governance Committee of all transactions in excess of $120,000 between the company and any related person (Interested Transactions). For the purposes of this policy, a related person is any person who was in any of the following categories at any time since the beginning of the last fiscal year:</w:t>
      </w:r>
    </w:p>
    <w:p>
      <w:pPr>
        <w:spacing w:after="0" w:line="37" w:lineRule="exact"/>
        <w:rPr>
          <w:sz w:val="20"/>
          <w:szCs w:val="20"/>
          <w:color w:val="auto"/>
        </w:rPr>
      </w:pPr>
    </w:p>
    <w:p>
      <w:pPr>
        <w:ind w:left="300" w:hanging="293"/>
        <w:spacing w:after="0"/>
        <w:tabs>
          <w:tab w:leader="none" w:pos="300" w:val="left"/>
        </w:tabs>
        <w:numPr>
          <w:ilvl w:val="0"/>
          <w:numId w:val="51"/>
        </w:numPr>
        <w:rPr>
          <w:rFonts w:ascii="Arial" w:cs="Arial" w:eastAsia="Arial" w:hAnsi="Arial"/>
          <w:sz w:val="16"/>
          <w:szCs w:val="16"/>
          <w:color w:val="0E1020"/>
        </w:rPr>
      </w:pPr>
      <w:r>
        <w:rPr>
          <w:rFonts w:ascii="Arial" w:cs="Arial" w:eastAsia="Arial" w:hAnsi="Arial"/>
          <w:sz w:val="16"/>
          <w:szCs w:val="16"/>
          <w:color w:val="0E1020"/>
        </w:rPr>
        <w:t>A director or executive officer of the company;</w:t>
      </w:r>
    </w:p>
    <w:p>
      <w:pPr>
        <w:spacing w:after="0" w:line="137" w:lineRule="exact"/>
        <w:rPr>
          <w:rFonts w:ascii="Arial" w:cs="Arial" w:eastAsia="Arial" w:hAnsi="Arial"/>
          <w:sz w:val="16"/>
          <w:szCs w:val="16"/>
          <w:color w:val="0E1020"/>
        </w:rPr>
      </w:pPr>
    </w:p>
    <w:p>
      <w:pPr>
        <w:ind w:left="300" w:hanging="293"/>
        <w:spacing w:after="0"/>
        <w:tabs>
          <w:tab w:leader="none" w:pos="300" w:val="left"/>
        </w:tabs>
        <w:numPr>
          <w:ilvl w:val="0"/>
          <w:numId w:val="51"/>
        </w:numPr>
        <w:rPr>
          <w:rFonts w:ascii="Arial" w:cs="Arial" w:eastAsia="Arial" w:hAnsi="Arial"/>
          <w:sz w:val="16"/>
          <w:szCs w:val="16"/>
          <w:color w:val="0E1020"/>
        </w:rPr>
      </w:pPr>
      <w:r>
        <w:rPr>
          <w:rFonts w:ascii="Arial" w:cs="Arial" w:eastAsia="Arial" w:hAnsi="Arial"/>
          <w:sz w:val="16"/>
          <w:szCs w:val="16"/>
          <w:color w:val="0E1020"/>
        </w:rPr>
        <w:t>Any nominee for director;</w:t>
      </w:r>
    </w:p>
    <w:p>
      <w:pPr>
        <w:spacing w:after="0" w:line="124" w:lineRule="exact"/>
        <w:rPr>
          <w:rFonts w:ascii="Arial" w:cs="Arial" w:eastAsia="Arial" w:hAnsi="Arial"/>
          <w:sz w:val="16"/>
          <w:szCs w:val="16"/>
          <w:color w:val="0E1020"/>
        </w:rPr>
      </w:pPr>
    </w:p>
    <w:p>
      <w:pPr>
        <w:ind w:left="320" w:right="20" w:hanging="313"/>
        <w:spacing w:after="0" w:line="310" w:lineRule="auto"/>
        <w:tabs>
          <w:tab w:leader="none" w:pos="282" w:val="left"/>
        </w:tabs>
        <w:numPr>
          <w:ilvl w:val="0"/>
          <w:numId w:val="51"/>
        </w:numPr>
        <w:rPr>
          <w:rFonts w:ascii="Arial" w:cs="Arial" w:eastAsia="Arial" w:hAnsi="Arial"/>
          <w:sz w:val="16"/>
          <w:szCs w:val="16"/>
          <w:color w:val="0E1020"/>
        </w:rPr>
      </w:pPr>
      <w:r>
        <w:rPr>
          <w:rFonts w:ascii="Arial" w:cs="Arial" w:eastAsia="Arial" w:hAnsi="Arial"/>
          <w:sz w:val="16"/>
          <w:szCs w:val="16"/>
          <w:color w:val="0E1020"/>
        </w:rPr>
        <w:t>Any immediate family member of a director or executive officer, or of any nominee for director. Immediate family members are any child, stepchild, parent, stepparent, spouse, sibling, mother-in-law, father-in-law, son-in-law, daughter-in-law, brother-in-law, or sister-in-law of such director, executive officer or nominee for director, and any person (other than a tenant or employee) sharing the household of such director, executive officer or nominee for director; and</w:t>
      </w:r>
    </w:p>
    <w:p>
      <w:pPr>
        <w:spacing w:after="0" w:line="41" w:lineRule="exact"/>
        <w:rPr>
          <w:rFonts w:ascii="Arial" w:cs="Arial" w:eastAsia="Arial" w:hAnsi="Arial"/>
          <w:sz w:val="16"/>
          <w:szCs w:val="16"/>
          <w:color w:val="0E1020"/>
        </w:rPr>
      </w:pPr>
    </w:p>
    <w:p>
      <w:pPr>
        <w:ind w:left="320" w:right="440" w:hanging="313"/>
        <w:spacing w:after="0" w:line="335" w:lineRule="auto"/>
        <w:tabs>
          <w:tab w:leader="none" w:pos="282" w:val="left"/>
        </w:tabs>
        <w:numPr>
          <w:ilvl w:val="0"/>
          <w:numId w:val="51"/>
        </w:numPr>
        <w:rPr>
          <w:rFonts w:ascii="Arial" w:cs="Arial" w:eastAsia="Arial" w:hAnsi="Arial"/>
          <w:sz w:val="16"/>
          <w:szCs w:val="16"/>
          <w:color w:val="0E1020"/>
        </w:rPr>
      </w:pPr>
      <w:r>
        <w:rPr>
          <w:rFonts w:ascii="Arial" w:cs="Arial" w:eastAsia="Arial" w:hAnsi="Arial"/>
          <w:sz w:val="16"/>
          <w:szCs w:val="16"/>
          <w:color w:val="0E1020"/>
        </w:rPr>
        <w:t>Any person who was in any of the following categories when a transaction in which such person had a direct or indirect material interest occurred or existed:</w:t>
      </w:r>
    </w:p>
    <w:p>
      <w:pPr>
        <w:spacing w:after="0" w:line="22" w:lineRule="exact"/>
        <w:rPr>
          <w:rFonts w:ascii="Arial" w:cs="Arial" w:eastAsia="Arial" w:hAnsi="Arial"/>
          <w:sz w:val="16"/>
          <w:szCs w:val="16"/>
          <w:color w:val="0E1020"/>
        </w:rPr>
      </w:pPr>
    </w:p>
    <w:p>
      <w:pPr>
        <w:ind w:left="620" w:hanging="291"/>
        <w:spacing w:after="0"/>
        <w:tabs>
          <w:tab w:leader="none" w:pos="620" w:val="left"/>
        </w:tabs>
        <w:numPr>
          <w:ilvl w:val="1"/>
          <w:numId w:val="51"/>
        </w:numPr>
        <w:rPr>
          <w:rFonts w:ascii="Arial" w:cs="Arial" w:eastAsia="Arial" w:hAnsi="Arial"/>
          <w:sz w:val="16"/>
          <w:szCs w:val="16"/>
          <w:color w:val="0E1020"/>
        </w:rPr>
      </w:pPr>
      <w:r>
        <w:rPr>
          <w:rFonts w:ascii="Arial" w:cs="Arial" w:eastAsia="Arial" w:hAnsi="Arial"/>
          <w:sz w:val="16"/>
          <w:szCs w:val="16"/>
          <w:color w:val="0E1020"/>
        </w:rPr>
        <w:t>Any beneficial owner of more than 5% of DXC common stock, or</w:t>
      </w:r>
    </w:p>
    <w:p>
      <w:pPr>
        <w:spacing w:after="0" w:line="137" w:lineRule="exact"/>
        <w:rPr>
          <w:rFonts w:ascii="Arial" w:cs="Arial" w:eastAsia="Arial" w:hAnsi="Arial"/>
          <w:sz w:val="16"/>
          <w:szCs w:val="16"/>
          <w:color w:val="0E1020"/>
        </w:rPr>
      </w:pPr>
    </w:p>
    <w:p>
      <w:pPr>
        <w:ind w:left="620" w:hanging="291"/>
        <w:spacing w:after="0"/>
        <w:tabs>
          <w:tab w:leader="none" w:pos="620" w:val="left"/>
        </w:tabs>
        <w:numPr>
          <w:ilvl w:val="1"/>
          <w:numId w:val="51"/>
        </w:numPr>
        <w:rPr>
          <w:rFonts w:ascii="Arial" w:cs="Arial" w:eastAsia="Arial" w:hAnsi="Arial"/>
          <w:sz w:val="16"/>
          <w:szCs w:val="16"/>
          <w:color w:val="0E1020"/>
        </w:rPr>
      </w:pPr>
      <w:r>
        <w:rPr>
          <w:rFonts w:ascii="Arial" w:cs="Arial" w:eastAsia="Arial" w:hAnsi="Arial"/>
          <w:sz w:val="16"/>
          <w:szCs w:val="16"/>
          <w:color w:val="0E1020"/>
        </w:rPr>
        <w:t>Any immediate family member, as defined above, of any such beneficial owner.</w:t>
      </w:r>
    </w:p>
    <w:p>
      <w:pPr>
        <w:spacing w:after="0" w:line="218" w:lineRule="exact"/>
        <w:rPr>
          <w:sz w:val="20"/>
          <w:szCs w:val="20"/>
          <w:color w:val="auto"/>
        </w:rPr>
      </w:pPr>
    </w:p>
    <w:p>
      <w:pPr>
        <w:ind w:right="100"/>
        <w:spacing w:after="0" w:line="335" w:lineRule="auto"/>
        <w:rPr>
          <w:sz w:val="20"/>
          <w:szCs w:val="20"/>
          <w:color w:val="auto"/>
        </w:rPr>
      </w:pPr>
      <w:r>
        <w:rPr>
          <w:rFonts w:ascii="Arial" w:cs="Arial" w:eastAsia="Arial" w:hAnsi="Arial"/>
          <w:sz w:val="16"/>
          <w:szCs w:val="16"/>
          <w:color w:val="0E1020"/>
        </w:rPr>
        <w:t>A transaction includes, but is not limited to, any financial transaction, arrangement or relationship (including any indebtedness or guarantee of indebtedness) or any series of similar transactions, arrangements or relationships.</w:t>
      </w:r>
    </w:p>
    <w:p>
      <w:pPr>
        <w:spacing w:after="0" w:line="2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0E1020"/>
        </w:rPr>
        <w:t>In determining whether to approve an Interested Transaction, the Nominating/Corporate Governance Committee will take into account, among other factors it deems appropriate, whether the Interested Transaction is on terms no less favorable than terms generally available to an unaffiliated third party under the same or similar circumstances and the extent of the related party’s interest in the transaction. No director will participate in any discussion or approval of an Interested Transaction for which he or she (or an immediate family member) is a related party, except that the director will provide all material information concerning the Interested Transaction to the Nominating/Corporate Governance Committee.</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Fiscal 2026 Related Party Transactions</w:t>
      </w:r>
    </w:p>
    <w:p>
      <w:pPr>
        <w:spacing w:after="0" w:line="148" w:lineRule="exact"/>
        <w:rPr>
          <w:sz w:val="20"/>
          <w:szCs w:val="20"/>
          <w:color w:val="auto"/>
        </w:rPr>
      </w:pPr>
    </w:p>
    <w:p>
      <w:pPr>
        <w:spacing w:after="0" w:line="301" w:lineRule="auto"/>
        <w:rPr>
          <w:sz w:val="20"/>
          <w:szCs w:val="20"/>
          <w:color w:val="auto"/>
        </w:rPr>
      </w:pPr>
      <w:r>
        <w:rPr>
          <w:rFonts w:ascii="Arial" w:cs="Arial" w:eastAsia="Arial" w:hAnsi="Arial"/>
          <w:sz w:val="16"/>
          <w:szCs w:val="16"/>
          <w:color w:val="0E1020"/>
        </w:rPr>
        <w:t>There have been no transactions since Ap</w:t>
      </w:r>
      <w:r>
        <w:rPr>
          <w:rFonts w:ascii="Arial" w:cs="Arial" w:eastAsia="Arial" w:hAnsi="Arial"/>
          <w:sz w:val="16"/>
          <w:szCs w:val="16"/>
          <w:color w:val="242424"/>
        </w:rPr>
        <w:t>ril 1, 2025 in which the company was or is to be a participant and the amount involved exceeds $120,000, which</w:t>
      </w:r>
      <w:r>
        <w:rPr>
          <w:rFonts w:ascii="Arial" w:cs="Arial" w:eastAsia="Arial" w:hAnsi="Arial"/>
          <w:sz w:val="16"/>
          <w:szCs w:val="16"/>
          <w:color w:val="0E1020"/>
        </w:rPr>
        <w:t xml:space="preserve"> </w:t>
      </w:r>
      <w:r>
        <w:rPr>
          <w:rFonts w:ascii="Arial" w:cs="Arial" w:eastAsia="Arial" w:hAnsi="Arial"/>
          <w:sz w:val="16"/>
          <w:szCs w:val="16"/>
          <w:color w:val="242424"/>
        </w:rPr>
        <w:t>required the approval of the Nominating/Corporate Governance Committee under our Related Party Transactions policy, and in which any related person had, has or will have a direct or indirect material interest and which is required to be disclosed under applicable SEC rules. The Board established a Special Committee of independent Directors in fiscal year 2026 to evaluate potential transactions that would amend the Company’s previously disclosed ongoing services relationship with RemoteRetail, of which Mr. Fernandez is a majority owner, on arm’s length commercial terms that would not be material to the Company.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55</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63" w:name="page64"/>
    <w:bookmarkEnd w:id="63"/>
    <w:p>
      <w:pPr>
        <w:jc w:val="right"/>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216535</wp:posOffset>
            </wp:positionH>
            <wp:positionV relativeFrom="page">
              <wp:posOffset>106045</wp:posOffset>
            </wp:positionV>
            <wp:extent cx="1166495" cy="3232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232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39"/>
          <w:szCs w:val="39"/>
          <w:b w:val="1"/>
          <w:bCs w:val="1"/>
          <w:color w:val="0E1020"/>
        </w:rPr>
        <w:t>EXECUTIVE COMPENSATION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0E1020"/>
        </w:rPr>
        <w:t>DXC LETTER FROM THE COMPENSATION COMMITTEE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0E1020"/>
        </w:rPr>
        <w:t>Dear fellow stockholders,</w:t>
      </w:r>
    </w:p>
    <w:p>
      <w:pPr>
        <w:spacing w:after="0" w:line="12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0E1020"/>
        </w:rPr>
        <w:t>Fiscal year 2026 was the second full fiscal year with Mr. Fernandez as the CEO. During the year, we progressed in repositioning DXC for the future by laying the foundation to bring new AI-based solutions to the market and reshape how we operate. Given persistent macroeconomic uncertainty and a competitive market for talent, a thoughtfully designed compensation program is essential to support the Company’s long-term strategy. The Compensation Committee is always focused on developing and overseeing a program that reflects pay for performance, and attracts, motivates and retains key talent that will lead DXC on its mission of sustained growth, which aligns with our stockholders’ interests.</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Overview</w:t>
      </w:r>
    </w:p>
    <w:p>
      <w:pPr>
        <w:spacing w:after="0" w:line="148"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0E1020"/>
        </w:rPr>
        <w:t>We are focused on developing compensation practices that are aligned with our stockholders’ interests and that allow us to attract and retain the best talent. To achieve that objective, we have worked with the leadership team to structure an executive compensation program that links pay with performance by closely aligning leadership’s financial interests with the execution of DXC’s business strategy. You will see that alignment in our pay outcomes for fiscal 2026. Stockholder outreach and incorporating stockholder input is another cornerstone of our executive compensation program, and we made changes to our fiscal 2026 Performance Stock Units (“PSUs”), with a design featuring cumulative Free Cash Flow (“FCF”) as an 80% weighted metric, cumulative Revenue as a 20% weighted metric, and a relative Total Shareholder Return (“rTSR”) modifier, putting additional emphasis on key financial goals that create long-term stockholder value while also maintaining a relative performance component that aligns pay closely to our stockholders’ interests.</w:t>
      </w:r>
    </w:p>
    <w:p>
      <w:pPr>
        <w:spacing w:after="0" w:line="52"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0E1020"/>
        </w:rPr>
        <w:t>Further, as disclosed in the fiscal 2025 Proxy Statement, in keeping both with our commitment to retaining top leadership who are critical to our business during a transformative time for DXC and aligning pay with stockholders’ interests, the full Board, in consultation with its independent compensation consultant, granted front-loaded fiscal 2026 equity awards intended to replace annual equity awards for the next three years to the CEO &amp; CFO, comprised of 85% PSUs and 15% RSUs. We also aligned the other NEOs to the same fiscal 2026 metrics and performance targets, with their annual equity awards comprised of 60% PSUs and 40% RSUs. Payout on the PSUs will only be achieved if the key financial goals and relative performance are met. We strongly believe that these front-loaded awards are in the best interests of our stockholders, as these awards are pivotal to secure the continued leadership of the CEO and CFO for at least an additional three years after their grant and accelerate the CEO and CFO’s ownership of company equity, including through their ability to earn rigorous performance-based awards designed to incentivize the long-term success of DXC.</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Fiscal 2026 Executive Compensation: Pay for Performance</w:t>
      </w:r>
    </w:p>
    <w:p>
      <w:pPr>
        <w:spacing w:after="0" w:line="148" w:lineRule="exact"/>
        <w:rPr>
          <w:sz w:val="20"/>
          <w:szCs w:val="20"/>
          <w:color w:val="auto"/>
        </w:rPr>
      </w:pPr>
    </w:p>
    <w:p>
      <w:pPr>
        <w:spacing w:after="0" w:line="302" w:lineRule="auto"/>
        <w:rPr>
          <w:sz w:val="20"/>
          <w:szCs w:val="20"/>
          <w:color w:val="auto"/>
        </w:rPr>
      </w:pPr>
      <w:r>
        <w:rPr>
          <w:rFonts w:ascii="Arial" w:cs="Arial" w:eastAsia="Arial" w:hAnsi="Arial"/>
          <w:sz w:val="16"/>
          <w:szCs w:val="16"/>
          <w:color w:val="0E1020"/>
        </w:rPr>
        <w:t>During fiscal 2026, DXC encountered various challenges, including macroeconomic uncertainty and geopolitical risks, affecting the markets where many of our customers operate. We also experienced some challenges closing select sales opportunities despite advancing to the final stages of competitive pursuits, and are applying those learnings to strengthen our sales approach. These challenges were reflected in our full year fiscal 2026 financial results, impacting our performance against the ambitious goals we set for ourselves in our compensation plans. Consistent with a pay for performance philosophy, our fiscal 2026 short-term incentive plan was paid out at 77% of target, due to our actual performance against our pre-set annual financial goals.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56</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64" w:name="page65"/>
    <w:bookmarkEnd w:id="64"/>
    <w:p>
      <w:pPr>
        <w:ind w:left="20"/>
        <w:spacing w:after="0"/>
        <w:tabs>
          <w:tab w:leader="none" w:pos="962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auto"/>
        </w:rPr>
        <w:t>Executive Compensation</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0E1020"/>
        </w:rPr>
        <w:t>With respect to our long-term incentives:</w:t>
      </w:r>
    </w:p>
    <w:p>
      <w:pPr>
        <w:spacing w:after="0" w:line="124" w:lineRule="exact"/>
        <w:rPr>
          <w:sz w:val="20"/>
          <w:szCs w:val="20"/>
          <w:color w:val="auto"/>
        </w:rPr>
      </w:pPr>
    </w:p>
    <w:p>
      <w:pPr>
        <w:ind w:right="220" w:firstLine="7"/>
        <w:spacing w:after="0" w:line="316" w:lineRule="auto"/>
        <w:tabs>
          <w:tab w:leader="none" w:pos="241" w:val="left"/>
        </w:tabs>
        <w:numPr>
          <w:ilvl w:val="0"/>
          <w:numId w:val="52"/>
        </w:numPr>
        <w:rPr>
          <w:rFonts w:ascii="Arial" w:cs="Arial" w:eastAsia="Arial" w:hAnsi="Arial"/>
          <w:sz w:val="16"/>
          <w:szCs w:val="16"/>
          <w:color w:val="0E1020"/>
        </w:rPr>
      </w:pPr>
      <w:r>
        <w:rPr>
          <w:rFonts w:ascii="Arial" w:cs="Arial" w:eastAsia="Arial" w:hAnsi="Arial"/>
          <w:sz w:val="16"/>
          <w:szCs w:val="16"/>
          <w:color w:val="0E1020"/>
        </w:rPr>
        <w:t>The fiscal 2024 CEO annual equity award was 100% performance-based, with payout based on stock price growth from April 1, 2024 (the date Mr. Fernandez’s Employment Agreement was finalized) through the end of the two-year performance period on March 31, 2026. Threshold achievement of the stock price hurdles was not met and the entirety of the award was canceled, reflecting alignment with our stockholder experience over the two years.</w:t>
      </w:r>
    </w:p>
    <w:p>
      <w:pPr>
        <w:spacing w:after="0" w:line="50" w:lineRule="exact"/>
        <w:rPr>
          <w:rFonts w:ascii="Arial" w:cs="Arial" w:eastAsia="Arial" w:hAnsi="Arial"/>
          <w:sz w:val="16"/>
          <w:szCs w:val="16"/>
          <w:color w:val="0E1020"/>
        </w:rPr>
      </w:pPr>
    </w:p>
    <w:p>
      <w:pPr>
        <w:ind w:right="20" w:firstLine="7"/>
        <w:spacing w:after="0" w:line="297" w:lineRule="auto"/>
        <w:tabs>
          <w:tab w:leader="none" w:pos="241" w:val="left"/>
        </w:tabs>
        <w:numPr>
          <w:ilvl w:val="0"/>
          <w:numId w:val="52"/>
        </w:numPr>
        <w:rPr>
          <w:rFonts w:ascii="Arial" w:cs="Arial" w:eastAsia="Arial" w:hAnsi="Arial"/>
          <w:sz w:val="16"/>
          <w:szCs w:val="16"/>
          <w:color w:val="0E1020"/>
        </w:rPr>
      </w:pPr>
      <w:r>
        <w:rPr>
          <w:rFonts w:ascii="Arial" w:cs="Arial" w:eastAsia="Arial" w:hAnsi="Arial"/>
          <w:sz w:val="16"/>
          <w:szCs w:val="16"/>
          <w:color w:val="0E1020"/>
        </w:rPr>
        <w:t>The annual cycle fiscal 2024-2026 PSUs were based equally on the achievement of pre-established target goals for two metrics: FCF and rTSR, with both measured over the three-year performance period. The PSUs were earned at 100% of the target number of shares. As expected with recent business performance, the 50% of the payout based on FCF performance achieved the maximum 200% of target payout, as reflected in our robust generation of cash flows in recent fiscal years, while the portion attributable to rTSR was canceled as threshold performance was not met. In addition, the actual value of the shares earned (as of the closing stock price on the May 15, 2026 settlement date) is 36% of the grant date’s closing stock price value on May 23, 2023, both an indication of why the 50% of the payout based on rTSR did not fund as well, and further aligns the actual value of the payout received by our eligible executives with our stockholder experience over the three years.</w:t>
      </w:r>
    </w:p>
    <w:p>
      <w:pPr>
        <w:spacing w:after="0" w:line="68"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color w:val="0E1020"/>
        </w:rPr>
        <w:t>For the fifth consecutive year, DXC surpassed $1,200 million in Cash Flow from Operations. From fiscal 2024-2026, DXC generated close to $2,200 million in Free Cash Flow*, with $1,248 million in Cash Flow from Operations and $713 million of Free Cash Flow* in fiscal 2026. We maintain a strong balance sheet backed by investment grade ratings.</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DXC Response to Stockholder Feedback</w:t>
      </w:r>
    </w:p>
    <w:p>
      <w:pPr>
        <w:spacing w:after="0" w:line="162"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0E1020"/>
        </w:rPr>
        <w:t>Prior to the 2025 Annual Meeting of Stockholders, in which stockholders of approximately 95% of our shares that cast votes on the matter supported our Say-on-Pay proposal, we engaged in our annual investor outreach. We do not take stockholder support for granted and we take a critical view of our executive compensation program each year. We are committed to these sessions as part of our ongoing efforts to seek feedback from, and engage with, our stockholders and reinforce our commitment to seeking stockholder input.</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0E1020"/>
        </w:rPr>
        <w:t>We look forward to continued collaboration with our stockholders in the years to come.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0E1020"/>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154940</wp:posOffset>
            </wp:positionV>
            <wp:extent cx="808355" cy="800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08355" cy="800100"/>
                    </a:xfrm>
                    <a:prstGeom prst="rect">
                      <a:avLst/>
                    </a:prstGeom>
                    <a:noFill/>
                  </pic:spPr>
                </pic:pic>
              </a:graphicData>
            </a:graphic>
          </wp:anchor>
        </w:drawing>
        <w:drawing>
          <wp:anchor simplePos="0" relativeHeight="251657728" behindDoc="1" locked="0" layoutInCell="0" allowOverlap="1">
            <wp:simplePos x="0" y="0"/>
            <wp:positionH relativeFrom="column">
              <wp:posOffset>1417320</wp:posOffset>
            </wp:positionH>
            <wp:positionV relativeFrom="paragraph">
              <wp:posOffset>154940</wp:posOffset>
            </wp:positionV>
            <wp:extent cx="808355" cy="800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08355" cy="800100"/>
                    </a:xfrm>
                    <a:prstGeom prst="rect">
                      <a:avLst/>
                    </a:prstGeom>
                    <a:noFill/>
                  </pic:spPr>
                </pic:pic>
              </a:graphicData>
            </a:graphic>
          </wp:anchor>
        </w:drawing>
        <w:drawing>
          <wp:anchor simplePos="0" relativeHeight="251657728" behindDoc="1" locked="0" layoutInCell="0" allowOverlap="1">
            <wp:simplePos x="0" y="0"/>
            <wp:positionH relativeFrom="column">
              <wp:posOffset>2830830</wp:posOffset>
            </wp:positionH>
            <wp:positionV relativeFrom="paragraph">
              <wp:posOffset>154940</wp:posOffset>
            </wp:positionV>
            <wp:extent cx="808355" cy="800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08355" cy="800100"/>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154940</wp:posOffset>
            </wp:positionV>
            <wp:extent cx="808355" cy="800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08355" cy="800100"/>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0E1020"/>
        </w:rPr>
        <w:t>AKIHIKO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6"/>
          <w:szCs w:val="16"/>
          <w:b w:val="1"/>
          <w:bCs w:val="1"/>
          <w:color w:val="0E1020"/>
        </w:rPr>
        <w:t>ANTHONY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E1020"/>
        </w:rPr>
        <w:t>DAVID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E1020"/>
        </w:rPr>
        <w:t>DAWN</w:t>
      </w:r>
    </w:p>
    <w:p>
      <w:pPr>
        <w:spacing w:after="0" w:line="55" w:lineRule="exact"/>
        <w:rPr>
          <w:sz w:val="20"/>
          <w:szCs w:val="20"/>
          <w:color w:val="auto"/>
        </w:rPr>
      </w:pPr>
    </w:p>
    <w:p>
      <w:pPr>
        <w:sectPr>
          <w:pgSz w:w="11900" w:h="16838" w:orient="portrait"/>
          <w:cols w:equalWidth="0" w:num="4">
            <w:col w:w="1600" w:space="720"/>
            <w:col w:w="1500" w:space="720"/>
            <w:col w:w="1580" w:space="720"/>
            <w:col w:w="4380"/>
          </w:cols>
          <w:pgMar w:left="320" w:top="224" w:right="35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5"/>
          <w:szCs w:val="15"/>
          <w:b w:val="1"/>
          <w:bCs w:val="1"/>
          <w:color w:val="0E1020"/>
        </w:rPr>
        <w:t>WASHINGTON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0E1020"/>
        </w:rPr>
        <w:t>GONZALEZ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0E1020"/>
        </w:rPr>
        <w:t>HERZOG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0E1020"/>
        </w:rPr>
        <w:t>ROGERS</w:t>
      </w:r>
    </w:p>
    <w:p>
      <w:pPr>
        <w:spacing w:after="0" w:line="37" w:lineRule="exact"/>
        <w:rPr>
          <w:sz w:val="20"/>
          <w:szCs w:val="20"/>
          <w:color w:val="auto"/>
        </w:rPr>
      </w:pPr>
    </w:p>
    <w:p>
      <w:pPr>
        <w:sectPr>
          <w:pgSz w:w="11900" w:h="16838" w:orient="portrait"/>
          <w:cols w:equalWidth="0" w:num="4">
            <w:col w:w="1600" w:space="720"/>
            <w:col w:w="1500" w:space="720"/>
            <w:col w:w="1580" w:space="720"/>
            <w:col w:w="4380"/>
          </w:cols>
          <w:pgMar w:left="320" w:top="224" w:right="359" w:bottom="1440" w:gutter="0" w:footer="0" w:header="0"/>
          <w:type w:val="continuous"/>
        </w:sectPr>
      </w:pPr>
    </w:p>
    <w:p>
      <w:pPr>
        <w:ind w:left="100"/>
        <w:spacing w:after="0"/>
        <w:rPr>
          <w:sz w:val="20"/>
          <w:szCs w:val="20"/>
          <w:color w:val="auto"/>
        </w:rPr>
      </w:pPr>
      <w:r>
        <w:rPr>
          <w:rFonts w:ascii="Arial" w:cs="Arial" w:eastAsia="Arial" w:hAnsi="Arial"/>
          <w:sz w:val="14"/>
          <w:szCs w:val="14"/>
          <w:color w:val="0E1020"/>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329565</wp:posOffset>
            </wp:positionV>
            <wp:extent cx="71335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right="120" w:hanging="331"/>
        <w:spacing w:after="0" w:line="264" w:lineRule="auto"/>
        <w:tabs>
          <w:tab w:leader="none" w:pos="635" w:val="left"/>
        </w:tabs>
        <w:numPr>
          <w:ilvl w:val="0"/>
          <w:numId w:val="53"/>
        </w:numPr>
        <w:rPr>
          <w:rFonts w:ascii="Arial" w:cs="Arial" w:eastAsia="Arial" w:hAnsi="Arial"/>
          <w:sz w:val="14"/>
          <w:szCs w:val="14"/>
          <w:color w:val="0E1020"/>
        </w:rPr>
      </w:pPr>
      <w:r>
        <w:rPr>
          <w:rFonts w:ascii="Arial" w:cs="Arial" w:eastAsia="Arial" w:hAnsi="Arial"/>
          <w:sz w:val="14"/>
          <w:szCs w:val="14"/>
          <w:color w:val="0E1020"/>
        </w:rPr>
        <w:t>FCF is defined as the total of the Company’s cash flow from operations, less capital expenditures, and Revenue is defined as GAAP revenue, excluding certain items which are not indicative of operating performance including, but not limited to fluctuations in foreign currency rates, acquisitions and divestitures, in both respects as determined by the Compensation Committee. The Compensation Committee may, in its good faith discretion, adjust the performance targets and/or measured results of both FCF and Revenue to reflect the impact of any extraordinary transactions or events, including, but not limited to mergers, acquisitions, disposition of assets, material cash receipts or outlays due to litigation, claim judgements or settlements, and changes in tax law that have a material impact on DXC. For a reconciliation of non-GAAP measures as set forth in this Proxy Statement to the most directly comparable GAAP measures, see “Appendix A -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57</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type w:val="continuous"/>
        </w:sectPr>
      </w:pPr>
    </w:p>
    <w:bookmarkStart w:id="65" w:name="page66"/>
    <w:bookmarkEnd w:id="65"/>
    <w:p>
      <w:pPr>
        <w:ind w:left="20"/>
        <w:spacing w:after="0"/>
        <w:tabs>
          <w:tab w:leader="none" w:pos="10100" w:val="left"/>
        </w:tabs>
        <w:rPr>
          <w:sz w:val="20"/>
          <w:szCs w:val="20"/>
          <w:color w:val="auto"/>
        </w:rPr>
      </w:pPr>
      <w:r>
        <w:rPr>
          <w:rFonts w:ascii="Arial" w:cs="Arial" w:eastAsia="Arial" w:hAnsi="Arial"/>
          <w:sz w:val="14"/>
          <w:szCs w:val="14"/>
          <w:color w:val="auto"/>
        </w:rPr>
        <w:t>Executive Compensation</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0E1020"/>
        </w:rPr>
        <w:t>COMPENSATION DISCUSSION AND ANALYSIS</w:t>
      </w:r>
    </w:p>
    <w:p>
      <w:pPr>
        <w:spacing w:after="0" w:line="200" w:lineRule="exact"/>
        <w:rPr>
          <w:sz w:val="20"/>
          <w:szCs w:val="20"/>
          <w:color w:val="auto"/>
        </w:rPr>
      </w:pPr>
    </w:p>
    <w:p>
      <w:pPr>
        <w:spacing w:after="0" w:line="295"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color w:val="0E1020"/>
        </w:rPr>
        <w:t>This Compensation Discussion and Analysis (“CD&amp;A”) describes the philosophy, objectives, process, components and additional aspects of our fiscal 2026 executive compensation program. It is intended to be read in conjunction with the tables that immediately follow this section, which provide further information on the compensation of our Named Executive Officers (“NEOs”) for fiscal 2026 identified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940" w:type="dxa"/>
            <w:vAlign w:val="bottom"/>
            <w:shd w:val="clear" w:color="auto" w:fill="F6F3F0"/>
          </w:tcPr>
          <w:p>
            <w:pPr>
              <w:ind w:left="100"/>
              <w:spacing w:after="0"/>
              <w:rPr>
                <w:sz w:val="20"/>
                <w:szCs w:val="20"/>
                <w:color w:val="auto"/>
              </w:rPr>
            </w:pPr>
            <w:r>
              <w:rPr>
                <w:rFonts w:ascii="Arial" w:cs="Arial" w:eastAsia="Arial" w:hAnsi="Arial"/>
                <w:sz w:val="14"/>
                <w:szCs w:val="14"/>
                <w:b w:val="1"/>
                <w:bCs w:val="1"/>
                <w:color w:val="0E1020"/>
              </w:rPr>
              <w:t>Name</w:t>
            </w:r>
          </w:p>
        </w:tc>
        <w:tc>
          <w:tcPr>
            <w:tcW w:w="8300" w:type="dxa"/>
            <w:vAlign w:val="bottom"/>
            <w:shd w:val="clear" w:color="auto" w:fill="F6F3F0"/>
          </w:tcPr>
          <w:p>
            <w:pPr>
              <w:ind w:left="20"/>
              <w:spacing w:after="0"/>
              <w:rPr>
                <w:sz w:val="20"/>
                <w:szCs w:val="20"/>
                <w:color w:val="auto"/>
              </w:rPr>
            </w:pPr>
            <w:r>
              <w:rPr>
                <w:rFonts w:ascii="Arial" w:cs="Arial" w:eastAsia="Arial" w:hAnsi="Arial"/>
                <w:sz w:val="14"/>
                <w:szCs w:val="14"/>
                <w:b w:val="1"/>
                <w:bCs w:val="1"/>
                <w:color w:val="0E1020"/>
              </w:rPr>
              <w:t>Principal Position</w:t>
            </w:r>
          </w:p>
        </w:tc>
      </w:tr>
      <w:tr>
        <w:trPr>
          <w:trHeight w:val="69"/>
        </w:trPr>
        <w:tc>
          <w:tcPr>
            <w:tcW w:w="2940" w:type="dxa"/>
            <w:vAlign w:val="bottom"/>
            <w:tcBorders>
              <w:bottom w:val="single" w:sz="8" w:color="CFCFD2"/>
            </w:tcBorders>
            <w:shd w:val="clear" w:color="auto" w:fill="F6F3F0"/>
          </w:tcPr>
          <w:p>
            <w:pPr>
              <w:spacing w:after="0"/>
              <w:rPr>
                <w:sz w:val="5"/>
                <w:szCs w:val="5"/>
                <w:color w:val="auto"/>
              </w:rPr>
            </w:pPr>
          </w:p>
        </w:tc>
        <w:tc>
          <w:tcPr>
            <w:tcW w:w="8300" w:type="dxa"/>
            <w:vAlign w:val="bottom"/>
            <w:tcBorders>
              <w:bottom w:val="single" w:sz="8" w:color="CFCFD2"/>
            </w:tcBorders>
            <w:shd w:val="clear" w:color="auto" w:fill="F6F3F0"/>
          </w:tcPr>
          <w:p>
            <w:pPr>
              <w:spacing w:after="0"/>
              <w:rPr>
                <w:sz w:val="5"/>
                <w:szCs w:val="5"/>
                <w:color w:val="auto"/>
              </w:rPr>
            </w:pPr>
          </w:p>
        </w:tc>
      </w:tr>
      <w:tr>
        <w:trPr>
          <w:trHeight w:val="215"/>
        </w:trPr>
        <w:tc>
          <w:tcPr>
            <w:tcW w:w="29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Raul J. Fernandez</w:t>
            </w:r>
          </w:p>
        </w:tc>
        <w:tc>
          <w:tcPr>
            <w:tcW w:w="8300" w:type="dxa"/>
            <w:vAlign w:val="bottom"/>
            <w:tcBorders>
              <w:bottom w:val="single" w:sz="8" w:color="CFCFD2"/>
            </w:tcBorders>
          </w:tcPr>
          <w:p>
            <w:pPr>
              <w:ind w:left="20"/>
              <w:spacing w:after="0"/>
              <w:rPr>
                <w:sz w:val="20"/>
                <w:szCs w:val="20"/>
                <w:color w:val="auto"/>
              </w:rPr>
            </w:pPr>
            <w:r>
              <w:rPr>
                <w:rFonts w:ascii="Arial" w:cs="Arial" w:eastAsia="Arial" w:hAnsi="Arial"/>
                <w:sz w:val="14"/>
                <w:szCs w:val="14"/>
                <w:color w:val="0E1020"/>
              </w:rPr>
              <w:t>President and Chief Executive Officer</w:t>
            </w:r>
          </w:p>
        </w:tc>
      </w:tr>
      <w:tr>
        <w:trPr>
          <w:trHeight w:val="221"/>
        </w:trPr>
        <w:tc>
          <w:tcPr>
            <w:tcW w:w="29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Robert Del Bene</w:t>
            </w:r>
          </w:p>
        </w:tc>
        <w:tc>
          <w:tcPr>
            <w:tcW w:w="8300" w:type="dxa"/>
            <w:vAlign w:val="bottom"/>
            <w:tcBorders>
              <w:bottom w:val="single" w:sz="8" w:color="CFCFD2"/>
            </w:tcBorders>
          </w:tcPr>
          <w:p>
            <w:pPr>
              <w:ind w:left="20"/>
              <w:spacing w:after="0"/>
              <w:rPr>
                <w:sz w:val="20"/>
                <w:szCs w:val="20"/>
                <w:color w:val="auto"/>
              </w:rPr>
            </w:pPr>
            <w:r>
              <w:rPr>
                <w:rFonts w:ascii="Arial" w:cs="Arial" w:eastAsia="Arial" w:hAnsi="Arial"/>
                <w:sz w:val="14"/>
                <w:szCs w:val="14"/>
                <w:color w:val="0E1020"/>
              </w:rPr>
              <w:t>Executive Vice President, Chief Financial Officer</w:t>
            </w:r>
          </w:p>
        </w:tc>
      </w:tr>
      <w:tr>
        <w:trPr>
          <w:trHeight w:val="221"/>
        </w:trPr>
        <w:tc>
          <w:tcPr>
            <w:tcW w:w="29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Christopher Drumgoole</w:t>
            </w:r>
          </w:p>
        </w:tc>
        <w:tc>
          <w:tcPr>
            <w:tcW w:w="8300" w:type="dxa"/>
            <w:vAlign w:val="bottom"/>
            <w:tcBorders>
              <w:bottom w:val="single" w:sz="8" w:color="CFCFD2"/>
            </w:tcBorders>
          </w:tcPr>
          <w:p>
            <w:pPr>
              <w:ind w:left="20"/>
              <w:spacing w:after="0"/>
              <w:rPr>
                <w:sz w:val="20"/>
                <w:szCs w:val="20"/>
                <w:color w:val="auto"/>
              </w:rPr>
            </w:pPr>
            <w:r>
              <w:rPr>
                <w:rFonts w:ascii="Arial" w:cs="Arial" w:eastAsia="Arial" w:hAnsi="Arial"/>
                <w:sz w:val="14"/>
                <w:szCs w:val="14"/>
                <w:color w:val="0E1020"/>
              </w:rPr>
              <w:t>President, Global Infrastructure Services</w:t>
            </w:r>
          </w:p>
        </w:tc>
      </w:tr>
      <w:tr>
        <w:trPr>
          <w:trHeight w:val="221"/>
        </w:trPr>
        <w:tc>
          <w:tcPr>
            <w:tcW w:w="29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Raymond A. August</w:t>
            </w:r>
          </w:p>
        </w:tc>
        <w:tc>
          <w:tcPr>
            <w:tcW w:w="8300" w:type="dxa"/>
            <w:vAlign w:val="bottom"/>
            <w:tcBorders>
              <w:bottom w:val="single" w:sz="8" w:color="CFCFD2"/>
            </w:tcBorders>
          </w:tcPr>
          <w:p>
            <w:pPr>
              <w:ind w:left="20"/>
              <w:spacing w:after="0"/>
              <w:rPr>
                <w:sz w:val="20"/>
                <w:szCs w:val="20"/>
                <w:color w:val="auto"/>
              </w:rPr>
            </w:pPr>
            <w:r>
              <w:rPr>
                <w:rFonts w:ascii="Arial" w:cs="Arial" w:eastAsia="Arial" w:hAnsi="Arial"/>
                <w:sz w:val="14"/>
                <w:szCs w:val="14"/>
                <w:color w:val="0E1020"/>
              </w:rPr>
              <w:t>President, Insurance Software &amp; Services</w:t>
            </w:r>
          </w:p>
        </w:tc>
      </w:tr>
      <w:tr>
        <w:trPr>
          <w:trHeight w:val="221"/>
        </w:trPr>
        <w:tc>
          <w:tcPr>
            <w:tcW w:w="29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Matthew K. Fawcett</w:t>
            </w:r>
          </w:p>
        </w:tc>
        <w:tc>
          <w:tcPr>
            <w:tcW w:w="8300" w:type="dxa"/>
            <w:vAlign w:val="bottom"/>
            <w:tcBorders>
              <w:bottom w:val="single" w:sz="8" w:color="CFCFD2"/>
            </w:tcBorders>
          </w:tcPr>
          <w:p>
            <w:pPr>
              <w:ind w:left="20"/>
              <w:spacing w:after="0"/>
              <w:rPr>
                <w:sz w:val="20"/>
                <w:szCs w:val="20"/>
                <w:color w:val="auto"/>
              </w:rPr>
            </w:pPr>
            <w:r>
              <w:rPr>
                <w:rFonts w:ascii="Arial" w:cs="Arial" w:eastAsia="Arial" w:hAnsi="Arial"/>
                <w:sz w:val="14"/>
                <w:szCs w:val="14"/>
                <w:color w:val="0E1020"/>
              </w:rPr>
              <w:t>Executive Vice President, General Counsel</w:t>
            </w:r>
          </w:p>
        </w:tc>
      </w:tr>
      <w:tr>
        <w:trPr>
          <w:trHeight w:val="228"/>
        </w:trPr>
        <w:tc>
          <w:tcPr>
            <w:tcW w:w="29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Howard Boville</w:t>
            </w:r>
          </w:p>
        </w:tc>
        <w:tc>
          <w:tcPr>
            <w:tcW w:w="8300" w:type="dxa"/>
            <w:vAlign w:val="bottom"/>
            <w:tcBorders>
              <w:bottom w:val="single" w:sz="8" w:color="CFCFD2"/>
            </w:tcBorders>
          </w:tcPr>
          <w:p>
            <w:pPr>
              <w:ind w:left="20"/>
              <w:spacing w:after="0"/>
              <w:rPr>
                <w:sz w:val="20"/>
                <w:szCs w:val="20"/>
                <w:color w:val="auto"/>
              </w:rPr>
            </w:pPr>
            <w:r>
              <w:rPr>
                <w:rFonts w:ascii="Arial" w:cs="Arial" w:eastAsia="Arial" w:hAnsi="Arial"/>
                <w:sz w:val="14"/>
                <w:szCs w:val="14"/>
                <w:color w:val="0E1020"/>
              </w:rPr>
              <w:t>Former President, Consulting &amp; Engineering Services</w:t>
            </w:r>
            <w:r>
              <w:rPr>
                <w:rFonts w:ascii="Arial" w:cs="Arial" w:eastAsia="Arial" w:hAnsi="Arial"/>
                <w:sz w:val="18"/>
                <w:szCs w:val="18"/>
                <w:color w:val="0E1020"/>
                <w:vertAlign w:val="superscript"/>
              </w:rPr>
              <w:t>(1)</w:t>
            </w:r>
          </w:p>
        </w:tc>
      </w:tr>
    </w:tbl>
    <w:p>
      <w:pPr>
        <w:spacing w:after="0" w:line="178" w:lineRule="exact"/>
        <w:rPr>
          <w:sz w:val="20"/>
          <w:szCs w:val="20"/>
          <w:color w:val="auto"/>
        </w:rPr>
      </w:pPr>
    </w:p>
    <w:p>
      <w:pPr>
        <w:ind w:left="500" w:hanging="332"/>
        <w:spacing w:after="0"/>
        <w:tabs>
          <w:tab w:leader="none" w:pos="500" w:val="left"/>
        </w:tabs>
        <w:numPr>
          <w:ilvl w:val="0"/>
          <w:numId w:val="54"/>
        </w:numPr>
        <w:rPr>
          <w:rFonts w:ascii="Arial" w:cs="Arial" w:eastAsia="Arial" w:hAnsi="Arial"/>
          <w:sz w:val="14"/>
          <w:szCs w:val="14"/>
          <w:color w:val="0E1020"/>
        </w:rPr>
      </w:pPr>
      <w:r>
        <w:rPr>
          <w:rFonts w:ascii="Arial" w:cs="Arial" w:eastAsia="Arial" w:hAnsi="Arial"/>
          <w:sz w:val="14"/>
          <w:szCs w:val="14"/>
          <w:color w:val="0E1020"/>
        </w:rPr>
        <w:t>Mr. Boville ceased serving as President, Consulting &amp; Engineering Services and left the Company, effective as of July 1, 2025.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0100" w:type="dxa"/>
            <w:vAlign w:val="bottom"/>
            <w:shd w:val="clear" w:color="auto" w:fill="F6F3F0"/>
          </w:tcPr>
          <w:p>
            <w:pPr>
              <w:ind w:left="100"/>
              <w:spacing w:after="0"/>
              <w:rPr>
                <w:sz w:val="20"/>
                <w:szCs w:val="20"/>
                <w:color w:val="auto"/>
              </w:rPr>
            </w:pPr>
            <w:r>
              <w:rPr>
                <w:rFonts w:ascii="Arial" w:cs="Arial" w:eastAsia="Arial" w:hAnsi="Arial"/>
                <w:sz w:val="14"/>
                <w:szCs w:val="14"/>
                <w:b w:val="1"/>
                <w:bCs w:val="1"/>
                <w:color w:val="0E1020"/>
              </w:rPr>
              <w:t>Quick CD&amp;A Reference Guide</w:t>
            </w:r>
          </w:p>
        </w:tc>
        <w:tc>
          <w:tcPr>
            <w:tcW w:w="1140" w:type="dxa"/>
            <w:vAlign w:val="bottom"/>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Page</w:t>
            </w:r>
          </w:p>
        </w:tc>
      </w:tr>
      <w:tr>
        <w:trPr>
          <w:trHeight w:val="69"/>
        </w:trPr>
        <w:tc>
          <w:tcPr>
            <w:tcW w:w="10100" w:type="dxa"/>
            <w:vAlign w:val="bottom"/>
            <w:tcBorders>
              <w:bottom w:val="single" w:sz="8" w:color="CFCFD2"/>
            </w:tcBorders>
            <w:shd w:val="clear" w:color="auto" w:fill="F6F3F0"/>
          </w:tcPr>
          <w:p>
            <w:pPr>
              <w:spacing w:after="0"/>
              <w:rPr>
                <w:sz w:val="5"/>
                <w:szCs w:val="5"/>
                <w:color w:val="auto"/>
              </w:rPr>
            </w:pPr>
          </w:p>
        </w:tc>
        <w:tc>
          <w:tcPr>
            <w:tcW w:w="1140" w:type="dxa"/>
            <w:vAlign w:val="bottom"/>
            <w:tcBorders>
              <w:bottom w:val="single" w:sz="8" w:color="CFCFD2"/>
            </w:tcBorders>
            <w:shd w:val="clear" w:color="auto" w:fill="F6F3F0"/>
          </w:tcPr>
          <w:p>
            <w:pPr>
              <w:spacing w:after="0"/>
              <w:rPr>
                <w:sz w:val="5"/>
                <w:szCs w:val="5"/>
                <w:color w:val="auto"/>
              </w:rPr>
            </w:pPr>
          </w:p>
        </w:tc>
      </w:tr>
      <w:tr>
        <w:trPr>
          <w:trHeight w:val="200"/>
        </w:trPr>
        <w:tc>
          <w:tcPr>
            <w:tcW w:w="10100" w:type="dxa"/>
            <w:vAlign w:val="bottom"/>
          </w:tcPr>
          <w:p>
            <w:pPr>
              <w:ind w:left="100"/>
              <w:spacing w:after="0"/>
              <w:rPr>
                <w:sz w:val="20"/>
                <w:szCs w:val="20"/>
                <w:color w:val="auto"/>
              </w:rPr>
            </w:pPr>
            <w:r>
              <w:rPr>
                <w:rFonts w:ascii="Arial" w:cs="Arial" w:eastAsia="Arial" w:hAnsi="Arial"/>
                <w:sz w:val="14"/>
                <w:szCs w:val="14"/>
                <w:color w:val="0E1020"/>
              </w:rPr>
              <w:t>Executive Summary</w:t>
            </w:r>
          </w:p>
        </w:tc>
        <w:tc>
          <w:tcPr>
            <w:tcW w:w="1140" w:type="dxa"/>
            <w:vAlign w:val="bottom"/>
          </w:tcPr>
          <w:p>
            <w:pPr>
              <w:jc w:val="right"/>
              <w:ind w:right="89"/>
              <w:spacing w:after="0"/>
              <w:rPr>
                <w:sz w:val="20"/>
                <w:szCs w:val="20"/>
                <w:color w:val="auto"/>
              </w:rPr>
            </w:pPr>
            <w:r>
              <w:rPr>
                <w:rFonts w:ascii="Arial" w:cs="Arial" w:eastAsia="Arial" w:hAnsi="Arial"/>
                <w:sz w:val="14"/>
                <w:szCs w:val="14"/>
                <w:color w:val="0E1020"/>
              </w:rPr>
              <w:t>58</w:t>
            </w:r>
          </w:p>
        </w:tc>
      </w:tr>
      <w:tr>
        <w:trPr>
          <w:trHeight w:val="21"/>
        </w:trPr>
        <w:tc>
          <w:tcPr>
            <w:tcW w:w="10100" w:type="dxa"/>
            <w:vAlign w:val="bottom"/>
            <w:tcBorders>
              <w:bottom w:val="single" w:sz="8" w:color="CFCFD2"/>
            </w:tcBorders>
          </w:tcPr>
          <w:p>
            <w:pPr>
              <w:spacing w:after="0" w:line="20" w:lineRule="exact"/>
              <w:rPr>
                <w:sz w:val="1"/>
                <w:szCs w:val="1"/>
                <w:color w:val="auto"/>
              </w:rPr>
            </w:pPr>
          </w:p>
        </w:tc>
        <w:tc>
          <w:tcPr>
            <w:tcW w:w="1140" w:type="dxa"/>
            <w:vAlign w:val="bottom"/>
            <w:tcBorders>
              <w:bottom w:val="single" w:sz="8" w:color="CFCFD2"/>
            </w:tcBorders>
          </w:tcPr>
          <w:p>
            <w:pPr>
              <w:spacing w:after="0" w:line="20" w:lineRule="exact"/>
              <w:rPr>
                <w:sz w:val="1"/>
                <w:szCs w:val="1"/>
                <w:color w:val="auto"/>
              </w:rPr>
            </w:pPr>
          </w:p>
        </w:tc>
      </w:tr>
      <w:tr>
        <w:trPr>
          <w:trHeight w:val="200"/>
        </w:trPr>
        <w:tc>
          <w:tcPr>
            <w:tcW w:w="10100" w:type="dxa"/>
            <w:vAlign w:val="bottom"/>
          </w:tcPr>
          <w:p>
            <w:pPr>
              <w:ind w:left="100"/>
              <w:spacing w:after="0"/>
              <w:rPr>
                <w:sz w:val="20"/>
                <w:szCs w:val="20"/>
                <w:color w:val="auto"/>
              </w:rPr>
            </w:pPr>
            <w:r>
              <w:rPr>
                <w:rFonts w:ascii="Arial" w:cs="Arial" w:eastAsia="Arial" w:hAnsi="Arial"/>
                <w:sz w:val="14"/>
                <w:szCs w:val="14"/>
                <w:color w:val="0E1020"/>
              </w:rPr>
              <w:t>2025 Say-on-Pay Vote and Stockholder Engagement</w:t>
            </w:r>
          </w:p>
        </w:tc>
        <w:tc>
          <w:tcPr>
            <w:tcW w:w="1140" w:type="dxa"/>
            <w:vAlign w:val="bottom"/>
          </w:tcPr>
          <w:p>
            <w:pPr>
              <w:jc w:val="right"/>
              <w:ind w:right="89"/>
              <w:spacing w:after="0"/>
              <w:rPr>
                <w:sz w:val="20"/>
                <w:szCs w:val="20"/>
                <w:color w:val="auto"/>
              </w:rPr>
            </w:pPr>
            <w:r>
              <w:rPr>
                <w:rFonts w:ascii="Arial" w:cs="Arial" w:eastAsia="Arial" w:hAnsi="Arial"/>
                <w:sz w:val="14"/>
                <w:szCs w:val="14"/>
                <w:color w:val="0E1020"/>
              </w:rPr>
              <w:t>63</w:t>
            </w:r>
          </w:p>
        </w:tc>
      </w:tr>
      <w:tr>
        <w:trPr>
          <w:trHeight w:val="21"/>
        </w:trPr>
        <w:tc>
          <w:tcPr>
            <w:tcW w:w="10100" w:type="dxa"/>
            <w:vAlign w:val="bottom"/>
            <w:tcBorders>
              <w:bottom w:val="single" w:sz="8" w:color="CFCFD2"/>
            </w:tcBorders>
          </w:tcPr>
          <w:p>
            <w:pPr>
              <w:spacing w:after="0" w:line="20" w:lineRule="exact"/>
              <w:rPr>
                <w:sz w:val="1"/>
                <w:szCs w:val="1"/>
                <w:color w:val="auto"/>
              </w:rPr>
            </w:pPr>
          </w:p>
        </w:tc>
        <w:tc>
          <w:tcPr>
            <w:tcW w:w="1140" w:type="dxa"/>
            <w:vAlign w:val="bottom"/>
            <w:tcBorders>
              <w:bottom w:val="single" w:sz="8" w:color="CFCFD2"/>
            </w:tcBorders>
          </w:tcPr>
          <w:p>
            <w:pPr>
              <w:spacing w:after="0" w:line="20" w:lineRule="exact"/>
              <w:rPr>
                <w:sz w:val="1"/>
                <w:szCs w:val="1"/>
                <w:color w:val="auto"/>
              </w:rPr>
            </w:pPr>
          </w:p>
        </w:tc>
      </w:tr>
      <w:tr>
        <w:trPr>
          <w:trHeight w:val="200"/>
        </w:trPr>
        <w:tc>
          <w:tcPr>
            <w:tcW w:w="10100" w:type="dxa"/>
            <w:vAlign w:val="bottom"/>
          </w:tcPr>
          <w:p>
            <w:pPr>
              <w:ind w:left="100"/>
              <w:spacing w:after="0"/>
              <w:rPr>
                <w:sz w:val="20"/>
                <w:szCs w:val="20"/>
                <w:color w:val="auto"/>
              </w:rPr>
            </w:pPr>
            <w:r>
              <w:rPr>
                <w:rFonts w:ascii="Arial" w:cs="Arial" w:eastAsia="Arial" w:hAnsi="Arial"/>
                <w:sz w:val="14"/>
                <w:szCs w:val="14"/>
                <w:color w:val="0E1020"/>
              </w:rPr>
              <w:t>Compensation Philosophy and Objectives</w:t>
            </w:r>
          </w:p>
        </w:tc>
        <w:tc>
          <w:tcPr>
            <w:tcW w:w="1140" w:type="dxa"/>
            <w:vAlign w:val="bottom"/>
          </w:tcPr>
          <w:p>
            <w:pPr>
              <w:jc w:val="right"/>
              <w:ind w:right="89"/>
              <w:spacing w:after="0"/>
              <w:rPr>
                <w:sz w:val="20"/>
                <w:szCs w:val="20"/>
                <w:color w:val="auto"/>
              </w:rPr>
            </w:pPr>
            <w:r>
              <w:rPr>
                <w:rFonts w:ascii="Arial" w:cs="Arial" w:eastAsia="Arial" w:hAnsi="Arial"/>
                <w:sz w:val="14"/>
                <w:szCs w:val="14"/>
                <w:color w:val="0E1020"/>
              </w:rPr>
              <w:t>65</w:t>
            </w:r>
          </w:p>
        </w:tc>
      </w:tr>
      <w:tr>
        <w:trPr>
          <w:trHeight w:val="21"/>
        </w:trPr>
        <w:tc>
          <w:tcPr>
            <w:tcW w:w="10100" w:type="dxa"/>
            <w:vAlign w:val="bottom"/>
            <w:tcBorders>
              <w:bottom w:val="single" w:sz="8" w:color="CFCFD2"/>
            </w:tcBorders>
          </w:tcPr>
          <w:p>
            <w:pPr>
              <w:spacing w:after="0" w:line="20" w:lineRule="exact"/>
              <w:rPr>
                <w:sz w:val="1"/>
                <w:szCs w:val="1"/>
                <w:color w:val="auto"/>
              </w:rPr>
            </w:pPr>
          </w:p>
        </w:tc>
        <w:tc>
          <w:tcPr>
            <w:tcW w:w="1140" w:type="dxa"/>
            <w:vAlign w:val="bottom"/>
            <w:tcBorders>
              <w:bottom w:val="single" w:sz="8" w:color="CFCFD2"/>
            </w:tcBorders>
          </w:tcPr>
          <w:p>
            <w:pPr>
              <w:spacing w:after="0" w:line="20" w:lineRule="exact"/>
              <w:rPr>
                <w:sz w:val="1"/>
                <w:szCs w:val="1"/>
                <w:color w:val="auto"/>
              </w:rPr>
            </w:pPr>
          </w:p>
        </w:tc>
      </w:tr>
      <w:tr>
        <w:trPr>
          <w:trHeight w:val="200"/>
        </w:trPr>
        <w:tc>
          <w:tcPr>
            <w:tcW w:w="10100" w:type="dxa"/>
            <w:vAlign w:val="bottom"/>
          </w:tcPr>
          <w:p>
            <w:pPr>
              <w:ind w:left="100"/>
              <w:spacing w:after="0"/>
              <w:rPr>
                <w:sz w:val="20"/>
                <w:szCs w:val="20"/>
                <w:color w:val="auto"/>
              </w:rPr>
            </w:pPr>
            <w:r>
              <w:rPr>
                <w:rFonts w:ascii="Arial" w:cs="Arial" w:eastAsia="Arial" w:hAnsi="Arial"/>
                <w:sz w:val="14"/>
                <w:szCs w:val="14"/>
                <w:color w:val="0E1020"/>
              </w:rPr>
              <w:t>Compensation Determination Process</w:t>
            </w:r>
          </w:p>
        </w:tc>
        <w:tc>
          <w:tcPr>
            <w:tcW w:w="1140" w:type="dxa"/>
            <w:vAlign w:val="bottom"/>
          </w:tcPr>
          <w:p>
            <w:pPr>
              <w:jc w:val="right"/>
              <w:ind w:right="89"/>
              <w:spacing w:after="0"/>
              <w:rPr>
                <w:sz w:val="20"/>
                <w:szCs w:val="20"/>
                <w:color w:val="auto"/>
              </w:rPr>
            </w:pPr>
            <w:r>
              <w:rPr>
                <w:rFonts w:ascii="Arial" w:cs="Arial" w:eastAsia="Arial" w:hAnsi="Arial"/>
                <w:sz w:val="14"/>
                <w:szCs w:val="14"/>
                <w:color w:val="0E1020"/>
              </w:rPr>
              <w:t>65</w:t>
            </w:r>
          </w:p>
        </w:tc>
      </w:tr>
      <w:tr>
        <w:trPr>
          <w:trHeight w:val="21"/>
        </w:trPr>
        <w:tc>
          <w:tcPr>
            <w:tcW w:w="10100" w:type="dxa"/>
            <w:vAlign w:val="bottom"/>
            <w:tcBorders>
              <w:bottom w:val="single" w:sz="8" w:color="CFCFD2"/>
            </w:tcBorders>
          </w:tcPr>
          <w:p>
            <w:pPr>
              <w:spacing w:after="0" w:line="20" w:lineRule="exact"/>
              <w:rPr>
                <w:sz w:val="1"/>
                <w:szCs w:val="1"/>
                <w:color w:val="auto"/>
              </w:rPr>
            </w:pPr>
          </w:p>
        </w:tc>
        <w:tc>
          <w:tcPr>
            <w:tcW w:w="1140" w:type="dxa"/>
            <w:vAlign w:val="bottom"/>
            <w:tcBorders>
              <w:bottom w:val="single" w:sz="8" w:color="CFCFD2"/>
            </w:tcBorders>
          </w:tcPr>
          <w:p>
            <w:pPr>
              <w:spacing w:after="0" w:line="20" w:lineRule="exact"/>
              <w:rPr>
                <w:sz w:val="1"/>
                <w:szCs w:val="1"/>
                <w:color w:val="auto"/>
              </w:rPr>
            </w:pPr>
          </w:p>
        </w:tc>
      </w:tr>
      <w:tr>
        <w:trPr>
          <w:trHeight w:val="200"/>
        </w:trPr>
        <w:tc>
          <w:tcPr>
            <w:tcW w:w="10100" w:type="dxa"/>
            <w:vAlign w:val="bottom"/>
          </w:tcPr>
          <w:p>
            <w:pPr>
              <w:ind w:left="100"/>
              <w:spacing w:after="0"/>
              <w:rPr>
                <w:sz w:val="20"/>
                <w:szCs w:val="20"/>
                <w:color w:val="auto"/>
              </w:rPr>
            </w:pPr>
            <w:r>
              <w:rPr>
                <w:rFonts w:ascii="Arial" w:cs="Arial" w:eastAsia="Arial" w:hAnsi="Arial"/>
                <w:sz w:val="14"/>
                <w:szCs w:val="14"/>
                <w:color w:val="0E1020"/>
              </w:rPr>
              <w:t>Components of Our Compensation Program</w:t>
            </w:r>
          </w:p>
        </w:tc>
        <w:tc>
          <w:tcPr>
            <w:tcW w:w="1140" w:type="dxa"/>
            <w:vAlign w:val="bottom"/>
          </w:tcPr>
          <w:p>
            <w:pPr>
              <w:jc w:val="right"/>
              <w:ind w:right="89"/>
              <w:spacing w:after="0"/>
              <w:rPr>
                <w:sz w:val="20"/>
                <w:szCs w:val="20"/>
                <w:color w:val="auto"/>
              </w:rPr>
            </w:pPr>
            <w:r>
              <w:rPr>
                <w:rFonts w:ascii="Arial" w:cs="Arial" w:eastAsia="Arial" w:hAnsi="Arial"/>
                <w:sz w:val="14"/>
                <w:szCs w:val="14"/>
                <w:color w:val="0E1020"/>
              </w:rPr>
              <w:t>68</w:t>
            </w:r>
          </w:p>
        </w:tc>
      </w:tr>
      <w:tr>
        <w:trPr>
          <w:trHeight w:val="21"/>
        </w:trPr>
        <w:tc>
          <w:tcPr>
            <w:tcW w:w="10100" w:type="dxa"/>
            <w:vAlign w:val="bottom"/>
            <w:tcBorders>
              <w:bottom w:val="single" w:sz="8" w:color="CFCFD2"/>
            </w:tcBorders>
          </w:tcPr>
          <w:p>
            <w:pPr>
              <w:spacing w:after="0" w:line="20" w:lineRule="exact"/>
              <w:rPr>
                <w:sz w:val="1"/>
                <w:szCs w:val="1"/>
                <w:color w:val="auto"/>
              </w:rPr>
            </w:pPr>
          </w:p>
        </w:tc>
        <w:tc>
          <w:tcPr>
            <w:tcW w:w="1140" w:type="dxa"/>
            <w:vAlign w:val="bottom"/>
            <w:tcBorders>
              <w:bottom w:val="single" w:sz="8" w:color="CFCFD2"/>
            </w:tcBorders>
          </w:tcPr>
          <w:p>
            <w:pPr>
              <w:spacing w:after="0" w:line="20" w:lineRule="exact"/>
              <w:rPr>
                <w:sz w:val="1"/>
                <w:szCs w:val="1"/>
                <w:color w:val="auto"/>
              </w:rPr>
            </w:pPr>
          </w:p>
        </w:tc>
      </w:tr>
      <w:tr>
        <w:trPr>
          <w:trHeight w:val="200"/>
        </w:trPr>
        <w:tc>
          <w:tcPr>
            <w:tcW w:w="10100" w:type="dxa"/>
            <w:vAlign w:val="bottom"/>
          </w:tcPr>
          <w:p>
            <w:pPr>
              <w:ind w:left="100"/>
              <w:spacing w:after="0"/>
              <w:rPr>
                <w:sz w:val="20"/>
                <w:szCs w:val="20"/>
                <w:color w:val="auto"/>
              </w:rPr>
            </w:pPr>
            <w:r>
              <w:rPr>
                <w:rFonts w:ascii="Arial" w:cs="Arial" w:eastAsia="Arial" w:hAnsi="Arial"/>
                <w:sz w:val="14"/>
                <w:szCs w:val="14"/>
                <w:color w:val="0E1020"/>
              </w:rPr>
              <w:t>Additional Compensation Policies and Practices</w:t>
            </w:r>
          </w:p>
        </w:tc>
        <w:tc>
          <w:tcPr>
            <w:tcW w:w="1140" w:type="dxa"/>
            <w:vAlign w:val="bottom"/>
          </w:tcPr>
          <w:p>
            <w:pPr>
              <w:jc w:val="right"/>
              <w:ind w:right="89"/>
              <w:spacing w:after="0"/>
              <w:rPr>
                <w:sz w:val="20"/>
                <w:szCs w:val="20"/>
                <w:color w:val="auto"/>
              </w:rPr>
            </w:pPr>
            <w:r>
              <w:rPr>
                <w:rFonts w:ascii="Arial" w:cs="Arial" w:eastAsia="Arial" w:hAnsi="Arial"/>
                <w:sz w:val="14"/>
                <w:szCs w:val="14"/>
                <w:color w:val="0E1020"/>
              </w:rPr>
              <w:t>81</w:t>
            </w:r>
          </w:p>
        </w:tc>
      </w:tr>
      <w:tr>
        <w:trPr>
          <w:trHeight w:val="21"/>
        </w:trPr>
        <w:tc>
          <w:tcPr>
            <w:tcW w:w="10100" w:type="dxa"/>
            <w:vAlign w:val="bottom"/>
            <w:tcBorders>
              <w:bottom w:val="single" w:sz="8" w:color="CFCFD2"/>
            </w:tcBorders>
          </w:tcPr>
          <w:p>
            <w:pPr>
              <w:spacing w:after="0" w:line="20" w:lineRule="exact"/>
              <w:rPr>
                <w:sz w:val="1"/>
                <w:szCs w:val="1"/>
                <w:color w:val="auto"/>
              </w:rPr>
            </w:pPr>
          </w:p>
        </w:tc>
        <w:tc>
          <w:tcPr>
            <w:tcW w:w="1140" w:type="dxa"/>
            <w:vAlign w:val="bottom"/>
            <w:tcBorders>
              <w:bottom w:val="single" w:sz="8" w:color="CFCFD2"/>
            </w:tcBorders>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Executive Summary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Pay for Performance</w:t>
      </w:r>
    </w:p>
    <w:p>
      <w:pPr>
        <w:spacing w:after="0" w:line="133" w:lineRule="exact"/>
        <w:rPr>
          <w:sz w:val="20"/>
          <w:szCs w:val="20"/>
          <w:color w:val="auto"/>
        </w:rPr>
      </w:pPr>
    </w:p>
    <w:p>
      <w:pPr>
        <w:ind w:right="300"/>
        <w:spacing w:after="0" w:line="335" w:lineRule="auto"/>
        <w:rPr>
          <w:sz w:val="20"/>
          <w:szCs w:val="20"/>
          <w:color w:val="auto"/>
        </w:rPr>
      </w:pPr>
      <w:r>
        <w:rPr>
          <w:rFonts w:ascii="Arial" w:cs="Arial" w:eastAsia="Arial" w:hAnsi="Arial"/>
          <w:sz w:val="16"/>
          <w:szCs w:val="16"/>
          <w:color w:val="0E1020"/>
        </w:rPr>
        <w:t>At DXC, we are committed to linking executive compensation to the performance of the Company. Our executive compensation program is closely aligned with our strategic priorities, which include attracting and retaining a strong, experienced senior team.</w:t>
      </w:r>
    </w:p>
    <w:p>
      <w:pPr>
        <w:spacing w:after="0" w:line="36" w:lineRule="exact"/>
        <w:rPr>
          <w:sz w:val="20"/>
          <w:szCs w:val="20"/>
          <w:color w:val="auto"/>
        </w:rPr>
      </w:pPr>
    </w:p>
    <w:p>
      <w:pPr>
        <w:spacing w:after="0" w:line="302" w:lineRule="auto"/>
        <w:rPr>
          <w:sz w:val="20"/>
          <w:szCs w:val="20"/>
          <w:color w:val="auto"/>
        </w:rPr>
      </w:pPr>
      <w:r>
        <w:rPr>
          <w:rFonts w:ascii="Arial" w:cs="Arial" w:eastAsia="Arial" w:hAnsi="Arial"/>
          <w:sz w:val="16"/>
          <w:szCs w:val="16"/>
          <w:color w:val="0E1020"/>
        </w:rPr>
        <w:t>For the fifth consecutive year, DXC surpassed $1,200 million in Cash Flow from Operations. From fiscal 2024 to 2026, DXC generated close to $2,200 million in Free Cash Flow*, with $1,248 million in Cash Flow from Operations and $713 million of Free Cash Flow* in fiscal 2026. We maintain a strong balance sheet backed by investment grade ratings. During fiscal 2026, DXC encountered various challenges, including macroeconomic uncertainty and geopolitical risks, affecting the markets where many of our customers operate. These challenges were reflected in our full year fiscal 2026 financial results, impacting our performance against the ambitious goals we set for ourselves in our compensation plan.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58</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6" w:name="page67"/>
    <w:bookmarkEnd w:id="66"/>
    <w:p>
      <w:pPr>
        <w:ind w:left="20"/>
        <w:spacing w:after="0"/>
        <w:tabs>
          <w:tab w:leader="none" w:pos="962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auto"/>
        </w:rPr>
        <w:t>Executive Compensation</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0E1020"/>
        </w:rPr>
        <w:t>In fiscal 2026, DXC delivered financial performance with a focus on establishing a sustainable financial foundation for the future and driving strong cash flow.</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0E1020"/>
        </w:rPr>
        <w:t>Fiscal 2026 financial outcomes that reflected our pay for performance model include: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20" w:type="dxa"/>
            <w:vAlign w:val="bottom"/>
            <w:shd w:val="clear" w:color="auto" w:fill="F6F3F0"/>
          </w:tcPr>
          <w:p>
            <w:pPr>
              <w:spacing w:after="0"/>
              <w:rPr>
                <w:sz w:val="23"/>
                <w:szCs w:val="23"/>
                <w:color w:val="auto"/>
              </w:rPr>
            </w:pPr>
          </w:p>
        </w:tc>
        <w:tc>
          <w:tcPr>
            <w:tcW w:w="2340" w:type="dxa"/>
            <w:vAlign w:val="bottom"/>
            <w:vMerge w:val="restart"/>
            <w:shd w:val="clear" w:color="auto" w:fill="F6F3F0"/>
          </w:tcPr>
          <w:p>
            <w:pPr>
              <w:ind w:left="20"/>
              <w:spacing w:after="0"/>
              <w:rPr>
                <w:sz w:val="20"/>
                <w:szCs w:val="20"/>
                <w:color w:val="auto"/>
              </w:rPr>
            </w:pPr>
            <w:r>
              <w:rPr>
                <w:rFonts w:ascii="Times New Roman" w:cs="Times New Roman" w:eastAsia="Times New Roman" w:hAnsi="Times New Roman"/>
                <w:sz w:val="32"/>
                <w:szCs w:val="32"/>
                <w:b w:val="1"/>
                <w:bCs w:val="1"/>
                <w:color w:val="0E1020"/>
              </w:rPr>
              <w:t>$12,644M</w:t>
            </w:r>
          </w:p>
        </w:tc>
        <w:tc>
          <w:tcPr>
            <w:tcW w:w="260" w:type="dxa"/>
            <w:vAlign w:val="bottom"/>
            <w:tcBorders>
              <w:right w:val="single" w:sz="8" w:color="F6F3F0"/>
            </w:tcBorders>
            <w:shd w:val="clear" w:color="auto" w:fill="F6F3F0"/>
          </w:tcPr>
          <w:p>
            <w:pPr>
              <w:spacing w:after="0"/>
              <w:rPr>
                <w:sz w:val="23"/>
                <w:szCs w:val="23"/>
                <w:color w:val="auto"/>
              </w:rPr>
            </w:pPr>
          </w:p>
        </w:tc>
        <w:tc>
          <w:tcPr>
            <w:tcW w:w="2760" w:type="dxa"/>
            <w:vAlign w:val="bottom"/>
            <w:vMerge w:val="restart"/>
            <w:shd w:val="clear" w:color="auto" w:fill="F6F3F0"/>
          </w:tcPr>
          <w:p>
            <w:pPr>
              <w:ind w:left="240"/>
              <w:spacing w:after="0"/>
              <w:rPr>
                <w:sz w:val="20"/>
                <w:szCs w:val="20"/>
                <w:color w:val="auto"/>
              </w:rPr>
            </w:pPr>
            <w:r>
              <w:rPr>
                <w:rFonts w:ascii="Times New Roman" w:cs="Times New Roman" w:eastAsia="Times New Roman" w:hAnsi="Times New Roman"/>
                <w:sz w:val="32"/>
                <w:szCs w:val="32"/>
                <w:b w:val="1"/>
                <w:bCs w:val="1"/>
                <w:color w:val="0E1020"/>
              </w:rPr>
              <w:t>$28M</w:t>
            </w:r>
          </w:p>
        </w:tc>
        <w:tc>
          <w:tcPr>
            <w:tcW w:w="20" w:type="dxa"/>
            <w:vAlign w:val="bottom"/>
            <w:shd w:val="clear" w:color="auto" w:fill="F6F3F0"/>
          </w:tcPr>
          <w:p>
            <w:pPr>
              <w:spacing w:after="0"/>
              <w:rPr>
                <w:sz w:val="23"/>
                <w:szCs w:val="23"/>
                <w:color w:val="auto"/>
              </w:rPr>
            </w:pPr>
          </w:p>
        </w:tc>
        <w:tc>
          <w:tcPr>
            <w:tcW w:w="2820" w:type="dxa"/>
            <w:vAlign w:val="bottom"/>
            <w:vMerge w:val="restart"/>
            <w:shd w:val="clear" w:color="auto" w:fill="F6F3F0"/>
          </w:tcPr>
          <w:p>
            <w:pPr>
              <w:ind w:left="240"/>
              <w:spacing w:after="0"/>
              <w:rPr>
                <w:sz w:val="20"/>
                <w:szCs w:val="20"/>
                <w:color w:val="auto"/>
              </w:rPr>
            </w:pPr>
            <w:r>
              <w:rPr>
                <w:rFonts w:ascii="Times New Roman" w:cs="Times New Roman" w:eastAsia="Times New Roman" w:hAnsi="Times New Roman"/>
                <w:sz w:val="32"/>
                <w:szCs w:val="32"/>
                <w:b w:val="1"/>
                <w:bCs w:val="1"/>
                <w:color w:val="0E1020"/>
              </w:rPr>
              <w:t>$353M</w:t>
            </w:r>
          </w:p>
        </w:tc>
        <w:tc>
          <w:tcPr>
            <w:tcW w:w="20" w:type="dxa"/>
            <w:vAlign w:val="bottom"/>
            <w:shd w:val="clear" w:color="auto" w:fill="F6F3F0"/>
          </w:tcPr>
          <w:p>
            <w:pPr>
              <w:spacing w:after="0"/>
              <w:rPr>
                <w:sz w:val="23"/>
                <w:szCs w:val="23"/>
                <w:color w:val="auto"/>
              </w:rPr>
            </w:pPr>
          </w:p>
        </w:tc>
        <w:tc>
          <w:tcPr>
            <w:tcW w:w="2800" w:type="dxa"/>
            <w:vAlign w:val="bottom"/>
            <w:vMerge w:val="restart"/>
            <w:shd w:val="clear" w:color="auto" w:fill="F6F3F0"/>
          </w:tcPr>
          <w:p>
            <w:pPr>
              <w:ind w:left="240"/>
              <w:spacing w:after="0"/>
              <w:rPr>
                <w:sz w:val="20"/>
                <w:szCs w:val="20"/>
                <w:color w:val="auto"/>
              </w:rPr>
            </w:pPr>
            <w:r>
              <w:rPr>
                <w:rFonts w:ascii="Times New Roman" w:cs="Times New Roman" w:eastAsia="Times New Roman" w:hAnsi="Times New Roman"/>
                <w:sz w:val="32"/>
                <w:szCs w:val="32"/>
                <w:b w:val="1"/>
                <w:bCs w:val="1"/>
                <w:color w:val="0E1020"/>
              </w:rPr>
              <w:t>$1,248M</w:t>
            </w:r>
          </w:p>
        </w:tc>
        <w:tc>
          <w:tcPr>
            <w:tcW w:w="0" w:type="dxa"/>
            <w:vAlign w:val="bottom"/>
          </w:tcPr>
          <w:p>
            <w:pPr>
              <w:spacing w:after="0"/>
              <w:rPr>
                <w:sz w:val="1"/>
                <w:szCs w:val="1"/>
                <w:color w:val="auto"/>
              </w:rPr>
            </w:pPr>
          </w:p>
        </w:tc>
      </w:tr>
      <w:tr>
        <w:trPr>
          <w:trHeight w:val="401"/>
        </w:trPr>
        <w:tc>
          <w:tcPr>
            <w:tcW w:w="220" w:type="dxa"/>
            <w:vAlign w:val="bottom"/>
            <w:shd w:val="clear" w:color="auto" w:fill="F6F3F0"/>
          </w:tcPr>
          <w:p>
            <w:pPr>
              <w:spacing w:after="0"/>
              <w:rPr>
                <w:sz w:val="24"/>
                <w:szCs w:val="24"/>
                <w:color w:val="auto"/>
              </w:rPr>
            </w:pPr>
          </w:p>
        </w:tc>
        <w:tc>
          <w:tcPr>
            <w:tcW w:w="2340" w:type="dxa"/>
            <w:vAlign w:val="bottom"/>
            <w:vMerge w:val="continue"/>
            <w:shd w:val="clear" w:color="auto" w:fill="F6F3F0"/>
          </w:tcPr>
          <w:p>
            <w:pPr>
              <w:spacing w:after="0"/>
              <w:rPr>
                <w:sz w:val="24"/>
                <w:szCs w:val="24"/>
                <w:color w:val="auto"/>
              </w:rPr>
            </w:pPr>
          </w:p>
        </w:tc>
        <w:tc>
          <w:tcPr>
            <w:tcW w:w="260" w:type="dxa"/>
            <w:vAlign w:val="bottom"/>
            <w:tcBorders>
              <w:right w:val="single" w:sz="8" w:color="CFCFD2"/>
            </w:tcBorders>
            <w:shd w:val="clear" w:color="auto" w:fill="F6F3F0"/>
          </w:tcPr>
          <w:p>
            <w:pPr>
              <w:spacing w:after="0"/>
              <w:rPr>
                <w:sz w:val="24"/>
                <w:szCs w:val="24"/>
                <w:color w:val="auto"/>
              </w:rPr>
            </w:pPr>
          </w:p>
        </w:tc>
        <w:tc>
          <w:tcPr>
            <w:tcW w:w="2760" w:type="dxa"/>
            <w:vAlign w:val="bottom"/>
            <w:vMerge w:val="continue"/>
            <w:shd w:val="clear" w:color="auto" w:fill="F6F3F0"/>
          </w:tcPr>
          <w:p>
            <w:pPr>
              <w:spacing w:after="0"/>
              <w:rPr>
                <w:sz w:val="24"/>
                <w:szCs w:val="24"/>
                <w:color w:val="auto"/>
              </w:rPr>
            </w:pPr>
          </w:p>
        </w:tc>
        <w:tc>
          <w:tcPr>
            <w:tcW w:w="20" w:type="dxa"/>
            <w:vAlign w:val="bottom"/>
            <w:shd w:val="clear" w:color="auto" w:fill="CFCFD2"/>
          </w:tcPr>
          <w:p>
            <w:pPr>
              <w:spacing w:after="0"/>
              <w:rPr>
                <w:sz w:val="24"/>
                <w:szCs w:val="24"/>
                <w:color w:val="auto"/>
              </w:rPr>
            </w:pPr>
          </w:p>
        </w:tc>
        <w:tc>
          <w:tcPr>
            <w:tcW w:w="2820" w:type="dxa"/>
            <w:vAlign w:val="bottom"/>
            <w:vMerge w:val="continue"/>
            <w:shd w:val="clear" w:color="auto" w:fill="F6F3F0"/>
          </w:tcPr>
          <w:p>
            <w:pPr>
              <w:spacing w:after="0"/>
              <w:rPr>
                <w:sz w:val="24"/>
                <w:szCs w:val="24"/>
                <w:color w:val="auto"/>
              </w:rPr>
            </w:pPr>
          </w:p>
        </w:tc>
        <w:tc>
          <w:tcPr>
            <w:tcW w:w="20" w:type="dxa"/>
            <w:vAlign w:val="bottom"/>
            <w:shd w:val="clear" w:color="auto" w:fill="CFCFD2"/>
          </w:tcPr>
          <w:p>
            <w:pPr>
              <w:spacing w:after="0"/>
              <w:rPr>
                <w:sz w:val="24"/>
                <w:szCs w:val="24"/>
                <w:color w:val="auto"/>
              </w:rPr>
            </w:pPr>
          </w:p>
        </w:tc>
        <w:tc>
          <w:tcPr>
            <w:tcW w:w="2800" w:type="dxa"/>
            <w:vAlign w:val="bottom"/>
            <w:vMerge w:val="continue"/>
            <w:shd w:val="clear" w:color="auto" w:fill="F6F3F0"/>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20" w:type="dxa"/>
            <w:vAlign w:val="bottom"/>
            <w:shd w:val="clear" w:color="auto" w:fill="F6F3F0"/>
          </w:tcPr>
          <w:p>
            <w:pPr>
              <w:spacing w:after="0"/>
              <w:rPr>
                <w:sz w:val="19"/>
                <w:szCs w:val="19"/>
                <w:color w:val="auto"/>
              </w:rPr>
            </w:pPr>
          </w:p>
        </w:tc>
        <w:tc>
          <w:tcPr>
            <w:tcW w:w="2340" w:type="dxa"/>
            <w:vAlign w:val="bottom"/>
            <w:shd w:val="clear" w:color="auto" w:fill="F6F3F0"/>
          </w:tcPr>
          <w:p>
            <w:pPr>
              <w:ind w:left="20"/>
              <w:spacing w:after="0"/>
              <w:rPr>
                <w:sz w:val="20"/>
                <w:szCs w:val="20"/>
                <w:color w:val="auto"/>
              </w:rPr>
            </w:pPr>
            <w:r>
              <w:rPr>
                <w:rFonts w:ascii="Arial" w:cs="Arial" w:eastAsia="Arial" w:hAnsi="Arial"/>
                <w:sz w:val="16"/>
                <w:szCs w:val="16"/>
                <w:b w:val="1"/>
                <w:bCs w:val="1"/>
                <w:color w:val="004AAC"/>
              </w:rPr>
              <w:t>Revenue</w:t>
            </w:r>
          </w:p>
        </w:tc>
        <w:tc>
          <w:tcPr>
            <w:tcW w:w="260" w:type="dxa"/>
            <w:vAlign w:val="bottom"/>
            <w:tcBorders>
              <w:right w:val="single" w:sz="8" w:color="CFCFD2"/>
            </w:tcBorders>
            <w:shd w:val="clear" w:color="auto" w:fill="F6F3F0"/>
          </w:tcPr>
          <w:p>
            <w:pPr>
              <w:spacing w:after="0"/>
              <w:rPr>
                <w:sz w:val="19"/>
                <w:szCs w:val="19"/>
                <w:color w:val="auto"/>
              </w:rPr>
            </w:pPr>
          </w:p>
        </w:tc>
        <w:tc>
          <w:tcPr>
            <w:tcW w:w="2760" w:type="dxa"/>
            <w:vAlign w:val="bottom"/>
            <w:shd w:val="clear" w:color="auto" w:fill="F6F3F0"/>
          </w:tcPr>
          <w:p>
            <w:pPr>
              <w:ind w:left="240"/>
              <w:spacing w:after="0"/>
              <w:rPr>
                <w:sz w:val="20"/>
                <w:szCs w:val="20"/>
                <w:color w:val="auto"/>
              </w:rPr>
            </w:pPr>
            <w:r>
              <w:rPr>
                <w:rFonts w:ascii="Arial" w:cs="Arial" w:eastAsia="Arial" w:hAnsi="Arial"/>
                <w:sz w:val="16"/>
                <w:szCs w:val="16"/>
                <w:b w:val="1"/>
                <w:bCs w:val="1"/>
                <w:color w:val="004AAC"/>
              </w:rPr>
              <w:t>Net income</w:t>
            </w:r>
          </w:p>
        </w:tc>
        <w:tc>
          <w:tcPr>
            <w:tcW w:w="20" w:type="dxa"/>
            <w:vAlign w:val="bottom"/>
            <w:shd w:val="clear" w:color="auto" w:fill="CFCFD2"/>
          </w:tcPr>
          <w:p>
            <w:pPr>
              <w:spacing w:after="0"/>
              <w:rPr>
                <w:sz w:val="19"/>
                <w:szCs w:val="19"/>
                <w:color w:val="auto"/>
              </w:rPr>
            </w:pPr>
          </w:p>
        </w:tc>
        <w:tc>
          <w:tcPr>
            <w:tcW w:w="2820" w:type="dxa"/>
            <w:vAlign w:val="bottom"/>
            <w:shd w:val="clear" w:color="auto" w:fill="F6F3F0"/>
          </w:tcPr>
          <w:p>
            <w:pPr>
              <w:ind w:left="240"/>
              <w:spacing w:after="0"/>
              <w:rPr>
                <w:sz w:val="20"/>
                <w:szCs w:val="20"/>
                <w:color w:val="auto"/>
              </w:rPr>
            </w:pPr>
            <w:r>
              <w:rPr>
                <w:rFonts w:ascii="Arial" w:cs="Arial" w:eastAsia="Arial" w:hAnsi="Arial"/>
                <w:sz w:val="16"/>
                <w:szCs w:val="16"/>
                <w:b w:val="1"/>
                <w:bCs w:val="1"/>
                <w:color w:val="004AAC"/>
              </w:rPr>
              <w:t>EBIT*</w:t>
            </w:r>
          </w:p>
        </w:tc>
        <w:tc>
          <w:tcPr>
            <w:tcW w:w="20" w:type="dxa"/>
            <w:vAlign w:val="bottom"/>
            <w:shd w:val="clear" w:color="auto" w:fill="CFCFD2"/>
          </w:tcPr>
          <w:p>
            <w:pPr>
              <w:spacing w:after="0"/>
              <w:rPr>
                <w:sz w:val="19"/>
                <w:szCs w:val="19"/>
                <w:color w:val="auto"/>
              </w:rPr>
            </w:pPr>
          </w:p>
        </w:tc>
        <w:tc>
          <w:tcPr>
            <w:tcW w:w="2800" w:type="dxa"/>
            <w:vAlign w:val="bottom"/>
            <w:shd w:val="clear" w:color="auto" w:fill="F6F3F0"/>
          </w:tcPr>
          <w:p>
            <w:pPr>
              <w:ind w:left="240"/>
              <w:spacing w:after="0"/>
              <w:rPr>
                <w:sz w:val="20"/>
                <w:szCs w:val="20"/>
                <w:color w:val="auto"/>
              </w:rPr>
            </w:pPr>
            <w:r>
              <w:rPr>
                <w:rFonts w:ascii="Arial" w:cs="Arial" w:eastAsia="Arial" w:hAnsi="Arial"/>
                <w:sz w:val="16"/>
                <w:szCs w:val="16"/>
                <w:b w:val="1"/>
                <w:bCs w:val="1"/>
                <w:color w:val="004AAC"/>
              </w:rPr>
              <w:t>Cash Flow</w:t>
            </w:r>
          </w:p>
        </w:tc>
        <w:tc>
          <w:tcPr>
            <w:tcW w:w="0" w:type="dxa"/>
            <w:vAlign w:val="bottom"/>
          </w:tcPr>
          <w:p>
            <w:pPr>
              <w:spacing w:after="0"/>
              <w:rPr>
                <w:sz w:val="1"/>
                <w:szCs w:val="1"/>
                <w:color w:val="auto"/>
              </w:rPr>
            </w:pPr>
          </w:p>
        </w:tc>
      </w:tr>
      <w:tr>
        <w:trPr>
          <w:trHeight w:val="268"/>
        </w:trPr>
        <w:tc>
          <w:tcPr>
            <w:tcW w:w="220" w:type="dxa"/>
            <w:vAlign w:val="bottom"/>
            <w:shd w:val="clear" w:color="auto" w:fill="F6F3F0"/>
          </w:tcPr>
          <w:p>
            <w:pPr>
              <w:spacing w:after="0"/>
              <w:rPr>
                <w:sz w:val="23"/>
                <w:szCs w:val="23"/>
                <w:color w:val="auto"/>
              </w:rPr>
            </w:pPr>
          </w:p>
        </w:tc>
        <w:tc>
          <w:tcPr>
            <w:tcW w:w="2340" w:type="dxa"/>
            <w:vAlign w:val="bottom"/>
            <w:shd w:val="clear" w:color="auto" w:fill="F6F3F0"/>
          </w:tcPr>
          <w:p>
            <w:pPr>
              <w:ind w:left="20"/>
              <w:spacing w:after="0"/>
              <w:rPr>
                <w:sz w:val="20"/>
                <w:szCs w:val="20"/>
                <w:color w:val="auto"/>
              </w:rPr>
            </w:pPr>
            <w:r>
              <w:rPr>
                <w:rFonts w:ascii="Arial" w:cs="Arial" w:eastAsia="Arial" w:hAnsi="Arial"/>
                <w:sz w:val="14"/>
                <w:szCs w:val="14"/>
                <w:color w:val="0E1020"/>
              </w:rPr>
              <w:t>Revenue of $12,644 million,</w:t>
            </w:r>
          </w:p>
        </w:tc>
        <w:tc>
          <w:tcPr>
            <w:tcW w:w="260" w:type="dxa"/>
            <w:vAlign w:val="bottom"/>
            <w:tcBorders>
              <w:right w:val="single" w:sz="8" w:color="CFCFD2"/>
            </w:tcBorders>
            <w:shd w:val="clear" w:color="auto" w:fill="F6F3F0"/>
          </w:tcPr>
          <w:p>
            <w:pPr>
              <w:spacing w:after="0"/>
              <w:rPr>
                <w:sz w:val="23"/>
                <w:szCs w:val="23"/>
                <w:color w:val="auto"/>
              </w:rPr>
            </w:pPr>
          </w:p>
        </w:tc>
        <w:tc>
          <w:tcPr>
            <w:tcW w:w="2760" w:type="dxa"/>
            <w:vAlign w:val="bottom"/>
            <w:shd w:val="clear" w:color="auto" w:fill="F6F3F0"/>
          </w:tcPr>
          <w:p>
            <w:pPr>
              <w:ind w:left="240"/>
              <w:spacing w:after="0"/>
              <w:rPr>
                <w:sz w:val="20"/>
                <w:szCs w:val="20"/>
                <w:color w:val="auto"/>
              </w:rPr>
            </w:pPr>
            <w:r>
              <w:rPr>
                <w:rFonts w:ascii="Arial" w:cs="Arial" w:eastAsia="Arial" w:hAnsi="Arial"/>
                <w:sz w:val="14"/>
                <w:szCs w:val="14"/>
                <w:color w:val="0E1020"/>
              </w:rPr>
              <w:t>Net income of $28 million and net</w:t>
            </w:r>
          </w:p>
        </w:tc>
        <w:tc>
          <w:tcPr>
            <w:tcW w:w="20" w:type="dxa"/>
            <w:vAlign w:val="bottom"/>
            <w:shd w:val="clear" w:color="auto" w:fill="CFCFD2"/>
          </w:tcPr>
          <w:p>
            <w:pPr>
              <w:spacing w:after="0"/>
              <w:rPr>
                <w:sz w:val="23"/>
                <w:szCs w:val="23"/>
                <w:color w:val="auto"/>
              </w:rPr>
            </w:pPr>
          </w:p>
        </w:tc>
        <w:tc>
          <w:tcPr>
            <w:tcW w:w="2820" w:type="dxa"/>
            <w:vAlign w:val="bottom"/>
            <w:shd w:val="clear" w:color="auto" w:fill="F6F3F0"/>
          </w:tcPr>
          <w:p>
            <w:pPr>
              <w:ind w:left="240"/>
              <w:spacing w:after="0"/>
              <w:rPr>
                <w:sz w:val="20"/>
                <w:szCs w:val="20"/>
                <w:color w:val="auto"/>
              </w:rPr>
            </w:pPr>
            <w:r>
              <w:rPr>
                <w:rFonts w:ascii="Arial" w:cs="Arial" w:eastAsia="Arial" w:hAnsi="Arial"/>
                <w:sz w:val="14"/>
                <w:szCs w:val="14"/>
                <w:color w:val="0E1020"/>
              </w:rPr>
              <w:t>EBIT of $353 million, adjusted EBIT*</w:t>
            </w:r>
          </w:p>
        </w:tc>
        <w:tc>
          <w:tcPr>
            <w:tcW w:w="20" w:type="dxa"/>
            <w:vAlign w:val="bottom"/>
            <w:shd w:val="clear" w:color="auto" w:fill="CFCFD2"/>
          </w:tcPr>
          <w:p>
            <w:pPr>
              <w:spacing w:after="0"/>
              <w:rPr>
                <w:sz w:val="23"/>
                <w:szCs w:val="23"/>
                <w:color w:val="auto"/>
              </w:rPr>
            </w:pPr>
          </w:p>
        </w:tc>
        <w:tc>
          <w:tcPr>
            <w:tcW w:w="2800" w:type="dxa"/>
            <w:vAlign w:val="bottom"/>
            <w:shd w:val="clear" w:color="auto" w:fill="F6F3F0"/>
          </w:tcPr>
          <w:p>
            <w:pPr>
              <w:ind w:left="240"/>
              <w:spacing w:after="0"/>
              <w:rPr>
                <w:sz w:val="20"/>
                <w:szCs w:val="20"/>
                <w:color w:val="auto"/>
              </w:rPr>
            </w:pPr>
            <w:r>
              <w:rPr>
                <w:rFonts w:ascii="Arial" w:cs="Arial" w:eastAsia="Arial" w:hAnsi="Arial"/>
                <w:sz w:val="14"/>
                <w:szCs w:val="14"/>
                <w:color w:val="0E1020"/>
              </w:rPr>
              <w:t>Cash Flow from Operations of</w:t>
            </w:r>
          </w:p>
        </w:tc>
        <w:tc>
          <w:tcPr>
            <w:tcW w:w="0" w:type="dxa"/>
            <w:vAlign w:val="bottom"/>
          </w:tcPr>
          <w:p>
            <w:pPr>
              <w:spacing w:after="0"/>
              <w:rPr>
                <w:sz w:val="1"/>
                <w:szCs w:val="1"/>
                <w:color w:val="auto"/>
              </w:rPr>
            </w:pPr>
          </w:p>
        </w:tc>
      </w:tr>
      <w:tr>
        <w:trPr>
          <w:trHeight w:val="201"/>
        </w:trPr>
        <w:tc>
          <w:tcPr>
            <w:tcW w:w="220" w:type="dxa"/>
            <w:vAlign w:val="bottom"/>
            <w:shd w:val="clear" w:color="auto" w:fill="F6F3F0"/>
          </w:tcPr>
          <w:p>
            <w:pPr>
              <w:spacing w:after="0"/>
              <w:rPr>
                <w:sz w:val="17"/>
                <w:szCs w:val="17"/>
                <w:color w:val="auto"/>
              </w:rPr>
            </w:pPr>
          </w:p>
        </w:tc>
        <w:tc>
          <w:tcPr>
            <w:tcW w:w="2340" w:type="dxa"/>
            <w:vAlign w:val="bottom"/>
            <w:shd w:val="clear" w:color="auto" w:fill="F6F3F0"/>
          </w:tcPr>
          <w:p>
            <w:pPr>
              <w:ind w:left="20"/>
              <w:spacing w:after="0"/>
              <w:rPr>
                <w:sz w:val="20"/>
                <w:szCs w:val="20"/>
                <w:color w:val="auto"/>
              </w:rPr>
            </w:pPr>
            <w:r>
              <w:rPr>
                <w:rFonts w:ascii="Arial" w:cs="Arial" w:eastAsia="Arial" w:hAnsi="Arial"/>
                <w:sz w:val="14"/>
                <w:szCs w:val="14"/>
                <w:color w:val="0E1020"/>
              </w:rPr>
              <w:t>Revenue Growth of -1.8% and</w:t>
            </w:r>
          </w:p>
        </w:tc>
        <w:tc>
          <w:tcPr>
            <w:tcW w:w="260" w:type="dxa"/>
            <w:vAlign w:val="bottom"/>
            <w:tcBorders>
              <w:right w:val="single" w:sz="8" w:color="CFCFD2"/>
            </w:tcBorders>
            <w:shd w:val="clear" w:color="auto" w:fill="F6F3F0"/>
          </w:tcPr>
          <w:p>
            <w:pPr>
              <w:spacing w:after="0"/>
              <w:rPr>
                <w:sz w:val="17"/>
                <w:szCs w:val="17"/>
                <w:color w:val="auto"/>
              </w:rPr>
            </w:pPr>
          </w:p>
        </w:tc>
        <w:tc>
          <w:tcPr>
            <w:tcW w:w="2760" w:type="dxa"/>
            <w:vAlign w:val="bottom"/>
            <w:shd w:val="clear" w:color="auto" w:fill="F6F3F0"/>
          </w:tcPr>
          <w:p>
            <w:pPr>
              <w:ind w:left="240"/>
              <w:spacing w:after="0"/>
              <w:rPr>
                <w:sz w:val="20"/>
                <w:szCs w:val="20"/>
                <w:color w:val="auto"/>
              </w:rPr>
            </w:pPr>
            <w:r>
              <w:rPr>
                <w:rFonts w:ascii="Arial" w:cs="Arial" w:eastAsia="Arial" w:hAnsi="Arial"/>
                <w:sz w:val="14"/>
                <w:szCs w:val="14"/>
                <w:color w:val="0E1020"/>
              </w:rPr>
              <w:t>income margin of 0.2%</w:t>
            </w:r>
          </w:p>
        </w:tc>
        <w:tc>
          <w:tcPr>
            <w:tcW w:w="20" w:type="dxa"/>
            <w:vAlign w:val="bottom"/>
            <w:shd w:val="clear" w:color="auto" w:fill="CFCFD2"/>
          </w:tcPr>
          <w:p>
            <w:pPr>
              <w:spacing w:after="0"/>
              <w:rPr>
                <w:sz w:val="17"/>
                <w:szCs w:val="17"/>
                <w:color w:val="auto"/>
              </w:rPr>
            </w:pPr>
          </w:p>
        </w:tc>
        <w:tc>
          <w:tcPr>
            <w:tcW w:w="2820" w:type="dxa"/>
            <w:vAlign w:val="bottom"/>
            <w:shd w:val="clear" w:color="auto" w:fill="F6F3F0"/>
          </w:tcPr>
          <w:p>
            <w:pPr>
              <w:ind w:left="240"/>
              <w:spacing w:after="0"/>
              <w:rPr>
                <w:sz w:val="20"/>
                <w:szCs w:val="20"/>
                <w:color w:val="auto"/>
              </w:rPr>
            </w:pPr>
            <w:r>
              <w:rPr>
                <w:rFonts w:ascii="Arial" w:cs="Arial" w:eastAsia="Arial" w:hAnsi="Arial"/>
                <w:sz w:val="14"/>
                <w:szCs w:val="14"/>
                <w:color w:val="0E1020"/>
              </w:rPr>
              <w:t>of $970 million and adjusted</w:t>
            </w:r>
          </w:p>
        </w:tc>
        <w:tc>
          <w:tcPr>
            <w:tcW w:w="20" w:type="dxa"/>
            <w:vAlign w:val="bottom"/>
            <w:shd w:val="clear" w:color="auto" w:fill="CFCFD2"/>
          </w:tcPr>
          <w:p>
            <w:pPr>
              <w:spacing w:after="0"/>
              <w:rPr>
                <w:sz w:val="17"/>
                <w:szCs w:val="17"/>
                <w:color w:val="auto"/>
              </w:rPr>
            </w:pPr>
          </w:p>
        </w:tc>
        <w:tc>
          <w:tcPr>
            <w:tcW w:w="2800" w:type="dxa"/>
            <w:vAlign w:val="bottom"/>
            <w:shd w:val="clear" w:color="auto" w:fill="F6F3F0"/>
          </w:tcPr>
          <w:p>
            <w:pPr>
              <w:ind w:left="240"/>
              <w:spacing w:after="0"/>
              <w:rPr>
                <w:sz w:val="20"/>
                <w:szCs w:val="20"/>
                <w:color w:val="auto"/>
              </w:rPr>
            </w:pPr>
            <w:r>
              <w:rPr>
                <w:rFonts w:ascii="Arial" w:cs="Arial" w:eastAsia="Arial" w:hAnsi="Arial"/>
                <w:sz w:val="14"/>
                <w:szCs w:val="14"/>
                <w:color w:val="0E1020"/>
              </w:rPr>
              <w:t>$1,248 million and Free Cash Flow*</w:t>
            </w:r>
          </w:p>
        </w:tc>
        <w:tc>
          <w:tcPr>
            <w:tcW w:w="0" w:type="dxa"/>
            <w:vAlign w:val="bottom"/>
          </w:tcPr>
          <w:p>
            <w:pPr>
              <w:spacing w:after="0"/>
              <w:rPr>
                <w:sz w:val="1"/>
                <w:szCs w:val="1"/>
                <w:color w:val="auto"/>
              </w:rPr>
            </w:pPr>
          </w:p>
        </w:tc>
      </w:tr>
      <w:tr>
        <w:trPr>
          <w:trHeight w:val="216"/>
        </w:trPr>
        <w:tc>
          <w:tcPr>
            <w:tcW w:w="220" w:type="dxa"/>
            <w:vAlign w:val="bottom"/>
            <w:tcBorders>
              <w:bottom w:val="single" w:sz="8" w:color="F6F3F0"/>
            </w:tcBorders>
            <w:shd w:val="clear" w:color="auto" w:fill="F6F3F0"/>
          </w:tcPr>
          <w:p>
            <w:pPr>
              <w:spacing w:after="0"/>
              <w:rPr>
                <w:sz w:val="18"/>
                <w:szCs w:val="18"/>
                <w:color w:val="auto"/>
              </w:rPr>
            </w:pPr>
          </w:p>
        </w:tc>
        <w:tc>
          <w:tcPr>
            <w:tcW w:w="2340" w:type="dxa"/>
            <w:vAlign w:val="bottom"/>
            <w:tcBorders>
              <w:bottom w:val="single" w:sz="8" w:color="F6F3F0"/>
            </w:tcBorders>
            <w:shd w:val="clear" w:color="auto" w:fill="F6F3F0"/>
          </w:tcPr>
          <w:p>
            <w:pPr>
              <w:ind w:left="20"/>
              <w:spacing w:after="0"/>
              <w:rPr>
                <w:sz w:val="20"/>
                <w:szCs w:val="20"/>
                <w:color w:val="auto"/>
              </w:rPr>
            </w:pPr>
            <w:r>
              <w:rPr>
                <w:rFonts w:ascii="Arial" w:cs="Arial" w:eastAsia="Arial" w:hAnsi="Arial"/>
                <w:sz w:val="14"/>
                <w:szCs w:val="14"/>
                <w:color w:val="0E1020"/>
              </w:rPr>
              <w:t>Organic Revenue Growth* of -4.8%</w:t>
            </w:r>
          </w:p>
        </w:tc>
        <w:tc>
          <w:tcPr>
            <w:tcW w:w="260" w:type="dxa"/>
            <w:vAlign w:val="bottom"/>
            <w:tcBorders>
              <w:bottom w:val="single" w:sz="8" w:color="F6F3F0"/>
              <w:right w:val="single" w:sz="8" w:color="CFCFD2"/>
            </w:tcBorders>
            <w:shd w:val="clear" w:color="auto" w:fill="F6F3F0"/>
          </w:tcPr>
          <w:p>
            <w:pPr>
              <w:spacing w:after="0"/>
              <w:rPr>
                <w:sz w:val="18"/>
                <w:szCs w:val="18"/>
                <w:color w:val="auto"/>
              </w:rPr>
            </w:pPr>
          </w:p>
        </w:tc>
        <w:tc>
          <w:tcPr>
            <w:tcW w:w="2760" w:type="dxa"/>
            <w:vAlign w:val="bottom"/>
            <w:tcBorders>
              <w:bottom w:val="single" w:sz="8" w:color="F6F3F0"/>
            </w:tcBorders>
            <w:shd w:val="clear" w:color="auto" w:fill="F6F3F0"/>
          </w:tcPr>
          <w:p>
            <w:pPr>
              <w:spacing w:after="0"/>
              <w:rPr>
                <w:sz w:val="18"/>
                <w:szCs w:val="18"/>
                <w:color w:val="auto"/>
              </w:rPr>
            </w:pPr>
          </w:p>
        </w:tc>
        <w:tc>
          <w:tcPr>
            <w:tcW w:w="20" w:type="dxa"/>
            <w:vAlign w:val="bottom"/>
            <w:tcBorders>
              <w:bottom w:val="single" w:sz="8" w:color="CFCFD2"/>
            </w:tcBorders>
            <w:shd w:val="clear" w:color="auto" w:fill="CFCFD2"/>
          </w:tcPr>
          <w:p>
            <w:pPr>
              <w:spacing w:after="0"/>
              <w:rPr>
                <w:sz w:val="18"/>
                <w:szCs w:val="18"/>
                <w:color w:val="auto"/>
              </w:rPr>
            </w:pPr>
          </w:p>
        </w:tc>
        <w:tc>
          <w:tcPr>
            <w:tcW w:w="2820" w:type="dxa"/>
            <w:vAlign w:val="bottom"/>
            <w:tcBorders>
              <w:bottom w:val="single" w:sz="8" w:color="F6F3F0"/>
            </w:tcBorders>
            <w:shd w:val="clear" w:color="auto" w:fill="F6F3F0"/>
          </w:tcPr>
          <w:p>
            <w:pPr>
              <w:ind w:left="240"/>
              <w:spacing w:after="0"/>
              <w:rPr>
                <w:sz w:val="20"/>
                <w:szCs w:val="20"/>
                <w:color w:val="auto"/>
              </w:rPr>
            </w:pPr>
            <w:r>
              <w:rPr>
                <w:rFonts w:ascii="Arial" w:cs="Arial" w:eastAsia="Arial" w:hAnsi="Arial"/>
                <w:sz w:val="14"/>
                <w:szCs w:val="14"/>
                <w:color w:val="0E1020"/>
              </w:rPr>
              <w:t>EBIT* Margin of 7.7%</w:t>
            </w:r>
          </w:p>
        </w:tc>
        <w:tc>
          <w:tcPr>
            <w:tcW w:w="20" w:type="dxa"/>
            <w:vAlign w:val="bottom"/>
            <w:tcBorders>
              <w:bottom w:val="single" w:sz="8" w:color="CFCFD2"/>
            </w:tcBorders>
            <w:shd w:val="clear" w:color="auto" w:fill="CFCFD2"/>
          </w:tcPr>
          <w:p>
            <w:pPr>
              <w:spacing w:after="0"/>
              <w:rPr>
                <w:sz w:val="18"/>
                <w:szCs w:val="18"/>
                <w:color w:val="auto"/>
              </w:rPr>
            </w:pPr>
          </w:p>
        </w:tc>
        <w:tc>
          <w:tcPr>
            <w:tcW w:w="2800" w:type="dxa"/>
            <w:vAlign w:val="bottom"/>
            <w:tcBorders>
              <w:bottom w:val="single" w:sz="8" w:color="F6F3F0"/>
            </w:tcBorders>
            <w:shd w:val="clear" w:color="auto" w:fill="F6F3F0"/>
          </w:tcPr>
          <w:p>
            <w:pPr>
              <w:ind w:left="240"/>
              <w:spacing w:after="0"/>
              <w:rPr>
                <w:sz w:val="20"/>
                <w:szCs w:val="20"/>
                <w:color w:val="auto"/>
              </w:rPr>
            </w:pPr>
            <w:r>
              <w:rPr>
                <w:rFonts w:ascii="Arial" w:cs="Arial" w:eastAsia="Arial" w:hAnsi="Arial"/>
                <w:sz w:val="14"/>
                <w:szCs w:val="14"/>
                <w:color w:val="0E1020"/>
              </w:rPr>
              <w:t>of $713 million</w:t>
            </w:r>
          </w:p>
        </w:tc>
        <w:tc>
          <w:tcPr>
            <w:tcW w:w="0" w:type="dxa"/>
            <w:vAlign w:val="bottom"/>
          </w:tcPr>
          <w:p>
            <w:pPr>
              <w:spacing w:after="0"/>
              <w:rPr>
                <w:sz w:val="1"/>
                <w:szCs w:val="1"/>
                <w:color w:val="auto"/>
              </w:rPr>
            </w:pPr>
          </w:p>
        </w:tc>
      </w:tr>
      <w:tr>
        <w:trPr>
          <w:trHeight w:val="268"/>
        </w:trPr>
        <w:tc>
          <w:tcPr>
            <w:tcW w:w="220" w:type="dxa"/>
            <w:vAlign w:val="bottom"/>
            <w:shd w:val="clear" w:color="auto" w:fill="F6F3F0"/>
          </w:tcPr>
          <w:p>
            <w:pPr>
              <w:spacing w:after="0"/>
              <w:rPr>
                <w:sz w:val="23"/>
                <w:szCs w:val="23"/>
                <w:color w:val="auto"/>
              </w:rPr>
            </w:pPr>
          </w:p>
        </w:tc>
        <w:tc>
          <w:tcPr>
            <w:tcW w:w="2340" w:type="dxa"/>
            <w:vAlign w:val="bottom"/>
            <w:shd w:val="clear" w:color="auto" w:fill="F6F3F0"/>
          </w:tcPr>
          <w:p>
            <w:pPr>
              <w:spacing w:after="0"/>
              <w:rPr>
                <w:sz w:val="23"/>
                <w:szCs w:val="23"/>
                <w:color w:val="auto"/>
              </w:rPr>
            </w:pPr>
          </w:p>
        </w:tc>
        <w:tc>
          <w:tcPr>
            <w:tcW w:w="260" w:type="dxa"/>
            <w:vAlign w:val="bottom"/>
            <w:tcBorders>
              <w:right w:val="single" w:sz="8" w:color="F6F3F0"/>
            </w:tcBorders>
            <w:shd w:val="clear" w:color="auto" w:fill="F6F3F0"/>
          </w:tcPr>
          <w:p>
            <w:pPr>
              <w:spacing w:after="0"/>
              <w:rPr>
                <w:sz w:val="23"/>
                <w:szCs w:val="23"/>
                <w:color w:val="auto"/>
              </w:rPr>
            </w:pPr>
          </w:p>
        </w:tc>
        <w:tc>
          <w:tcPr>
            <w:tcW w:w="2760" w:type="dxa"/>
            <w:vAlign w:val="bottom"/>
            <w:shd w:val="clear" w:color="auto" w:fill="F6F3F0"/>
          </w:tcPr>
          <w:p>
            <w:pPr>
              <w:spacing w:after="0"/>
              <w:rPr>
                <w:sz w:val="23"/>
                <w:szCs w:val="23"/>
                <w:color w:val="auto"/>
              </w:rPr>
            </w:pPr>
          </w:p>
        </w:tc>
        <w:tc>
          <w:tcPr>
            <w:tcW w:w="20" w:type="dxa"/>
            <w:vAlign w:val="bottom"/>
            <w:shd w:val="clear" w:color="auto" w:fill="F6F3F0"/>
          </w:tcPr>
          <w:p>
            <w:pPr>
              <w:spacing w:after="0"/>
              <w:rPr>
                <w:sz w:val="23"/>
                <w:szCs w:val="23"/>
                <w:color w:val="auto"/>
              </w:rPr>
            </w:pPr>
          </w:p>
        </w:tc>
        <w:tc>
          <w:tcPr>
            <w:tcW w:w="2820" w:type="dxa"/>
            <w:vAlign w:val="bottom"/>
            <w:shd w:val="clear" w:color="auto" w:fill="F6F3F0"/>
          </w:tcPr>
          <w:p>
            <w:pPr>
              <w:spacing w:after="0"/>
              <w:rPr>
                <w:sz w:val="23"/>
                <w:szCs w:val="23"/>
                <w:color w:val="auto"/>
              </w:rPr>
            </w:pPr>
          </w:p>
        </w:tc>
        <w:tc>
          <w:tcPr>
            <w:tcW w:w="20" w:type="dxa"/>
            <w:vAlign w:val="bottom"/>
            <w:shd w:val="clear" w:color="auto" w:fill="F6F3F0"/>
          </w:tcPr>
          <w:p>
            <w:pPr>
              <w:spacing w:after="0"/>
              <w:rPr>
                <w:sz w:val="23"/>
                <w:szCs w:val="23"/>
                <w:color w:val="auto"/>
              </w:rPr>
            </w:pPr>
          </w:p>
        </w:tc>
        <w:tc>
          <w:tcPr>
            <w:tcW w:w="2800" w:type="dxa"/>
            <w:vAlign w:val="bottom"/>
            <w:shd w:val="clear" w:color="auto" w:fill="F6F3F0"/>
          </w:tcPr>
          <w:p>
            <w:pPr>
              <w:spacing w:after="0"/>
              <w:rPr>
                <w:sz w:val="23"/>
                <w:szCs w:val="23"/>
                <w:color w:val="auto"/>
              </w:rPr>
            </w:pPr>
          </w:p>
        </w:tc>
        <w:tc>
          <w:tcPr>
            <w:tcW w:w="0" w:type="dxa"/>
            <w:vAlign w:val="bottom"/>
          </w:tcPr>
          <w:p>
            <w:pPr>
              <w:spacing w:after="0"/>
              <w:rPr>
                <w:sz w:val="1"/>
                <w:szCs w:val="1"/>
                <w:color w:val="auto"/>
              </w:rPr>
            </w:pPr>
          </w:p>
        </w:tc>
      </w:tr>
    </w:tbl>
    <w:p>
      <w:pPr>
        <w:spacing w:after="0" w:line="361" w:lineRule="exact"/>
        <w:rPr>
          <w:sz w:val="20"/>
          <w:szCs w:val="20"/>
          <w:color w:val="auto"/>
        </w:rPr>
      </w:pPr>
    </w:p>
    <w:p>
      <w:pPr>
        <w:ind w:right="400"/>
        <w:spacing w:after="0" w:line="318" w:lineRule="auto"/>
        <w:rPr>
          <w:sz w:val="20"/>
          <w:szCs w:val="20"/>
          <w:color w:val="auto"/>
        </w:rPr>
      </w:pPr>
      <w:r>
        <w:rPr>
          <w:rFonts w:ascii="Arial" w:cs="Arial" w:eastAsia="Arial" w:hAnsi="Arial"/>
          <w:sz w:val="16"/>
          <w:szCs w:val="16"/>
          <w:color w:val="0E1020"/>
        </w:rPr>
        <w:t>Despite the difficult operating environment, DXC continues to distinguish itself as a provider of critical and transformational services and solutions for our clients. We believe the current strategy will put DXC on a path of sustainable and profitable growth in the coming years.</w:t>
      </w:r>
    </w:p>
    <w:p>
      <w:pPr>
        <w:spacing w:after="0" w:line="53" w:lineRule="exact"/>
        <w:rPr>
          <w:sz w:val="20"/>
          <w:szCs w:val="20"/>
          <w:color w:val="auto"/>
        </w:rPr>
      </w:pPr>
    </w:p>
    <w:p>
      <w:pPr>
        <w:ind w:left="320" w:right="220" w:hanging="313"/>
        <w:spacing w:after="0" w:line="302" w:lineRule="auto"/>
        <w:tabs>
          <w:tab w:leader="none" w:pos="295" w:val="left"/>
        </w:tabs>
        <w:numPr>
          <w:ilvl w:val="0"/>
          <w:numId w:val="55"/>
        </w:numPr>
        <w:rPr>
          <w:rFonts w:ascii="Arial" w:cs="Arial" w:eastAsia="Arial" w:hAnsi="Arial"/>
          <w:sz w:val="14"/>
          <w:szCs w:val="14"/>
          <w:color w:val="0E1020"/>
        </w:rPr>
      </w:pPr>
      <w:r>
        <w:rPr>
          <w:rFonts w:ascii="Arial" w:cs="Arial" w:eastAsia="Arial" w:hAnsi="Arial"/>
          <w:sz w:val="14"/>
          <w:szCs w:val="14"/>
          <w:color w:val="0E1020"/>
        </w:rPr>
        <w:t>For a reconciliation of non-GAAP measures as set forth in this Proxy Statement to the most directly comparable GAAP measures, see “Appendix A - 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Fiscal 2026 Compensation Plan Decisions: Strong Emphasis on Performance</w:t>
      </w:r>
    </w:p>
    <w:p>
      <w:pPr>
        <w:sectPr>
          <w:pgSz w:w="11900" w:h="16838" w:orient="portrait"/>
          <w:cols w:equalWidth="0" w:num="1">
            <w:col w:w="11240"/>
          </w:cols>
          <w:pgMar w:left="320" w:top="224"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0E1020"/>
        </w:rPr>
        <w:t>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-301625</wp:posOffset>
            </wp:positionV>
            <wp:extent cx="1021715" cy="12344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021715" cy="1234440"/>
                    </a:xfrm>
                    <a:prstGeom prst="rect">
                      <a:avLst/>
                    </a:prstGeom>
                    <a:noFill/>
                  </pic:spPr>
                </pic:pic>
              </a:graphicData>
            </a:graphic>
          </wp:anchor>
        </w:drawing>
      </w:r>
    </w:p>
    <w:p>
      <w:pPr>
        <w:spacing w:after="0" w:line="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0E1020"/>
        </w:rPr>
        <w:t>TOTAL DIRECT</w:t>
      </w:r>
    </w:p>
    <w:p>
      <w:pPr>
        <w:spacing w:after="0" w:line="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0E1020"/>
        </w:rPr>
        <w:t>COMPENSATION:</w:t>
      </w:r>
    </w:p>
    <w:p>
      <w:pPr>
        <w:spacing w:after="0" w:line="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0E1020"/>
        </w:rPr>
        <w:t>MAJORITY</w:t>
      </w:r>
    </w:p>
    <w:p>
      <w:pPr>
        <w:spacing w:after="0" w:line="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0E1020"/>
        </w:rPr>
        <w:t>PERFORMANCE-</w:t>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0E1020"/>
        </w:rPr>
        <w:t>BASED</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316" w:right="200" w:hanging="316"/>
        <w:spacing w:after="0" w:line="316" w:lineRule="auto"/>
        <w:tabs>
          <w:tab w:leader="none" w:pos="278" w:val="left"/>
        </w:tabs>
        <w:numPr>
          <w:ilvl w:val="0"/>
          <w:numId w:val="56"/>
        </w:numPr>
        <w:rPr>
          <w:rFonts w:ascii="Arial" w:cs="Arial" w:eastAsia="Arial" w:hAnsi="Arial"/>
          <w:sz w:val="16"/>
          <w:szCs w:val="16"/>
          <w:color w:val="0E1020"/>
        </w:rPr>
      </w:pPr>
      <w:r>
        <w:rPr>
          <w:rFonts w:ascii="Arial" w:cs="Arial" w:eastAsia="Arial" w:hAnsi="Arial"/>
          <w:sz w:val="16"/>
          <w:szCs w:val="16"/>
          <w:color w:val="0E1020"/>
        </w:rPr>
        <w:t>Consistent with our compensation philosophy, which emphasizes performance-based and “at-risk” pay, the proportion of performance-based and at-risk compensation encourages a focus on the Company’s short-and long-term success to align with the long-term interests of our stockholders.</w:t>
      </w:r>
    </w:p>
    <w:p>
      <w:pPr>
        <w:spacing w:after="0" w:line="37" w:lineRule="exact"/>
        <w:rPr>
          <w:rFonts w:ascii="Arial" w:cs="Arial" w:eastAsia="Arial" w:hAnsi="Arial"/>
          <w:sz w:val="16"/>
          <w:szCs w:val="16"/>
          <w:color w:val="0E1020"/>
        </w:rPr>
      </w:pPr>
    </w:p>
    <w:p>
      <w:pPr>
        <w:ind w:left="316" w:right="840" w:hanging="316"/>
        <w:spacing w:after="0" w:line="335" w:lineRule="auto"/>
        <w:tabs>
          <w:tab w:leader="none" w:pos="278" w:val="left"/>
        </w:tabs>
        <w:numPr>
          <w:ilvl w:val="0"/>
          <w:numId w:val="56"/>
        </w:numPr>
        <w:rPr>
          <w:rFonts w:ascii="Arial" w:cs="Arial" w:eastAsia="Arial" w:hAnsi="Arial"/>
          <w:sz w:val="16"/>
          <w:szCs w:val="16"/>
          <w:color w:val="0E1020"/>
        </w:rPr>
      </w:pPr>
      <w:r>
        <w:rPr>
          <w:rFonts w:ascii="Arial" w:cs="Arial" w:eastAsia="Arial" w:hAnsi="Arial"/>
          <w:sz w:val="16"/>
          <w:szCs w:val="16"/>
          <w:color w:val="0E1020"/>
        </w:rPr>
        <w:t xml:space="preserve">Approximately </w:t>
      </w:r>
      <w:r>
        <w:rPr>
          <w:rFonts w:ascii="Arial" w:cs="Arial" w:eastAsia="Arial" w:hAnsi="Arial"/>
          <w:sz w:val="16"/>
          <w:szCs w:val="16"/>
          <w:b w:val="1"/>
          <w:bCs w:val="1"/>
          <w:color w:val="0E1020"/>
        </w:rPr>
        <w:t>93%</w:t>
      </w:r>
      <w:r>
        <w:rPr>
          <w:rFonts w:ascii="Arial" w:cs="Arial" w:eastAsia="Arial" w:hAnsi="Arial"/>
          <w:sz w:val="16"/>
          <w:szCs w:val="16"/>
          <w:color w:val="0E1020"/>
        </w:rPr>
        <w:t xml:space="preserve"> of the CEO’s target total compensation is variable and at-risk, with </w:t>
      </w:r>
      <w:r>
        <w:rPr>
          <w:rFonts w:ascii="Arial" w:cs="Arial" w:eastAsia="Arial" w:hAnsi="Arial"/>
          <w:sz w:val="16"/>
          <w:szCs w:val="16"/>
          <w:b w:val="1"/>
          <w:bCs w:val="1"/>
          <w:color w:val="0E1020"/>
        </w:rPr>
        <w:t>82%</w:t>
      </w:r>
      <w:r>
        <w:rPr>
          <w:rFonts w:ascii="Arial" w:cs="Arial" w:eastAsia="Arial" w:hAnsi="Arial"/>
          <w:sz w:val="16"/>
          <w:szCs w:val="16"/>
          <w:color w:val="0E1020"/>
        </w:rPr>
        <w:t xml:space="preserve"> being performance-based and subject to achievement of meaningful pre-set, objective goals.*</w:t>
      </w:r>
    </w:p>
    <w:p>
      <w:pPr>
        <w:spacing w:after="0" w:line="64" w:lineRule="exact"/>
        <w:rPr>
          <w:sz w:val="20"/>
          <w:szCs w:val="20"/>
          <w:color w:val="auto"/>
        </w:rPr>
      </w:pPr>
    </w:p>
    <w:tbl>
      <w:tblPr>
        <w:tblLayout w:type="fixed"/>
        <w:tblInd w:w="316" w:type="dxa"/>
        <w:tblCellMar>
          <w:top w:w="0" w:type="dxa"/>
          <w:left w:w="0" w:type="dxa"/>
          <w:bottom w:w="0" w:type="dxa"/>
          <w:right w:w="0" w:type="dxa"/>
        </w:tblCellMar>
      </w:tblPr>
      <w:tr>
        <w:trPr>
          <w:trHeight w:val="210"/>
        </w:trPr>
        <w:tc>
          <w:tcPr>
            <w:tcW w:w="1720" w:type="dxa"/>
            <w:vAlign w:val="bottom"/>
            <w:shd w:val="clear" w:color="auto" w:fill="F6F3F0"/>
          </w:tcPr>
          <w:p>
            <w:pPr>
              <w:spacing w:after="0"/>
              <w:rPr>
                <w:sz w:val="18"/>
                <w:szCs w:val="18"/>
                <w:color w:val="auto"/>
              </w:rPr>
            </w:pPr>
          </w:p>
        </w:tc>
        <w:tc>
          <w:tcPr>
            <w:tcW w:w="860" w:type="dxa"/>
            <w:vAlign w:val="bottom"/>
            <w:shd w:val="clear" w:color="auto" w:fill="F6F3F0"/>
          </w:tcPr>
          <w:p>
            <w:pPr>
              <w:spacing w:after="0"/>
              <w:rPr>
                <w:sz w:val="18"/>
                <w:szCs w:val="18"/>
                <w:color w:val="auto"/>
              </w:rPr>
            </w:pPr>
          </w:p>
        </w:tc>
        <w:tc>
          <w:tcPr>
            <w:tcW w:w="120" w:type="dxa"/>
            <w:vAlign w:val="bottom"/>
            <w:tcBorders>
              <w:right w:val="single" w:sz="8" w:color="F6F3F0"/>
            </w:tcBorders>
            <w:shd w:val="clear" w:color="auto" w:fill="F6F3F0"/>
          </w:tcPr>
          <w:p>
            <w:pPr>
              <w:spacing w:after="0"/>
              <w:rPr>
                <w:sz w:val="18"/>
                <w:szCs w:val="18"/>
                <w:color w:val="auto"/>
              </w:rPr>
            </w:pPr>
          </w:p>
        </w:tc>
        <w:tc>
          <w:tcPr>
            <w:tcW w:w="1060" w:type="dxa"/>
            <w:vAlign w:val="bottom"/>
            <w:shd w:val="clear" w:color="auto" w:fill="F6F3F0"/>
          </w:tcPr>
          <w:p>
            <w:pPr>
              <w:spacing w:after="0"/>
              <w:rPr>
                <w:sz w:val="18"/>
                <w:szCs w:val="18"/>
                <w:color w:val="auto"/>
              </w:rPr>
            </w:pPr>
          </w:p>
        </w:tc>
        <w:tc>
          <w:tcPr>
            <w:tcW w:w="1220" w:type="dxa"/>
            <w:vAlign w:val="bottom"/>
            <w:gridSpan w:val="2"/>
            <w:shd w:val="clear" w:color="auto" w:fill="F6F3F0"/>
          </w:tcPr>
          <w:p>
            <w:pPr>
              <w:jc w:val="right"/>
              <w:ind w:right="260"/>
              <w:spacing w:after="0"/>
              <w:rPr>
                <w:sz w:val="20"/>
                <w:szCs w:val="20"/>
                <w:color w:val="auto"/>
              </w:rPr>
            </w:pPr>
            <w:r>
              <w:rPr>
                <w:rFonts w:ascii="Arial" w:cs="Arial" w:eastAsia="Arial" w:hAnsi="Arial"/>
                <w:sz w:val="13"/>
                <w:szCs w:val="13"/>
                <w:b w:val="1"/>
                <w:bCs w:val="1"/>
                <w:color w:val="0E1020"/>
              </w:rPr>
              <w:t>Target</w:t>
            </w:r>
          </w:p>
        </w:tc>
        <w:tc>
          <w:tcPr>
            <w:tcW w:w="800" w:type="dxa"/>
            <w:vAlign w:val="bottom"/>
            <w:tcBorders>
              <w:right w:val="single" w:sz="8" w:color="F6F3F0"/>
            </w:tcBorders>
            <w:shd w:val="clear" w:color="auto" w:fill="F6F3F0"/>
          </w:tcPr>
          <w:p>
            <w:pPr>
              <w:jc w:val="right"/>
              <w:spacing w:after="0"/>
              <w:rPr>
                <w:sz w:val="20"/>
                <w:szCs w:val="20"/>
                <w:color w:val="auto"/>
              </w:rPr>
            </w:pPr>
            <w:r>
              <w:rPr>
                <w:rFonts w:ascii="Arial" w:cs="Arial" w:eastAsia="Arial" w:hAnsi="Arial"/>
                <w:sz w:val="13"/>
                <w:szCs w:val="13"/>
                <w:b w:val="1"/>
                <w:bCs w:val="1"/>
                <w:color w:val="0E1020"/>
                <w:w w:val="93"/>
              </w:rPr>
              <w:t>Target Long-</w:t>
            </w:r>
          </w:p>
        </w:tc>
        <w:tc>
          <w:tcPr>
            <w:tcW w:w="1120" w:type="dxa"/>
            <w:vAlign w:val="bottom"/>
            <w:shd w:val="clear" w:color="auto" w:fill="F6F3F0"/>
          </w:tcPr>
          <w:p>
            <w:pPr>
              <w:spacing w:after="0"/>
              <w:rPr>
                <w:sz w:val="18"/>
                <w:szCs w:val="18"/>
                <w:color w:val="auto"/>
              </w:rPr>
            </w:pPr>
          </w:p>
        </w:tc>
      </w:tr>
      <w:tr>
        <w:trPr>
          <w:trHeight w:val="147"/>
        </w:trPr>
        <w:tc>
          <w:tcPr>
            <w:tcW w:w="1720" w:type="dxa"/>
            <w:vAlign w:val="bottom"/>
            <w:shd w:val="clear" w:color="auto" w:fill="F6F3F0"/>
          </w:tcPr>
          <w:p>
            <w:pPr>
              <w:spacing w:after="0"/>
              <w:rPr>
                <w:sz w:val="12"/>
                <w:szCs w:val="12"/>
                <w:color w:val="auto"/>
              </w:rPr>
            </w:pPr>
          </w:p>
        </w:tc>
        <w:tc>
          <w:tcPr>
            <w:tcW w:w="860" w:type="dxa"/>
            <w:vAlign w:val="bottom"/>
            <w:shd w:val="clear" w:color="auto" w:fill="F6F3F0"/>
          </w:tcPr>
          <w:p>
            <w:pPr>
              <w:spacing w:after="0"/>
              <w:rPr>
                <w:sz w:val="12"/>
                <w:szCs w:val="12"/>
                <w:color w:val="auto"/>
              </w:rPr>
            </w:pPr>
          </w:p>
        </w:tc>
        <w:tc>
          <w:tcPr>
            <w:tcW w:w="120" w:type="dxa"/>
            <w:vAlign w:val="bottom"/>
            <w:tcBorders>
              <w:right w:val="single" w:sz="8" w:color="F6F3F0"/>
            </w:tcBorders>
            <w:shd w:val="clear" w:color="auto" w:fill="F6F3F0"/>
          </w:tcPr>
          <w:p>
            <w:pPr>
              <w:spacing w:after="0"/>
              <w:rPr>
                <w:sz w:val="12"/>
                <w:szCs w:val="12"/>
                <w:color w:val="auto"/>
              </w:rPr>
            </w:pPr>
          </w:p>
        </w:tc>
        <w:tc>
          <w:tcPr>
            <w:tcW w:w="1060" w:type="dxa"/>
            <w:vAlign w:val="bottom"/>
            <w:shd w:val="clear" w:color="auto" w:fill="F6F3F0"/>
          </w:tcPr>
          <w:p>
            <w:pPr>
              <w:spacing w:after="0"/>
              <w:rPr>
                <w:sz w:val="12"/>
                <w:szCs w:val="12"/>
                <w:color w:val="auto"/>
              </w:rPr>
            </w:pPr>
          </w:p>
        </w:tc>
        <w:tc>
          <w:tcPr>
            <w:tcW w:w="1220" w:type="dxa"/>
            <w:vAlign w:val="bottom"/>
            <w:gridSpan w:val="2"/>
            <w:shd w:val="clear" w:color="auto" w:fill="F6F3F0"/>
          </w:tcPr>
          <w:p>
            <w:pPr>
              <w:jc w:val="right"/>
              <w:ind w:right="260"/>
              <w:spacing w:after="0" w:line="148" w:lineRule="exact"/>
              <w:rPr>
                <w:sz w:val="20"/>
                <w:szCs w:val="20"/>
                <w:color w:val="auto"/>
              </w:rPr>
            </w:pPr>
            <w:r>
              <w:rPr>
                <w:rFonts w:ascii="Arial" w:cs="Arial" w:eastAsia="Arial" w:hAnsi="Arial"/>
                <w:sz w:val="13"/>
                <w:szCs w:val="13"/>
                <w:b w:val="1"/>
                <w:bCs w:val="1"/>
                <w:color w:val="0E1020"/>
              </w:rPr>
              <w:t>Long-Term</w:t>
            </w:r>
          </w:p>
        </w:tc>
        <w:tc>
          <w:tcPr>
            <w:tcW w:w="800" w:type="dxa"/>
            <w:vAlign w:val="bottom"/>
            <w:tcBorders>
              <w:right w:val="single" w:sz="8" w:color="F6F3F0"/>
            </w:tcBorders>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Term</w:t>
            </w:r>
          </w:p>
        </w:tc>
        <w:tc>
          <w:tcPr>
            <w:tcW w:w="1120" w:type="dxa"/>
            <w:vAlign w:val="bottom"/>
            <w:shd w:val="clear" w:color="auto" w:fill="F6F3F0"/>
          </w:tcPr>
          <w:p>
            <w:pPr>
              <w:spacing w:after="0"/>
              <w:rPr>
                <w:sz w:val="12"/>
                <w:szCs w:val="12"/>
                <w:color w:val="auto"/>
              </w:rPr>
            </w:pPr>
          </w:p>
        </w:tc>
      </w:tr>
      <w:tr>
        <w:trPr>
          <w:trHeight w:val="147"/>
        </w:trPr>
        <w:tc>
          <w:tcPr>
            <w:tcW w:w="1720" w:type="dxa"/>
            <w:vAlign w:val="bottom"/>
            <w:shd w:val="clear" w:color="auto" w:fill="F6F3F0"/>
          </w:tcPr>
          <w:p>
            <w:pPr>
              <w:spacing w:after="0"/>
              <w:rPr>
                <w:sz w:val="12"/>
                <w:szCs w:val="12"/>
                <w:color w:val="auto"/>
              </w:rPr>
            </w:pPr>
          </w:p>
        </w:tc>
        <w:tc>
          <w:tcPr>
            <w:tcW w:w="860" w:type="dxa"/>
            <w:vAlign w:val="bottom"/>
            <w:shd w:val="clear" w:color="auto" w:fill="F6F3F0"/>
          </w:tcPr>
          <w:p>
            <w:pPr>
              <w:spacing w:after="0"/>
              <w:rPr>
                <w:sz w:val="12"/>
                <w:szCs w:val="12"/>
                <w:color w:val="auto"/>
              </w:rPr>
            </w:pPr>
          </w:p>
        </w:tc>
        <w:tc>
          <w:tcPr>
            <w:tcW w:w="120" w:type="dxa"/>
            <w:vAlign w:val="bottom"/>
            <w:tcBorders>
              <w:right w:val="single" w:sz="8" w:color="F6F3F0"/>
            </w:tcBorders>
            <w:shd w:val="clear" w:color="auto" w:fill="F6F3F0"/>
          </w:tcPr>
          <w:p>
            <w:pPr>
              <w:spacing w:after="0"/>
              <w:rPr>
                <w:sz w:val="12"/>
                <w:szCs w:val="12"/>
                <w:color w:val="auto"/>
              </w:rPr>
            </w:pPr>
          </w:p>
        </w:tc>
        <w:tc>
          <w:tcPr>
            <w:tcW w:w="1060" w:type="dxa"/>
            <w:vAlign w:val="bottom"/>
            <w:shd w:val="clear" w:color="auto" w:fill="F6F3F0"/>
          </w:tcPr>
          <w:p>
            <w:pPr>
              <w:spacing w:after="0"/>
              <w:rPr>
                <w:sz w:val="12"/>
                <w:szCs w:val="12"/>
                <w:color w:val="auto"/>
              </w:rPr>
            </w:pPr>
          </w:p>
        </w:tc>
        <w:tc>
          <w:tcPr>
            <w:tcW w:w="1220" w:type="dxa"/>
            <w:vAlign w:val="bottom"/>
            <w:gridSpan w:val="2"/>
            <w:shd w:val="clear" w:color="auto" w:fill="F6F3F0"/>
          </w:tcPr>
          <w:p>
            <w:pPr>
              <w:jc w:val="right"/>
              <w:ind w:right="260"/>
              <w:spacing w:after="0" w:line="148" w:lineRule="exact"/>
              <w:rPr>
                <w:sz w:val="20"/>
                <w:szCs w:val="20"/>
                <w:color w:val="auto"/>
              </w:rPr>
            </w:pPr>
            <w:r>
              <w:rPr>
                <w:rFonts w:ascii="Arial" w:cs="Arial" w:eastAsia="Arial" w:hAnsi="Arial"/>
                <w:sz w:val="13"/>
                <w:szCs w:val="13"/>
                <w:b w:val="1"/>
                <w:bCs w:val="1"/>
                <w:color w:val="0E1020"/>
              </w:rPr>
              <w:t>Incentive:</w:t>
            </w:r>
          </w:p>
        </w:tc>
        <w:tc>
          <w:tcPr>
            <w:tcW w:w="800" w:type="dxa"/>
            <w:vAlign w:val="bottom"/>
            <w:tcBorders>
              <w:right w:val="single" w:sz="8" w:color="F6F3F0"/>
            </w:tcBorders>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Incentive:</w:t>
            </w:r>
          </w:p>
        </w:tc>
        <w:tc>
          <w:tcPr>
            <w:tcW w:w="1120" w:type="dxa"/>
            <w:vAlign w:val="bottom"/>
            <w:shd w:val="clear" w:color="auto" w:fill="F6F3F0"/>
          </w:tcPr>
          <w:p>
            <w:pPr>
              <w:spacing w:after="0"/>
              <w:rPr>
                <w:sz w:val="12"/>
                <w:szCs w:val="12"/>
                <w:color w:val="auto"/>
              </w:rPr>
            </w:pPr>
          </w:p>
        </w:tc>
      </w:tr>
      <w:tr>
        <w:trPr>
          <w:trHeight w:val="147"/>
        </w:trPr>
        <w:tc>
          <w:tcPr>
            <w:tcW w:w="1720" w:type="dxa"/>
            <w:vAlign w:val="bottom"/>
            <w:shd w:val="clear" w:color="auto" w:fill="F6F3F0"/>
          </w:tcPr>
          <w:p>
            <w:pPr>
              <w:spacing w:after="0"/>
              <w:rPr>
                <w:sz w:val="12"/>
                <w:szCs w:val="12"/>
                <w:color w:val="auto"/>
              </w:rPr>
            </w:pPr>
          </w:p>
        </w:tc>
        <w:tc>
          <w:tcPr>
            <w:tcW w:w="860" w:type="dxa"/>
            <w:vAlign w:val="bottom"/>
            <w:shd w:val="clear" w:color="auto" w:fill="F6F3F0"/>
          </w:tcPr>
          <w:p>
            <w:pPr>
              <w:spacing w:after="0"/>
              <w:rPr>
                <w:sz w:val="12"/>
                <w:szCs w:val="12"/>
                <w:color w:val="auto"/>
              </w:rPr>
            </w:pPr>
          </w:p>
        </w:tc>
        <w:tc>
          <w:tcPr>
            <w:tcW w:w="120" w:type="dxa"/>
            <w:vAlign w:val="bottom"/>
            <w:tcBorders>
              <w:right w:val="single" w:sz="8" w:color="F6F3F0"/>
            </w:tcBorders>
            <w:shd w:val="clear" w:color="auto" w:fill="F6F3F0"/>
          </w:tcPr>
          <w:p>
            <w:pPr>
              <w:spacing w:after="0"/>
              <w:rPr>
                <w:sz w:val="12"/>
                <w:szCs w:val="12"/>
                <w:color w:val="auto"/>
              </w:rPr>
            </w:pPr>
          </w:p>
        </w:tc>
        <w:tc>
          <w:tcPr>
            <w:tcW w:w="1060" w:type="dxa"/>
            <w:vAlign w:val="bottom"/>
            <w:shd w:val="clear" w:color="auto" w:fill="F6F3F0"/>
          </w:tcPr>
          <w:p>
            <w:pPr>
              <w:jc w:val="right"/>
              <w:ind w:right="123"/>
              <w:spacing w:after="0" w:line="148" w:lineRule="exact"/>
              <w:rPr>
                <w:sz w:val="20"/>
                <w:szCs w:val="20"/>
                <w:color w:val="auto"/>
              </w:rPr>
            </w:pPr>
            <w:r>
              <w:rPr>
                <w:rFonts w:ascii="Arial" w:cs="Arial" w:eastAsia="Arial" w:hAnsi="Arial"/>
                <w:sz w:val="13"/>
                <w:szCs w:val="13"/>
                <w:b w:val="1"/>
                <w:bCs w:val="1"/>
                <w:color w:val="0E1020"/>
                <w:w w:val="98"/>
              </w:rPr>
              <w:t>Target Annual</w:t>
            </w:r>
          </w:p>
        </w:tc>
        <w:tc>
          <w:tcPr>
            <w:tcW w:w="1220" w:type="dxa"/>
            <w:vAlign w:val="bottom"/>
            <w:gridSpan w:val="2"/>
            <w:shd w:val="clear" w:color="auto" w:fill="F6F3F0"/>
          </w:tcPr>
          <w:p>
            <w:pPr>
              <w:jc w:val="right"/>
              <w:ind w:right="260"/>
              <w:spacing w:after="0" w:line="148" w:lineRule="exact"/>
              <w:rPr>
                <w:sz w:val="20"/>
                <w:szCs w:val="20"/>
                <w:color w:val="auto"/>
              </w:rPr>
            </w:pPr>
            <w:r>
              <w:rPr>
                <w:rFonts w:ascii="Arial" w:cs="Arial" w:eastAsia="Arial" w:hAnsi="Arial"/>
                <w:sz w:val="13"/>
                <w:szCs w:val="13"/>
                <w:b w:val="1"/>
                <w:bCs w:val="1"/>
                <w:color w:val="0E1020"/>
              </w:rPr>
              <w:t>Performance</w:t>
            </w:r>
          </w:p>
        </w:tc>
        <w:tc>
          <w:tcPr>
            <w:tcW w:w="800" w:type="dxa"/>
            <w:vAlign w:val="bottom"/>
            <w:tcBorders>
              <w:right w:val="single" w:sz="8" w:color="F6F3F0"/>
            </w:tcBorders>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Service-</w:t>
            </w:r>
          </w:p>
        </w:tc>
        <w:tc>
          <w:tcPr>
            <w:tcW w:w="1120" w:type="dxa"/>
            <w:vAlign w:val="bottom"/>
            <w:shd w:val="clear" w:color="auto" w:fill="F6F3F0"/>
          </w:tcPr>
          <w:p>
            <w:pPr>
              <w:spacing w:after="0"/>
              <w:rPr>
                <w:sz w:val="12"/>
                <w:szCs w:val="12"/>
                <w:color w:val="auto"/>
              </w:rPr>
            </w:pPr>
          </w:p>
        </w:tc>
      </w:tr>
      <w:tr>
        <w:trPr>
          <w:trHeight w:val="185"/>
        </w:trPr>
        <w:tc>
          <w:tcPr>
            <w:tcW w:w="1720" w:type="dxa"/>
            <w:vAlign w:val="bottom"/>
            <w:shd w:val="clear" w:color="auto" w:fill="F6F3F0"/>
          </w:tcPr>
          <w:p>
            <w:pPr>
              <w:spacing w:after="0"/>
              <w:rPr>
                <w:sz w:val="16"/>
                <w:szCs w:val="16"/>
                <w:color w:val="auto"/>
              </w:rPr>
            </w:pPr>
          </w:p>
        </w:tc>
        <w:tc>
          <w:tcPr>
            <w:tcW w:w="86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rPr>
              <w:t>Base Salary</w:t>
            </w:r>
          </w:p>
        </w:tc>
        <w:tc>
          <w:tcPr>
            <w:tcW w:w="120" w:type="dxa"/>
            <w:vAlign w:val="bottom"/>
            <w:tcBorders>
              <w:right w:val="single" w:sz="8" w:color="F6F3F0"/>
            </w:tcBorders>
            <w:shd w:val="clear" w:color="auto" w:fill="F6F3F0"/>
          </w:tcPr>
          <w:p>
            <w:pPr>
              <w:spacing w:after="0"/>
              <w:rPr>
                <w:sz w:val="16"/>
                <w:szCs w:val="16"/>
                <w:color w:val="auto"/>
              </w:rPr>
            </w:pPr>
          </w:p>
        </w:tc>
        <w:tc>
          <w:tcPr>
            <w:tcW w:w="1060" w:type="dxa"/>
            <w:vAlign w:val="bottom"/>
            <w:shd w:val="clear" w:color="auto" w:fill="F6F3F0"/>
          </w:tcPr>
          <w:p>
            <w:pPr>
              <w:jc w:val="right"/>
              <w:ind w:right="123"/>
              <w:spacing w:after="0"/>
              <w:rPr>
                <w:sz w:val="20"/>
                <w:szCs w:val="20"/>
                <w:color w:val="auto"/>
              </w:rPr>
            </w:pPr>
            <w:r>
              <w:rPr>
                <w:rFonts w:ascii="Arial" w:cs="Arial" w:eastAsia="Arial" w:hAnsi="Arial"/>
                <w:sz w:val="13"/>
                <w:szCs w:val="13"/>
                <w:b w:val="1"/>
                <w:bCs w:val="1"/>
                <w:color w:val="0E1020"/>
              </w:rPr>
              <w:t>Incentive</w:t>
            </w:r>
          </w:p>
        </w:tc>
        <w:tc>
          <w:tcPr>
            <w:tcW w:w="1220" w:type="dxa"/>
            <w:vAlign w:val="bottom"/>
            <w:gridSpan w:val="2"/>
            <w:shd w:val="clear" w:color="auto" w:fill="F6F3F0"/>
          </w:tcPr>
          <w:p>
            <w:pPr>
              <w:jc w:val="right"/>
              <w:ind w:right="260"/>
              <w:spacing w:after="0"/>
              <w:rPr>
                <w:sz w:val="20"/>
                <w:szCs w:val="20"/>
                <w:color w:val="auto"/>
              </w:rPr>
            </w:pPr>
            <w:r>
              <w:rPr>
                <w:rFonts w:ascii="Arial" w:cs="Arial" w:eastAsia="Arial" w:hAnsi="Arial"/>
                <w:sz w:val="13"/>
                <w:szCs w:val="13"/>
                <w:b w:val="1"/>
                <w:bCs w:val="1"/>
                <w:color w:val="0E1020"/>
              </w:rPr>
              <w:t>-Based RSUs</w:t>
            </w:r>
          </w:p>
        </w:tc>
        <w:tc>
          <w:tcPr>
            <w:tcW w:w="800" w:type="dxa"/>
            <w:vAlign w:val="bottom"/>
            <w:tcBorders>
              <w:right w:val="single" w:sz="8" w:color="F6F3F0"/>
            </w:tcBorders>
            <w:shd w:val="clear" w:color="auto" w:fill="F6F3F0"/>
          </w:tcPr>
          <w:p>
            <w:pPr>
              <w:jc w:val="right"/>
              <w:spacing w:after="0"/>
              <w:rPr>
                <w:sz w:val="20"/>
                <w:szCs w:val="20"/>
                <w:color w:val="auto"/>
              </w:rPr>
            </w:pPr>
            <w:r>
              <w:rPr>
                <w:rFonts w:ascii="Arial" w:cs="Arial" w:eastAsia="Arial" w:hAnsi="Arial"/>
                <w:sz w:val="13"/>
                <w:szCs w:val="13"/>
                <w:b w:val="1"/>
                <w:bCs w:val="1"/>
                <w:color w:val="0E1020"/>
                <w:w w:val="95"/>
              </w:rPr>
              <w:t>Based RSUs</w:t>
            </w:r>
          </w:p>
        </w:tc>
        <w:tc>
          <w:tcPr>
            <w:tcW w:w="1120" w:type="dxa"/>
            <w:vAlign w:val="bottom"/>
            <w:shd w:val="clear" w:color="auto" w:fill="F6F3F0"/>
          </w:tcPr>
          <w:p>
            <w:pPr>
              <w:jc w:val="right"/>
              <w:ind w:right="63"/>
              <w:spacing w:after="0"/>
              <w:rPr>
                <w:sz w:val="20"/>
                <w:szCs w:val="20"/>
                <w:color w:val="auto"/>
              </w:rPr>
            </w:pPr>
            <w:r>
              <w:rPr>
                <w:rFonts w:ascii="Arial" w:cs="Arial" w:eastAsia="Arial" w:hAnsi="Arial"/>
                <w:sz w:val="13"/>
                <w:szCs w:val="13"/>
                <w:b w:val="1"/>
                <w:bCs w:val="1"/>
                <w:color w:val="0E1020"/>
              </w:rPr>
              <w:t>Total</w:t>
            </w:r>
          </w:p>
        </w:tc>
      </w:tr>
      <w:tr>
        <w:trPr>
          <w:trHeight w:val="75"/>
        </w:trPr>
        <w:tc>
          <w:tcPr>
            <w:tcW w:w="1720" w:type="dxa"/>
            <w:vAlign w:val="bottom"/>
            <w:tcBorders>
              <w:bottom w:val="single" w:sz="8" w:color="CFCFD2"/>
            </w:tcBorders>
            <w:shd w:val="clear" w:color="auto" w:fill="F6F3F0"/>
          </w:tcPr>
          <w:p>
            <w:pPr>
              <w:spacing w:after="0"/>
              <w:rPr>
                <w:sz w:val="6"/>
                <w:szCs w:val="6"/>
                <w:color w:val="auto"/>
              </w:rPr>
            </w:pPr>
          </w:p>
        </w:tc>
        <w:tc>
          <w:tcPr>
            <w:tcW w:w="860" w:type="dxa"/>
            <w:vAlign w:val="bottom"/>
            <w:tcBorders>
              <w:bottom w:val="single" w:sz="8" w:color="CFCFD2"/>
            </w:tcBorders>
            <w:shd w:val="clear" w:color="auto" w:fill="F6F3F0"/>
          </w:tcPr>
          <w:p>
            <w:pPr>
              <w:spacing w:after="0"/>
              <w:rPr>
                <w:sz w:val="6"/>
                <w:szCs w:val="6"/>
                <w:color w:val="auto"/>
              </w:rPr>
            </w:pPr>
          </w:p>
        </w:tc>
        <w:tc>
          <w:tcPr>
            <w:tcW w:w="120" w:type="dxa"/>
            <w:vAlign w:val="bottom"/>
            <w:tcBorders>
              <w:bottom w:val="single" w:sz="8" w:color="CFCFD2"/>
              <w:right w:val="single" w:sz="8" w:color="F6F3F0"/>
            </w:tcBorders>
            <w:shd w:val="clear" w:color="auto" w:fill="F6F3F0"/>
          </w:tcPr>
          <w:p>
            <w:pPr>
              <w:spacing w:after="0"/>
              <w:rPr>
                <w:sz w:val="6"/>
                <w:szCs w:val="6"/>
                <w:color w:val="auto"/>
              </w:rPr>
            </w:pPr>
          </w:p>
        </w:tc>
        <w:tc>
          <w:tcPr>
            <w:tcW w:w="1060" w:type="dxa"/>
            <w:vAlign w:val="bottom"/>
            <w:tcBorders>
              <w:bottom w:val="single" w:sz="8" w:color="CFCFD2"/>
            </w:tcBorders>
            <w:shd w:val="clear" w:color="auto" w:fill="F6F3F0"/>
          </w:tcPr>
          <w:p>
            <w:pPr>
              <w:spacing w:after="0"/>
              <w:rPr>
                <w:sz w:val="6"/>
                <w:szCs w:val="6"/>
                <w:color w:val="auto"/>
              </w:rPr>
            </w:pPr>
          </w:p>
        </w:tc>
        <w:tc>
          <w:tcPr>
            <w:tcW w:w="1000" w:type="dxa"/>
            <w:vAlign w:val="bottom"/>
            <w:tcBorders>
              <w:bottom w:val="single" w:sz="8" w:color="CFCFD2"/>
              <w:right w:val="single" w:sz="8" w:color="F6F3F0"/>
            </w:tcBorders>
            <w:shd w:val="clear" w:color="auto" w:fill="F6F3F0"/>
          </w:tcPr>
          <w:p>
            <w:pPr>
              <w:spacing w:after="0"/>
              <w:rPr>
                <w:sz w:val="6"/>
                <w:szCs w:val="6"/>
                <w:color w:val="auto"/>
              </w:rPr>
            </w:pPr>
          </w:p>
        </w:tc>
        <w:tc>
          <w:tcPr>
            <w:tcW w:w="220" w:type="dxa"/>
            <w:vAlign w:val="bottom"/>
            <w:tcBorders>
              <w:bottom w:val="single" w:sz="8" w:color="CFCFD2"/>
            </w:tcBorders>
            <w:shd w:val="clear" w:color="auto" w:fill="F6F3F0"/>
          </w:tcPr>
          <w:p>
            <w:pPr>
              <w:spacing w:after="0"/>
              <w:rPr>
                <w:sz w:val="6"/>
                <w:szCs w:val="6"/>
                <w:color w:val="auto"/>
              </w:rPr>
            </w:pPr>
          </w:p>
        </w:tc>
        <w:tc>
          <w:tcPr>
            <w:tcW w:w="800" w:type="dxa"/>
            <w:vAlign w:val="bottom"/>
            <w:tcBorders>
              <w:bottom w:val="single" w:sz="8" w:color="CFCFD2"/>
              <w:right w:val="single" w:sz="8" w:color="F6F3F0"/>
            </w:tcBorders>
            <w:shd w:val="clear" w:color="auto" w:fill="F6F3F0"/>
          </w:tcPr>
          <w:p>
            <w:pPr>
              <w:spacing w:after="0"/>
              <w:rPr>
                <w:sz w:val="6"/>
                <w:szCs w:val="6"/>
                <w:color w:val="auto"/>
              </w:rPr>
            </w:pPr>
          </w:p>
        </w:tc>
        <w:tc>
          <w:tcPr>
            <w:tcW w:w="1120" w:type="dxa"/>
            <w:vAlign w:val="bottom"/>
            <w:tcBorders>
              <w:bottom w:val="single" w:sz="8" w:color="CFCFD2"/>
            </w:tcBorders>
            <w:shd w:val="clear" w:color="auto" w:fill="F6F3F0"/>
          </w:tcPr>
          <w:p>
            <w:pPr>
              <w:spacing w:after="0"/>
              <w:rPr>
                <w:sz w:val="6"/>
                <w:szCs w:val="6"/>
                <w:color w:val="auto"/>
              </w:rPr>
            </w:pPr>
          </w:p>
        </w:tc>
      </w:tr>
      <w:tr>
        <w:trPr>
          <w:trHeight w:val="173"/>
        </w:trPr>
        <w:tc>
          <w:tcPr>
            <w:tcW w:w="1720" w:type="dxa"/>
            <w:vAlign w:val="bottom"/>
          </w:tcPr>
          <w:p>
            <w:pPr>
              <w:ind w:left="20"/>
              <w:spacing w:after="0"/>
              <w:rPr>
                <w:sz w:val="20"/>
                <w:szCs w:val="20"/>
                <w:color w:val="auto"/>
              </w:rPr>
            </w:pPr>
            <w:r>
              <w:rPr>
                <w:rFonts w:ascii="Arial" w:cs="Arial" w:eastAsia="Arial" w:hAnsi="Arial"/>
                <w:sz w:val="13"/>
                <w:szCs w:val="13"/>
                <w:b w:val="1"/>
                <w:bCs w:val="1"/>
                <w:color w:val="004AAC"/>
              </w:rPr>
              <w:t>Raul J. Fernandez</w:t>
            </w:r>
          </w:p>
        </w:tc>
        <w:tc>
          <w:tcPr>
            <w:tcW w:w="860" w:type="dxa"/>
            <w:vAlign w:val="bottom"/>
          </w:tcPr>
          <w:p>
            <w:pPr>
              <w:jc w:val="right"/>
              <w:spacing w:after="0"/>
              <w:rPr>
                <w:sz w:val="20"/>
                <w:szCs w:val="20"/>
                <w:color w:val="auto"/>
              </w:rPr>
            </w:pPr>
            <w:r>
              <w:rPr>
                <w:rFonts w:ascii="Arial" w:cs="Arial" w:eastAsia="Arial" w:hAnsi="Arial"/>
                <w:sz w:val="11"/>
                <w:szCs w:val="11"/>
                <w:color w:val="0E1020"/>
              </w:rPr>
              <w:t>$1,500,000</w:t>
            </w:r>
          </w:p>
        </w:tc>
        <w:tc>
          <w:tcPr>
            <w:tcW w:w="1180" w:type="dxa"/>
            <w:vAlign w:val="bottom"/>
            <w:gridSpan w:val="2"/>
          </w:tcPr>
          <w:p>
            <w:pPr>
              <w:jc w:val="right"/>
              <w:ind w:right="123"/>
              <w:spacing w:after="0"/>
              <w:rPr>
                <w:sz w:val="20"/>
                <w:szCs w:val="20"/>
                <w:color w:val="auto"/>
              </w:rPr>
            </w:pPr>
            <w:r>
              <w:rPr>
                <w:rFonts w:ascii="Arial" w:cs="Arial" w:eastAsia="Arial" w:hAnsi="Arial"/>
                <w:sz w:val="11"/>
                <w:szCs w:val="11"/>
                <w:color w:val="0E1020"/>
              </w:rPr>
              <w:t>$3,750,000</w:t>
            </w:r>
          </w:p>
        </w:tc>
        <w:tc>
          <w:tcPr>
            <w:tcW w:w="1000" w:type="dxa"/>
            <w:vAlign w:val="bottom"/>
          </w:tcPr>
          <w:p>
            <w:pPr>
              <w:jc w:val="right"/>
              <w:spacing w:after="0"/>
              <w:rPr>
                <w:sz w:val="20"/>
                <w:szCs w:val="20"/>
                <w:color w:val="auto"/>
              </w:rPr>
            </w:pPr>
            <w:r>
              <w:rPr>
                <w:rFonts w:ascii="Arial" w:cs="Arial" w:eastAsia="Arial" w:hAnsi="Arial"/>
                <w:sz w:val="11"/>
                <w:szCs w:val="11"/>
                <w:color w:val="0E1020"/>
              </w:rPr>
              <w:t>$12,707,500</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0E1020"/>
              </w:rPr>
              <w:t>$2,242,500</w:t>
            </w:r>
          </w:p>
        </w:tc>
        <w:tc>
          <w:tcPr>
            <w:tcW w:w="1120" w:type="dxa"/>
            <w:vAlign w:val="bottom"/>
          </w:tcPr>
          <w:p>
            <w:pPr>
              <w:jc w:val="right"/>
              <w:ind w:right="63"/>
              <w:spacing w:after="0"/>
              <w:rPr>
                <w:sz w:val="20"/>
                <w:szCs w:val="20"/>
                <w:color w:val="auto"/>
              </w:rPr>
            </w:pPr>
            <w:r>
              <w:rPr>
                <w:rFonts w:ascii="Arial" w:cs="Arial" w:eastAsia="Arial" w:hAnsi="Arial"/>
                <w:sz w:val="11"/>
                <w:szCs w:val="11"/>
                <w:color w:val="0E1020"/>
              </w:rPr>
              <w:t>$20,200,000</w:t>
            </w:r>
          </w:p>
        </w:tc>
      </w:tr>
      <w:tr>
        <w:trPr>
          <w:trHeight w:val="21"/>
        </w:trPr>
        <w:tc>
          <w:tcPr>
            <w:tcW w:w="1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8"/>
        </w:trPr>
        <w:tc>
          <w:tcPr>
            <w:tcW w:w="1720" w:type="dxa"/>
            <w:vAlign w:val="bottom"/>
            <w:tcBorders>
              <w:top w:val="single" w:sz="8" w:color="CFCFD2"/>
            </w:tcBorders>
          </w:tcPr>
          <w:p>
            <w:pPr>
              <w:ind w:left="20"/>
              <w:spacing w:after="0"/>
              <w:rPr>
                <w:sz w:val="20"/>
                <w:szCs w:val="20"/>
                <w:color w:val="auto"/>
              </w:rPr>
            </w:pPr>
            <w:r>
              <w:rPr>
                <w:rFonts w:ascii="Arial" w:cs="Arial" w:eastAsia="Arial" w:hAnsi="Arial"/>
                <w:sz w:val="11"/>
                <w:szCs w:val="11"/>
                <w:i w:val="1"/>
                <w:iCs w:val="1"/>
                <w:color w:val="0E1020"/>
              </w:rPr>
              <w:t>% of Target Total Compensation</w:t>
            </w:r>
          </w:p>
        </w:tc>
        <w:tc>
          <w:tcPr>
            <w:tcW w:w="860" w:type="dxa"/>
            <w:vAlign w:val="bottom"/>
            <w:tcBorders>
              <w:top w:val="single" w:sz="8" w:color="CFCFD2"/>
            </w:tcBorders>
          </w:tcPr>
          <w:p>
            <w:pPr>
              <w:jc w:val="right"/>
              <w:spacing w:after="0"/>
              <w:rPr>
                <w:sz w:val="20"/>
                <w:szCs w:val="20"/>
                <w:color w:val="auto"/>
              </w:rPr>
            </w:pPr>
            <w:r>
              <w:rPr>
                <w:rFonts w:ascii="Arial" w:cs="Arial" w:eastAsia="Arial" w:hAnsi="Arial"/>
                <w:sz w:val="11"/>
                <w:szCs w:val="11"/>
                <w:color w:val="0E1020"/>
              </w:rPr>
              <w:t>7 %</w:t>
            </w:r>
          </w:p>
        </w:tc>
        <w:tc>
          <w:tcPr>
            <w:tcW w:w="120" w:type="dxa"/>
            <w:vAlign w:val="bottom"/>
            <w:tcBorders>
              <w:top w:val="single" w:sz="8" w:color="CFCFD2"/>
              <w:right w:val="single" w:sz="8" w:color="FF7E51"/>
            </w:tcBorders>
          </w:tcPr>
          <w:p>
            <w:pPr>
              <w:spacing w:after="0"/>
              <w:rPr>
                <w:sz w:val="12"/>
                <w:szCs w:val="12"/>
                <w:color w:val="auto"/>
              </w:rPr>
            </w:pPr>
          </w:p>
        </w:tc>
        <w:tc>
          <w:tcPr>
            <w:tcW w:w="1060" w:type="dxa"/>
            <w:vAlign w:val="bottom"/>
            <w:tcBorders>
              <w:top w:val="single" w:sz="8" w:color="FF7E51"/>
            </w:tcBorders>
          </w:tcPr>
          <w:p>
            <w:pPr>
              <w:jc w:val="right"/>
              <w:ind w:right="123"/>
              <w:spacing w:after="0"/>
              <w:rPr>
                <w:sz w:val="20"/>
                <w:szCs w:val="20"/>
                <w:color w:val="auto"/>
              </w:rPr>
            </w:pPr>
            <w:r>
              <w:rPr>
                <w:rFonts w:ascii="Arial" w:cs="Arial" w:eastAsia="Arial" w:hAnsi="Arial"/>
                <w:sz w:val="11"/>
                <w:szCs w:val="11"/>
                <w:color w:val="0E1020"/>
              </w:rPr>
              <w:t>19 %</w:t>
            </w:r>
          </w:p>
        </w:tc>
        <w:tc>
          <w:tcPr>
            <w:tcW w:w="1000" w:type="dxa"/>
            <w:vAlign w:val="bottom"/>
            <w:tcBorders>
              <w:top w:val="single" w:sz="8" w:color="FF7E51"/>
              <w:right w:val="single" w:sz="8" w:color="FF7E51"/>
            </w:tcBorders>
          </w:tcPr>
          <w:p>
            <w:pPr>
              <w:jc w:val="right"/>
              <w:spacing w:after="0"/>
              <w:rPr>
                <w:sz w:val="20"/>
                <w:szCs w:val="20"/>
                <w:color w:val="auto"/>
              </w:rPr>
            </w:pPr>
            <w:r>
              <w:rPr>
                <w:rFonts w:ascii="Arial" w:cs="Arial" w:eastAsia="Arial" w:hAnsi="Arial"/>
                <w:sz w:val="11"/>
                <w:szCs w:val="11"/>
                <w:color w:val="0E1020"/>
              </w:rPr>
              <w:t>63 %</w:t>
            </w:r>
          </w:p>
        </w:tc>
        <w:tc>
          <w:tcPr>
            <w:tcW w:w="220" w:type="dxa"/>
            <w:vAlign w:val="bottom"/>
            <w:tcBorders>
              <w:top w:val="single" w:sz="8" w:color="4995FF"/>
            </w:tcBorders>
          </w:tcPr>
          <w:p>
            <w:pPr>
              <w:spacing w:after="0"/>
              <w:rPr>
                <w:sz w:val="12"/>
                <w:szCs w:val="12"/>
                <w:color w:val="auto"/>
              </w:rPr>
            </w:pPr>
          </w:p>
        </w:tc>
        <w:tc>
          <w:tcPr>
            <w:tcW w:w="800" w:type="dxa"/>
            <w:vAlign w:val="bottom"/>
            <w:tcBorders>
              <w:top w:val="single" w:sz="8" w:color="4995FF"/>
              <w:right w:val="single" w:sz="8" w:color="4995FF"/>
            </w:tcBorders>
          </w:tcPr>
          <w:p>
            <w:pPr>
              <w:jc w:val="right"/>
              <w:spacing w:after="0"/>
              <w:rPr>
                <w:sz w:val="20"/>
                <w:szCs w:val="20"/>
                <w:color w:val="auto"/>
              </w:rPr>
            </w:pPr>
            <w:r>
              <w:rPr>
                <w:rFonts w:ascii="Arial" w:cs="Arial" w:eastAsia="Arial" w:hAnsi="Arial"/>
                <w:sz w:val="11"/>
                <w:szCs w:val="11"/>
                <w:color w:val="0E1020"/>
              </w:rPr>
              <w:t>11 %</w:t>
            </w:r>
          </w:p>
        </w:tc>
        <w:tc>
          <w:tcPr>
            <w:tcW w:w="1120" w:type="dxa"/>
            <w:vAlign w:val="bottom"/>
            <w:tcBorders>
              <w:top w:val="single" w:sz="8" w:color="CFCFD2"/>
            </w:tcBorders>
          </w:tcPr>
          <w:p>
            <w:pPr>
              <w:jc w:val="right"/>
              <w:ind w:right="63"/>
              <w:spacing w:after="0"/>
              <w:rPr>
                <w:sz w:val="20"/>
                <w:szCs w:val="20"/>
                <w:color w:val="auto"/>
              </w:rPr>
            </w:pPr>
            <w:r>
              <w:rPr>
                <w:rFonts w:ascii="Arial" w:cs="Arial" w:eastAsia="Arial" w:hAnsi="Arial"/>
                <w:sz w:val="11"/>
                <w:szCs w:val="11"/>
                <w:color w:val="0E1020"/>
              </w:rPr>
              <w:t>100 %</w:t>
            </w:r>
          </w:p>
        </w:tc>
      </w:tr>
      <w:tr>
        <w:trPr>
          <w:trHeight w:val="33"/>
        </w:trPr>
        <w:tc>
          <w:tcPr>
            <w:tcW w:w="1720" w:type="dxa"/>
            <w:vAlign w:val="bottom"/>
            <w:tcBorders>
              <w:bottom w:val="single" w:sz="8" w:color="CFCFD2"/>
            </w:tcBorders>
          </w:tcPr>
          <w:p>
            <w:pPr>
              <w:spacing w:after="0"/>
              <w:rPr>
                <w:sz w:val="2"/>
                <w:szCs w:val="2"/>
                <w:color w:val="auto"/>
              </w:rPr>
            </w:pPr>
          </w:p>
        </w:tc>
        <w:tc>
          <w:tcPr>
            <w:tcW w:w="860" w:type="dxa"/>
            <w:vAlign w:val="bottom"/>
            <w:tcBorders>
              <w:bottom w:val="single" w:sz="8" w:color="CFCFD2"/>
            </w:tcBorders>
          </w:tcPr>
          <w:p>
            <w:pPr>
              <w:spacing w:after="0"/>
              <w:rPr>
                <w:sz w:val="2"/>
                <w:szCs w:val="2"/>
                <w:color w:val="auto"/>
              </w:rPr>
            </w:pPr>
          </w:p>
        </w:tc>
        <w:tc>
          <w:tcPr>
            <w:tcW w:w="120" w:type="dxa"/>
            <w:vAlign w:val="bottom"/>
            <w:tcBorders>
              <w:bottom w:val="single" w:sz="8" w:color="CFCFD2"/>
              <w:right w:val="single" w:sz="8" w:color="FF7E51"/>
            </w:tcBorders>
          </w:tcPr>
          <w:p>
            <w:pPr>
              <w:spacing w:after="0"/>
              <w:rPr>
                <w:sz w:val="2"/>
                <w:szCs w:val="2"/>
                <w:color w:val="auto"/>
              </w:rPr>
            </w:pPr>
          </w:p>
        </w:tc>
        <w:tc>
          <w:tcPr>
            <w:tcW w:w="2060" w:type="dxa"/>
            <w:vAlign w:val="bottom"/>
            <w:tcBorders>
              <w:bottom w:val="single" w:sz="8" w:color="CFCFD2"/>
              <w:right w:val="single" w:sz="8" w:color="FF7E51"/>
            </w:tcBorders>
            <w:gridSpan w:val="2"/>
          </w:tcPr>
          <w:p>
            <w:pPr>
              <w:spacing w:after="0"/>
              <w:rPr>
                <w:sz w:val="2"/>
                <w:szCs w:val="2"/>
                <w:color w:val="auto"/>
              </w:rPr>
            </w:pPr>
          </w:p>
        </w:tc>
        <w:tc>
          <w:tcPr>
            <w:tcW w:w="220" w:type="dxa"/>
            <w:vAlign w:val="bottom"/>
            <w:tcBorders>
              <w:bottom w:val="single" w:sz="8" w:color="CFCFD2"/>
            </w:tcBorders>
          </w:tcPr>
          <w:p>
            <w:pPr>
              <w:spacing w:after="0"/>
              <w:rPr>
                <w:sz w:val="2"/>
                <w:szCs w:val="2"/>
                <w:color w:val="auto"/>
              </w:rPr>
            </w:pPr>
          </w:p>
        </w:tc>
        <w:tc>
          <w:tcPr>
            <w:tcW w:w="800" w:type="dxa"/>
            <w:vAlign w:val="bottom"/>
            <w:tcBorders>
              <w:bottom w:val="single" w:sz="8" w:color="CFCFD2"/>
              <w:right w:val="single" w:sz="8" w:color="4995FF"/>
            </w:tcBorders>
          </w:tcPr>
          <w:p>
            <w:pPr>
              <w:spacing w:after="0"/>
              <w:rPr>
                <w:sz w:val="2"/>
                <w:szCs w:val="2"/>
                <w:color w:val="auto"/>
              </w:rPr>
            </w:pPr>
          </w:p>
        </w:tc>
        <w:tc>
          <w:tcPr>
            <w:tcW w:w="1120" w:type="dxa"/>
            <w:vAlign w:val="bottom"/>
            <w:tcBorders>
              <w:bottom w:val="single" w:sz="8" w:color="CFCFD2"/>
            </w:tcBorders>
          </w:tcPr>
          <w:p>
            <w:pPr>
              <w:spacing w:after="0"/>
              <w:rPr>
                <w:sz w:val="2"/>
                <w:szCs w:val="2"/>
                <w:color w:val="auto"/>
              </w:rPr>
            </w:pPr>
          </w:p>
        </w:tc>
      </w:tr>
      <w:tr>
        <w:trPr>
          <w:trHeight w:val="154"/>
        </w:trPr>
        <w:tc>
          <w:tcPr>
            <w:tcW w:w="1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Borders>
              <w:right w:val="single" w:sz="8" w:color="FF7E51"/>
            </w:tcBorders>
          </w:tcPr>
          <w:p>
            <w:pPr>
              <w:spacing w:after="0"/>
              <w:rPr>
                <w:sz w:val="13"/>
                <w:szCs w:val="13"/>
                <w:color w:val="auto"/>
              </w:rPr>
            </w:pPr>
          </w:p>
        </w:tc>
        <w:tc>
          <w:tcPr>
            <w:tcW w:w="2060" w:type="dxa"/>
            <w:vAlign w:val="bottom"/>
            <w:tcBorders>
              <w:right w:val="single" w:sz="8" w:color="FF7E51"/>
            </w:tcBorders>
            <w:gridSpan w:val="2"/>
          </w:tcPr>
          <w:p>
            <w:pPr>
              <w:jc w:val="right"/>
              <w:ind w:right="240"/>
              <w:spacing w:after="0"/>
              <w:rPr>
                <w:sz w:val="20"/>
                <w:szCs w:val="20"/>
                <w:color w:val="auto"/>
              </w:rPr>
            </w:pPr>
            <w:r>
              <w:rPr>
                <w:rFonts w:ascii="Arial" w:cs="Arial" w:eastAsia="Arial" w:hAnsi="Arial"/>
                <w:sz w:val="11"/>
                <w:szCs w:val="11"/>
                <w:b w:val="1"/>
                <w:bCs w:val="1"/>
                <w:color w:val="FF7E51"/>
              </w:rPr>
              <w:t>82% Performance-Based Pay</w:t>
            </w:r>
          </w:p>
        </w:tc>
        <w:tc>
          <w:tcPr>
            <w:tcW w:w="220" w:type="dxa"/>
            <w:vAlign w:val="bottom"/>
          </w:tcPr>
          <w:p>
            <w:pPr>
              <w:spacing w:after="0"/>
              <w:rPr>
                <w:sz w:val="13"/>
                <w:szCs w:val="13"/>
                <w:color w:val="auto"/>
              </w:rPr>
            </w:pPr>
          </w:p>
        </w:tc>
        <w:tc>
          <w:tcPr>
            <w:tcW w:w="800" w:type="dxa"/>
            <w:vAlign w:val="bottom"/>
            <w:tcBorders>
              <w:right w:val="single" w:sz="8" w:color="4995FF"/>
            </w:tcBorders>
          </w:tcPr>
          <w:p>
            <w:pPr>
              <w:spacing w:after="0"/>
              <w:rPr>
                <w:sz w:val="13"/>
                <w:szCs w:val="13"/>
                <w:color w:val="auto"/>
              </w:rPr>
            </w:pPr>
          </w:p>
        </w:tc>
        <w:tc>
          <w:tcPr>
            <w:tcW w:w="1120" w:type="dxa"/>
            <w:vAlign w:val="bottom"/>
          </w:tcPr>
          <w:p>
            <w:pPr>
              <w:spacing w:after="0"/>
              <w:rPr>
                <w:sz w:val="13"/>
                <w:szCs w:val="13"/>
                <w:color w:val="auto"/>
              </w:rPr>
            </w:pPr>
          </w:p>
        </w:tc>
      </w:tr>
      <w:tr>
        <w:trPr>
          <w:trHeight w:val="27"/>
        </w:trPr>
        <w:tc>
          <w:tcPr>
            <w:tcW w:w="1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FF7E51"/>
            </w:tcBorders>
          </w:tcPr>
          <w:p>
            <w:pPr>
              <w:spacing w:after="0"/>
              <w:rPr>
                <w:sz w:val="2"/>
                <w:szCs w:val="2"/>
                <w:color w:val="auto"/>
              </w:rPr>
            </w:pPr>
          </w:p>
        </w:tc>
        <w:tc>
          <w:tcPr>
            <w:tcW w:w="2060" w:type="dxa"/>
            <w:vAlign w:val="bottom"/>
            <w:tcBorders>
              <w:bottom w:val="single" w:sz="8" w:color="FF7E51"/>
              <w:right w:val="single" w:sz="8" w:color="FF7E51"/>
            </w:tcBorders>
            <w:gridSpan w:val="2"/>
          </w:tcPr>
          <w:p>
            <w:pPr>
              <w:spacing w:after="0"/>
              <w:rPr>
                <w:sz w:val="2"/>
                <w:szCs w:val="2"/>
                <w:color w:val="auto"/>
              </w:rPr>
            </w:pPr>
          </w:p>
        </w:tc>
        <w:tc>
          <w:tcPr>
            <w:tcW w:w="220" w:type="dxa"/>
            <w:vAlign w:val="bottom"/>
            <w:tcBorders>
              <w:bottom w:val="single" w:sz="8" w:color="FF7E51"/>
            </w:tcBorders>
          </w:tcPr>
          <w:p>
            <w:pPr>
              <w:spacing w:after="0"/>
              <w:rPr>
                <w:sz w:val="2"/>
                <w:szCs w:val="2"/>
                <w:color w:val="auto"/>
              </w:rPr>
            </w:pPr>
          </w:p>
        </w:tc>
        <w:tc>
          <w:tcPr>
            <w:tcW w:w="800" w:type="dxa"/>
            <w:vAlign w:val="bottom"/>
            <w:tcBorders>
              <w:bottom w:val="single" w:sz="8" w:color="FF7E51"/>
              <w:right w:val="single" w:sz="8" w:color="4995FF"/>
            </w:tcBorders>
          </w:tcPr>
          <w:p>
            <w:pPr>
              <w:spacing w:after="0"/>
              <w:rPr>
                <w:sz w:val="2"/>
                <w:szCs w:val="2"/>
                <w:color w:val="auto"/>
              </w:rPr>
            </w:pPr>
          </w:p>
        </w:tc>
        <w:tc>
          <w:tcPr>
            <w:tcW w:w="1120" w:type="dxa"/>
            <w:vAlign w:val="bottom"/>
          </w:tcPr>
          <w:p>
            <w:pPr>
              <w:spacing w:after="0"/>
              <w:rPr>
                <w:sz w:val="2"/>
                <w:szCs w:val="2"/>
                <w:color w:val="auto"/>
              </w:rPr>
            </w:pPr>
          </w:p>
        </w:tc>
      </w:tr>
      <w:tr>
        <w:trPr>
          <w:trHeight w:val="154"/>
        </w:trPr>
        <w:tc>
          <w:tcPr>
            <w:tcW w:w="1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Borders>
              <w:right w:val="single" w:sz="8" w:color="4995FF"/>
            </w:tcBorders>
          </w:tcPr>
          <w:p>
            <w:pPr>
              <w:spacing w:after="0"/>
              <w:rPr>
                <w:sz w:val="13"/>
                <w:szCs w:val="13"/>
                <w:color w:val="auto"/>
              </w:rPr>
            </w:pPr>
          </w:p>
        </w:tc>
        <w:tc>
          <w:tcPr>
            <w:tcW w:w="2280" w:type="dxa"/>
            <w:vAlign w:val="bottom"/>
            <w:gridSpan w:val="3"/>
          </w:tcPr>
          <w:p>
            <w:pPr>
              <w:ind w:left="780"/>
              <w:spacing w:after="0"/>
              <w:rPr>
                <w:sz w:val="20"/>
                <w:szCs w:val="20"/>
                <w:color w:val="auto"/>
              </w:rPr>
            </w:pPr>
            <w:r>
              <w:rPr>
                <w:rFonts w:ascii="Arial" w:cs="Arial" w:eastAsia="Arial" w:hAnsi="Arial"/>
                <w:sz w:val="11"/>
                <w:szCs w:val="11"/>
                <w:b w:val="1"/>
                <w:bCs w:val="1"/>
                <w:color w:val="4995FF"/>
                <w:w w:val="96"/>
              </w:rPr>
              <w:t>93% At Risk and Variable Pay</w:t>
            </w:r>
          </w:p>
        </w:tc>
        <w:tc>
          <w:tcPr>
            <w:tcW w:w="800" w:type="dxa"/>
            <w:vAlign w:val="bottom"/>
            <w:tcBorders>
              <w:right w:val="single" w:sz="8" w:color="4995FF"/>
            </w:tcBorders>
          </w:tcPr>
          <w:p>
            <w:pPr>
              <w:spacing w:after="0"/>
              <w:rPr>
                <w:sz w:val="13"/>
                <w:szCs w:val="13"/>
                <w:color w:val="auto"/>
              </w:rPr>
            </w:pPr>
          </w:p>
        </w:tc>
        <w:tc>
          <w:tcPr>
            <w:tcW w:w="1120" w:type="dxa"/>
            <w:vAlign w:val="bottom"/>
          </w:tcPr>
          <w:p>
            <w:pPr>
              <w:spacing w:after="0"/>
              <w:rPr>
                <w:sz w:val="13"/>
                <w:szCs w:val="13"/>
                <w:color w:val="auto"/>
              </w:rPr>
            </w:pPr>
          </w:p>
        </w:tc>
      </w:tr>
      <w:tr>
        <w:trPr>
          <w:trHeight w:val="27"/>
        </w:trPr>
        <w:tc>
          <w:tcPr>
            <w:tcW w:w="1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4995FF"/>
            </w:tcBorders>
          </w:tcPr>
          <w:p>
            <w:pPr>
              <w:spacing w:after="0"/>
              <w:rPr>
                <w:sz w:val="2"/>
                <w:szCs w:val="2"/>
                <w:color w:val="auto"/>
              </w:rPr>
            </w:pPr>
          </w:p>
        </w:tc>
        <w:tc>
          <w:tcPr>
            <w:tcW w:w="1060" w:type="dxa"/>
            <w:vAlign w:val="bottom"/>
            <w:tcBorders>
              <w:bottom w:val="single" w:sz="8" w:color="4995FF"/>
            </w:tcBorders>
          </w:tcPr>
          <w:p>
            <w:pPr>
              <w:spacing w:after="0"/>
              <w:rPr>
                <w:sz w:val="2"/>
                <w:szCs w:val="2"/>
                <w:color w:val="auto"/>
              </w:rPr>
            </w:pPr>
          </w:p>
        </w:tc>
        <w:tc>
          <w:tcPr>
            <w:tcW w:w="1000" w:type="dxa"/>
            <w:vAlign w:val="bottom"/>
            <w:tcBorders>
              <w:bottom w:val="single" w:sz="8" w:color="4995FF"/>
            </w:tcBorders>
          </w:tcPr>
          <w:p>
            <w:pPr>
              <w:spacing w:after="0"/>
              <w:rPr>
                <w:sz w:val="2"/>
                <w:szCs w:val="2"/>
                <w:color w:val="auto"/>
              </w:rPr>
            </w:pPr>
          </w:p>
        </w:tc>
        <w:tc>
          <w:tcPr>
            <w:tcW w:w="220" w:type="dxa"/>
            <w:vAlign w:val="bottom"/>
            <w:tcBorders>
              <w:bottom w:val="single" w:sz="8" w:color="4995FF"/>
            </w:tcBorders>
          </w:tcPr>
          <w:p>
            <w:pPr>
              <w:spacing w:after="0"/>
              <w:rPr>
                <w:sz w:val="2"/>
                <w:szCs w:val="2"/>
                <w:color w:val="auto"/>
              </w:rPr>
            </w:pPr>
          </w:p>
        </w:tc>
        <w:tc>
          <w:tcPr>
            <w:tcW w:w="800" w:type="dxa"/>
            <w:vAlign w:val="bottom"/>
            <w:tcBorders>
              <w:bottom w:val="single" w:sz="8" w:color="4995FF"/>
              <w:right w:val="single" w:sz="8" w:color="4995FF"/>
            </w:tcBorders>
          </w:tcPr>
          <w:p>
            <w:pPr>
              <w:spacing w:after="0"/>
              <w:rPr>
                <w:sz w:val="2"/>
                <w:szCs w:val="2"/>
                <w:color w:val="auto"/>
              </w:rPr>
            </w:pPr>
          </w:p>
        </w:tc>
        <w:tc>
          <w:tcPr>
            <w:tcW w:w="1120" w:type="dxa"/>
            <w:vAlign w:val="bottom"/>
          </w:tcPr>
          <w:p>
            <w:pPr>
              <w:spacing w:after="0"/>
              <w:rPr>
                <w:sz w:val="2"/>
                <w:szCs w:val="2"/>
                <w:color w:val="auto"/>
              </w:rPr>
            </w:pPr>
          </w:p>
        </w:tc>
      </w:tr>
    </w:tbl>
    <w:p>
      <w:pPr>
        <w:spacing w:after="0" w:line="174" w:lineRule="exact"/>
        <w:rPr>
          <w:sz w:val="20"/>
          <w:szCs w:val="20"/>
          <w:color w:val="auto"/>
        </w:rPr>
      </w:pPr>
    </w:p>
    <w:p>
      <w:pPr>
        <w:sectPr>
          <w:pgSz w:w="11900" w:h="16838" w:orient="portrait"/>
          <w:cols w:equalWidth="0" w:num="2">
            <w:col w:w="2464" w:space="720"/>
            <w:col w:w="8056"/>
          </w:cols>
          <w:pgMar w:left="320" w:top="224" w:right="339" w:bottom="1440" w:gutter="0" w:footer="0" w:header="0"/>
          <w:type w:val="continuous"/>
        </w:sectPr>
      </w:pPr>
    </w:p>
    <w:p>
      <w:pPr>
        <w:ind w:left="3500" w:right="360" w:hanging="316"/>
        <w:spacing w:after="0" w:line="316" w:lineRule="auto"/>
        <w:tabs>
          <w:tab w:leader="none" w:pos="3462" w:val="left"/>
        </w:tabs>
        <w:numPr>
          <w:ilvl w:val="0"/>
          <w:numId w:val="57"/>
        </w:numPr>
        <w:rPr>
          <w:rFonts w:ascii="Arial" w:cs="Arial" w:eastAsia="Arial" w:hAnsi="Arial"/>
          <w:sz w:val="16"/>
          <w:szCs w:val="16"/>
          <w:color w:val="0E1020"/>
        </w:rPr>
      </w:pPr>
      <w:r>
        <w:rPr>
          <w:rFonts w:ascii="Arial" w:cs="Arial" w:eastAsia="Arial" w:hAnsi="Arial"/>
          <w:sz w:val="16"/>
          <w:szCs w:val="16"/>
          <w:color w:val="0E1020"/>
        </w:rPr>
        <w:t xml:space="preserve">Approximately </w:t>
      </w:r>
      <w:r>
        <w:rPr>
          <w:rFonts w:ascii="Arial" w:cs="Arial" w:eastAsia="Arial" w:hAnsi="Arial"/>
          <w:sz w:val="16"/>
          <w:szCs w:val="16"/>
          <w:b w:val="1"/>
          <w:bCs w:val="1"/>
          <w:color w:val="0E1020"/>
        </w:rPr>
        <w:t>91%</w:t>
      </w:r>
      <w:r>
        <w:rPr>
          <w:rFonts w:ascii="Arial" w:cs="Arial" w:eastAsia="Arial" w:hAnsi="Arial"/>
          <w:sz w:val="16"/>
          <w:szCs w:val="16"/>
          <w:color w:val="0E1020"/>
        </w:rPr>
        <w:t xml:space="preserve"> of the CFO’s and an average of </w:t>
      </w:r>
      <w:r>
        <w:rPr>
          <w:rFonts w:ascii="Arial" w:cs="Arial" w:eastAsia="Arial" w:hAnsi="Arial"/>
          <w:sz w:val="16"/>
          <w:szCs w:val="16"/>
          <w:b w:val="1"/>
          <w:bCs w:val="1"/>
          <w:color w:val="0E1020"/>
        </w:rPr>
        <w:t>88%</w:t>
      </w:r>
      <w:r>
        <w:rPr>
          <w:rFonts w:ascii="Arial" w:cs="Arial" w:eastAsia="Arial" w:hAnsi="Arial"/>
          <w:sz w:val="16"/>
          <w:szCs w:val="16"/>
          <w:color w:val="0E1020"/>
        </w:rPr>
        <w:t xml:space="preserve"> of the other NEOs’ target total compensation is variable and at-risk, with </w:t>
      </w:r>
      <w:r>
        <w:rPr>
          <w:rFonts w:ascii="Arial" w:cs="Arial" w:eastAsia="Arial" w:hAnsi="Arial"/>
          <w:sz w:val="16"/>
          <w:szCs w:val="16"/>
          <w:b w:val="1"/>
          <w:bCs w:val="1"/>
          <w:color w:val="0E1020"/>
        </w:rPr>
        <w:t>79%</w:t>
      </w:r>
      <w:r>
        <w:rPr>
          <w:rFonts w:ascii="Arial" w:cs="Arial" w:eastAsia="Arial" w:hAnsi="Arial"/>
          <w:sz w:val="16"/>
          <w:szCs w:val="16"/>
          <w:color w:val="0E1020"/>
        </w:rPr>
        <w:t xml:space="preserve"> for the CFO and </w:t>
      </w:r>
      <w:r>
        <w:rPr>
          <w:rFonts w:ascii="Arial" w:cs="Arial" w:eastAsia="Arial" w:hAnsi="Arial"/>
          <w:sz w:val="16"/>
          <w:szCs w:val="16"/>
          <w:b w:val="1"/>
          <w:bCs w:val="1"/>
          <w:color w:val="0E1020"/>
        </w:rPr>
        <w:t>59%</w:t>
      </w:r>
      <w:r>
        <w:rPr>
          <w:rFonts w:ascii="Arial" w:cs="Arial" w:eastAsia="Arial" w:hAnsi="Arial"/>
          <w:sz w:val="16"/>
          <w:szCs w:val="16"/>
          <w:color w:val="0E1020"/>
        </w:rPr>
        <w:t xml:space="preserve"> for the other NEOs being performance-based and subject to achievement of meaningful pre-set, objective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1075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07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59</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type w:val="continuous"/>
        </w:sectPr>
      </w:pPr>
    </w:p>
    <w:bookmarkStart w:id="67" w:name="page68"/>
    <w:bookmarkEnd w:id="67"/>
    <w:p>
      <w:pPr>
        <w:spacing w:after="0"/>
        <w:tabs>
          <w:tab w:leader="none" w:pos="10080" w:val="left"/>
        </w:tabs>
        <w:rPr>
          <w:sz w:val="20"/>
          <w:szCs w:val="20"/>
          <w:color w:val="auto"/>
        </w:rPr>
      </w:pPr>
      <w:r>
        <w:rPr>
          <w:rFonts w:ascii="Arial" w:cs="Arial" w:eastAsia="Arial" w:hAnsi="Arial"/>
          <w:sz w:val="14"/>
          <w:szCs w:val="14"/>
          <w:color w:val="auto"/>
        </w:rPr>
        <w:t>Executive Compensation</w:t>
      </w:r>
      <w:r>
        <w:rPr>
          <w:sz w:val="20"/>
          <w:szCs w:val="20"/>
          <w:color w:val="auto"/>
        </w:rPr>
        <w:tab/>
      </w:r>
      <w:r>
        <w:rPr>
          <w:rFonts w:ascii="Arial" w:cs="Arial" w:eastAsia="Arial" w:hAnsi="Arial"/>
          <w:sz w:val="13"/>
          <w:szCs w:val="13"/>
          <w:u w:val="single" w:color="auto"/>
          <w:color w:val="0000FF"/>
        </w:rPr>
        <w:t>Table of Contents</w:t>
      </w:r>
    </w:p>
    <w:p>
      <w:pPr>
        <w:sectPr>
          <w:pgSz w:w="11900" w:h="16838" w:orient="portrait"/>
          <w:cols w:equalWidth="0" w:num="1">
            <w:col w:w="11200"/>
          </w:cols>
          <w:pgMar w:left="340" w:top="22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0" w:right="764"/>
        <w:spacing w:after="0" w:line="301" w:lineRule="auto"/>
        <w:rPr>
          <w:sz w:val="20"/>
          <w:szCs w:val="20"/>
          <w:color w:val="auto"/>
        </w:rPr>
      </w:pPr>
      <w:r>
        <w:rPr>
          <w:rFonts w:ascii="Times New Roman" w:cs="Times New Roman" w:eastAsia="Times New Roman" w:hAnsi="Times New Roman"/>
          <w:sz w:val="16"/>
          <w:szCs w:val="16"/>
          <w:b w:val="1"/>
          <w:bCs w:val="1"/>
          <w:color w:val="0E1020"/>
        </w:rPr>
        <w:t>LONG-TERM INCENTIVE EQUITY: MAJORITY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-917575</wp:posOffset>
            </wp:positionV>
            <wp:extent cx="1157605" cy="10896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157605" cy="1089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276" w:hanging="276"/>
        <w:spacing w:after="0"/>
        <w:tabs>
          <w:tab w:leader="none" w:pos="276" w:val="left"/>
        </w:tabs>
        <w:numPr>
          <w:ilvl w:val="0"/>
          <w:numId w:val="58"/>
        </w:numPr>
        <w:rPr>
          <w:rFonts w:ascii="Arial" w:cs="Arial" w:eastAsia="Arial" w:hAnsi="Arial"/>
          <w:sz w:val="16"/>
          <w:szCs w:val="16"/>
          <w:color w:val="0E1020"/>
        </w:rPr>
      </w:pPr>
      <w:r>
        <w:rPr>
          <w:rFonts w:ascii="Arial" w:cs="Arial" w:eastAsia="Arial" w:hAnsi="Arial"/>
          <w:sz w:val="16"/>
          <w:szCs w:val="16"/>
          <w:color w:val="0E1020"/>
        </w:rPr>
        <w:t>Majority of CEO and NEO long-term incentive equity awards are performance-based.</w:t>
      </w:r>
    </w:p>
    <w:p>
      <w:pPr>
        <w:spacing w:after="0" w:line="124" w:lineRule="exact"/>
        <w:rPr>
          <w:rFonts w:ascii="Arial" w:cs="Arial" w:eastAsia="Arial" w:hAnsi="Arial"/>
          <w:sz w:val="16"/>
          <w:szCs w:val="16"/>
          <w:color w:val="0E1020"/>
        </w:rPr>
      </w:pPr>
    </w:p>
    <w:p>
      <w:pPr>
        <w:ind w:left="316" w:right="380" w:hanging="316"/>
        <w:spacing w:after="0" w:line="335" w:lineRule="auto"/>
        <w:tabs>
          <w:tab w:leader="none" w:pos="278" w:val="left"/>
        </w:tabs>
        <w:numPr>
          <w:ilvl w:val="0"/>
          <w:numId w:val="58"/>
        </w:numPr>
        <w:rPr>
          <w:rFonts w:ascii="Arial" w:cs="Arial" w:eastAsia="Arial" w:hAnsi="Arial"/>
          <w:sz w:val="16"/>
          <w:szCs w:val="16"/>
          <w:color w:val="0E1020"/>
        </w:rPr>
      </w:pPr>
      <w:r>
        <w:rPr>
          <w:rFonts w:ascii="Arial" w:cs="Arial" w:eastAsia="Arial" w:hAnsi="Arial"/>
          <w:sz w:val="16"/>
          <w:szCs w:val="16"/>
          <w:color w:val="0E1020"/>
        </w:rPr>
        <w:t xml:space="preserve">Overall, </w:t>
      </w:r>
      <w:r>
        <w:rPr>
          <w:rFonts w:ascii="Arial" w:cs="Arial" w:eastAsia="Arial" w:hAnsi="Arial"/>
          <w:sz w:val="16"/>
          <w:szCs w:val="16"/>
          <w:b w:val="1"/>
          <w:bCs w:val="1"/>
          <w:color w:val="0E1020"/>
        </w:rPr>
        <w:t>74%</w:t>
      </w:r>
      <w:r>
        <w:rPr>
          <w:rFonts w:ascii="Arial" w:cs="Arial" w:eastAsia="Arial" w:hAnsi="Arial"/>
          <w:sz w:val="16"/>
          <w:szCs w:val="16"/>
          <w:color w:val="0E1020"/>
        </w:rPr>
        <w:t xml:space="preserve"> (delivered in </w:t>
      </w:r>
      <w:r>
        <w:rPr>
          <w:rFonts w:ascii="Arial" w:cs="Arial" w:eastAsia="Arial" w:hAnsi="Arial"/>
          <w:sz w:val="16"/>
          <w:szCs w:val="16"/>
          <w:b w:val="1"/>
          <w:bCs w:val="1"/>
          <w:color w:val="0E1020"/>
        </w:rPr>
        <w:t>85% PSUs</w:t>
      </w:r>
      <w:r>
        <w:rPr>
          <w:rFonts w:ascii="Arial" w:cs="Arial" w:eastAsia="Arial" w:hAnsi="Arial"/>
          <w:sz w:val="16"/>
          <w:szCs w:val="16"/>
          <w:color w:val="0E1020"/>
        </w:rPr>
        <w:t xml:space="preserve"> and 15% RSUs) of our CEO’s target compensation is allocated to long-term incentive equity.*</w:t>
      </w:r>
    </w:p>
    <w:p>
      <w:pPr>
        <w:spacing w:after="0" w:line="35" w:lineRule="exact"/>
        <w:rPr>
          <w:rFonts w:ascii="Arial" w:cs="Arial" w:eastAsia="Arial" w:hAnsi="Arial"/>
          <w:sz w:val="16"/>
          <w:szCs w:val="16"/>
          <w:color w:val="0E1020"/>
        </w:rPr>
      </w:pPr>
    </w:p>
    <w:p>
      <w:pPr>
        <w:ind w:left="316" w:right="220" w:hanging="316"/>
        <w:spacing w:after="0" w:line="313" w:lineRule="auto"/>
        <w:tabs>
          <w:tab w:leader="none" w:pos="278" w:val="left"/>
        </w:tabs>
        <w:numPr>
          <w:ilvl w:val="0"/>
          <w:numId w:val="58"/>
        </w:numPr>
        <w:rPr>
          <w:rFonts w:ascii="Arial" w:cs="Arial" w:eastAsia="Arial" w:hAnsi="Arial"/>
          <w:sz w:val="16"/>
          <w:szCs w:val="16"/>
          <w:color w:val="0E1020"/>
        </w:rPr>
      </w:pPr>
      <w:r>
        <w:rPr>
          <w:rFonts w:ascii="Arial" w:cs="Arial" w:eastAsia="Arial" w:hAnsi="Arial"/>
          <w:sz w:val="16"/>
          <w:szCs w:val="16"/>
          <w:color w:val="0E1020"/>
        </w:rPr>
        <w:t xml:space="preserve">Approximately </w:t>
      </w:r>
      <w:r>
        <w:rPr>
          <w:rFonts w:ascii="Arial" w:cs="Arial" w:eastAsia="Arial" w:hAnsi="Arial"/>
          <w:sz w:val="16"/>
          <w:szCs w:val="16"/>
          <w:b w:val="1"/>
          <w:bCs w:val="1"/>
          <w:color w:val="0E1020"/>
        </w:rPr>
        <w:t>79%</w:t>
      </w:r>
      <w:r>
        <w:rPr>
          <w:rFonts w:ascii="Arial" w:cs="Arial" w:eastAsia="Arial" w:hAnsi="Arial"/>
          <w:sz w:val="16"/>
          <w:szCs w:val="16"/>
          <w:color w:val="0E1020"/>
        </w:rPr>
        <w:t xml:space="preserve"> of the CFO’s and an average of approximately </w:t>
      </w:r>
      <w:r>
        <w:rPr>
          <w:rFonts w:ascii="Arial" w:cs="Arial" w:eastAsia="Arial" w:hAnsi="Arial"/>
          <w:sz w:val="16"/>
          <w:szCs w:val="16"/>
          <w:b w:val="1"/>
          <w:bCs w:val="1"/>
          <w:color w:val="0E1020"/>
        </w:rPr>
        <w:t>73%</w:t>
      </w:r>
      <w:r>
        <w:rPr>
          <w:rFonts w:ascii="Arial" w:cs="Arial" w:eastAsia="Arial" w:hAnsi="Arial"/>
          <w:sz w:val="16"/>
          <w:szCs w:val="16"/>
          <w:color w:val="0E1020"/>
        </w:rPr>
        <w:t xml:space="preserve"> of the other NEOs’ fiscal 2026 target compensation is allocated to long-term incentive equity (delivered in </w:t>
      </w:r>
      <w:r>
        <w:rPr>
          <w:rFonts w:ascii="Arial" w:cs="Arial" w:eastAsia="Arial" w:hAnsi="Arial"/>
          <w:sz w:val="16"/>
          <w:szCs w:val="16"/>
          <w:b w:val="1"/>
          <w:bCs w:val="1"/>
          <w:color w:val="0E1020"/>
        </w:rPr>
        <w:t>85% PSUs</w:t>
      </w:r>
      <w:r>
        <w:rPr>
          <w:rFonts w:ascii="Arial" w:cs="Arial" w:eastAsia="Arial" w:hAnsi="Arial"/>
          <w:sz w:val="16"/>
          <w:szCs w:val="16"/>
          <w:color w:val="0E1020"/>
        </w:rPr>
        <w:t xml:space="preserve"> and 15% RSUs for the CFO and </w:t>
      </w:r>
      <w:r>
        <w:rPr>
          <w:rFonts w:ascii="Arial" w:cs="Arial" w:eastAsia="Arial" w:hAnsi="Arial"/>
          <w:sz w:val="16"/>
          <w:szCs w:val="16"/>
          <w:b w:val="1"/>
          <w:bCs w:val="1"/>
          <w:color w:val="0E1020"/>
        </w:rPr>
        <w:t>60% PSUs</w:t>
      </w:r>
      <w:r>
        <w:rPr>
          <w:rFonts w:ascii="Arial" w:cs="Arial" w:eastAsia="Arial" w:hAnsi="Arial"/>
          <w:sz w:val="16"/>
          <w:szCs w:val="16"/>
          <w:color w:val="0E1020"/>
        </w:rPr>
        <w:t xml:space="preserve"> and 40% RSUs for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-2016760</wp:posOffset>
            </wp:positionH>
            <wp:positionV relativeFrom="paragraph">
              <wp:posOffset>326390</wp:posOffset>
            </wp:positionV>
            <wp:extent cx="71075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075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4" w:space="720"/>
            <w:col w:w="8036"/>
          </w:cols>
          <w:pgMar w:left="340" w:top="22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0E1020"/>
        </w:rPr>
        <w:t>SHORT-TERM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-301625</wp:posOffset>
            </wp:positionV>
            <wp:extent cx="953135" cy="22301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53135" cy="2230120"/>
                    </a:xfrm>
                    <a:prstGeom prst="rect">
                      <a:avLst/>
                    </a:prstGeom>
                    <a:noFill/>
                  </pic:spPr>
                </pic:pic>
              </a:graphicData>
            </a:graphic>
          </wp:anchor>
        </w:drawing>
      </w:r>
    </w:p>
    <w:p>
      <w:pPr>
        <w:spacing w:after="0" w:line="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0E1020"/>
        </w:rPr>
        <w:t>ANNUAL CASH</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0E1020"/>
        </w:rPr>
        <w:t>INCENTIVE:</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0E1020"/>
        </w:rPr>
        <w:t>PAYOUTS</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0E1020"/>
        </w:rPr>
        <w:t>BASED ON</w:t>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0E1020"/>
        </w:rPr>
        <w:t>PERFORMANCE</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0E1020"/>
        </w:rPr>
        <w:t>AGAINST</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0E1020"/>
        </w:rPr>
        <w:t>RIGOROUS</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0E1020"/>
        </w:rPr>
        <w:t>GOALS AND</w:t>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0E1020"/>
        </w:rPr>
        <w:t>USING</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0E1020"/>
        </w:rPr>
        <w:t>OBJECTIVE</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0E1020"/>
        </w:rPr>
        <w:t>MEASURES</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0E1020"/>
        </w:rPr>
        <w:t>ONLY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76" w:hanging="276"/>
        <w:spacing w:after="0"/>
        <w:tabs>
          <w:tab w:leader="none" w:pos="276" w:val="left"/>
        </w:tabs>
        <w:numPr>
          <w:ilvl w:val="0"/>
          <w:numId w:val="59"/>
        </w:numPr>
        <w:rPr>
          <w:rFonts w:ascii="Arial" w:cs="Arial" w:eastAsia="Arial" w:hAnsi="Arial"/>
          <w:sz w:val="16"/>
          <w:szCs w:val="16"/>
          <w:color w:val="0E1020"/>
        </w:rPr>
      </w:pPr>
      <w:r>
        <w:rPr>
          <w:rFonts w:ascii="Arial" w:cs="Arial" w:eastAsia="Arial" w:hAnsi="Arial"/>
          <w:sz w:val="16"/>
          <w:szCs w:val="16"/>
          <w:color w:val="0E1020"/>
        </w:rPr>
        <w:t xml:space="preserve">Fiscal 2026 Adjusted EBIT Margin %, with </w:t>
      </w:r>
      <w:r>
        <w:rPr>
          <w:rFonts w:ascii="Arial" w:cs="Arial" w:eastAsia="Arial" w:hAnsi="Arial"/>
          <w:sz w:val="16"/>
          <w:szCs w:val="16"/>
          <w:b w:val="1"/>
          <w:bCs w:val="1"/>
          <w:color w:val="0E1020"/>
        </w:rPr>
        <w:t>50%</w:t>
      </w:r>
      <w:r>
        <w:rPr>
          <w:rFonts w:ascii="Arial" w:cs="Arial" w:eastAsia="Arial" w:hAnsi="Arial"/>
          <w:sz w:val="16"/>
          <w:szCs w:val="16"/>
          <w:color w:val="0E1020"/>
        </w:rPr>
        <w:t xml:space="preserve"> weighting</w:t>
      </w:r>
    </w:p>
    <w:p>
      <w:pPr>
        <w:spacing w:after="0" w:line="137" w:lineRule="exact"/>
        <w:rPr>
          <w:rFonts w:ascii="Arial" w:cs="Arial" w:eastAsia="Arial" w:hAnsi="Arial"/>
          <w:sz w:val="16"/>
          <w:szCs w:val="16"/>
          <w:color w:val="0E1020"/>
        </w:rPr>
      </w:pPr>
    </w:p>
    <w:p>
      <w:pPr>
        <w:ind w:left="276" w:hanging="276"/>
        <w:spacing w:after="0"/>
        <w:tabs>
          <w:tab w:leader="none" w:pos="276" w:val="left"/>
        </w:tabs>
        <w:numPr>
          <w:ilvl w:val="0"/>
          <w:numId w:val="59"/>
        </w:numPr>
        <w:rPr>
          <w:rFonts w:ascii="Arial" w:cs="Arial" w:eastAsia="Arial" w:hAnsi="Arial"/>
          <w:sz w:val="16"/>
          <w:szCs w:val="16"/>
          <w:color w:val="0E1020"/>
        </w:rPr>
      </w:pPr>
      <w:r>
        <w:rPr>
          <w:rFonts w:ascii="Arial" w:cs="Arial" w:eastAsia="Arial" w:hAnsi="Arial"/>
          <w:sz w:val="16"/>
          <w:szCs w:val="16"/>
          <w:color w:val="0E1020"/>
        </w:rPr>
        <w:t xml:space="preserve">Fiscal 2026 Organic Revenue Growth %, with </w:t>
      </w:r>
      <w:r>
        <w:rPr>
          <w:rFonts w:ascii="Arial" w:cs="Arial" w:eastAsia="Arial" w:hAnsi="Arial"/>
          <w:sz w:val="16"/>
          <w:szCs w:val="16"/>
          <w:b w:val="1"/>
          <w:bCs w:val="1"/>
          <w:color w:val="0E1020"/>
        </w:rPr>
        <w:t>50%</w:t>
      </w:r>
      <w:r>
        <w:rPr>
          <w:rFonts w:ascii="Arial" w:cs="Arial" w:eastAsia="Arial" w:hAnsi="Arial"/>
          <w:sz w:val="16"/>
          <w:szCs w:val="16"/>
          <w:color w:val="0E1020"/>
        </w:rPr>
        <w:t xml:space="preserve"> weighting</w:t>
      </w:r>
    </w:p>
    <w:p>
      <w:pPr>
        <w:spacing w:after="0" w:line="124" w:lineRule="exact"/>
        <w:rPr>
          <w:rFonts w:ascii="Arial" w:cs="Arial" w:eastAsia="Arial" w:hAnsi="Arial"/>
          <w:sz w:val="16"/>
          <w:szCs w:val="16"/>
          <w:color w:val="0E1020"/>
        </w:rPr>
      </w:pPr>
    </w:p>
    <w:p>
      <w:pPr>
        <w:ind w:left="316" w:right="240" w:hanging="316"/>
        <w:spacing w:after="0" w:line="335" w:lineRule="auto"/>
        <w:tabs>
          <w:tab w:leader="none" w:pos="278" w:val="left"/>
        </w:tabs>
        <w:numPr>
          <w:ilvl w:val="0"/>
          <w:numId w:val="59"/>
        </w:numPr>
        <w:rPr>
          <w:rFonts w:ascii="Arial" w:cs="Arial" w:eastAsia="Arial" w:hAnsi="Arial"/>
          <w:sz w:val="16"/>
          <w:szCs w:val="16"/>
          <w:color w:val="0E1020"/>
        </w:rPr>
      </w:pPr>
      <w:r>
        <w:rPr>
          <w:rFonts w:ascii="Arial" w:cs="Arial" w:eastAsia="Arial" w:hAnsi="Arial"/>
          <w:sz w:val="16"/>
          <w:szCs w:val="16"/>
          <w:color w:val="0E1020"/>
        </w:rPr>
        <w:t>Equal weighting of Adjusted EBIT Margin % and Organic Revenue Growth % incentivizes management to focus both on top-line and bottom-line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-2016760</wp:posOffset>
            </wp:positionH>
            <wp:positionV relativeFrom="paragraph">
              <wp:posOffset>1751330</wp:posOffset>
            </wp:positionV>
            <wp:extent cx="71075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07555" cy="8255"/>
                    </a:xfrm>
                    <a:prstGeom prst="rect">
                      <a:avLst/>
                    </a:prstGeom>
                    <a:noFill/>
                  </pic:spPr>
                </pic:pic>
              </a:graphicData>
            </a:graphic>
          </wp:anchor>
        </w:drawing>
      </w:r>
    </w:p>
    <w:p>
      <w:pPr>
        <w:spacing w:after="0" w:line="2268" w:lineRule="exact"/>
        <w:rPr>
          <w:sz w:val="20"/>
          <w:szCs w:val="20"/>
          <w:color w:val="auto"/>
        </w:rPr>
      </w:pPr>
    </w:p>
    <w:p>
      <w:pPr>
        <w:sectPr>
          <w:pgSz w:w="11900" w:h="16838" w:orient="portrait"/>
          <w:cols w:equalWidth="0" w:num="2">
            <w:col w:w="2444" w:space="720"/>
            <w:col w:w="8036"/>
          </w:cols>
          <w:pgMar w:left="340" w:top="22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0E1020"/>
        </w:rPr>
        <w:t>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-301625</wp:posOffset>
            </wp:positionV>
            <wp:extent cx="979170" cy="15151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79170" cy="1515110"/>
                    </a:xfrm>
                    <a:prstGeom prst="rect">
                      <a:avLst/>
                    </a:prstGeom>
                    <a:noFill/>
                  </pic:spPr>
                </pic:pic>
              </a:graphicData>
            </a:graphic>
          </wp:anchor>
        </w:drawing>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0E1020"/>
        </w:rPr>
        <w:t>INCENTIVE</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0E1020"/>
        </w:rPr>
        <w:t>PAYOUTS</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b w:val="1"/>
          <w:bCs w:val="1"/>
          <w:color w:val="0E1020"/>
        </w:rPr>
        <w:t>BELOW TARGET</w:t>
      </w:r>
    </w:p>
    <w:p>
      <w:pPr>
        <w:spacing w:after="0" w:line="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0E1020"/>
        </w:rPr>
        <w:t>DEMONSTRATE</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0E1020"/>
        </w:rPr>
        <w:t>PAY FOR</w:t>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0E1020"/>
        </w:rPr>
        <w:t>PERFORMANCE</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0E1020"/>
        </w:rPr>
        <w:t>ALIGNMENT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16" w:right="100" w:hanging="316"/>
        <w:spacing w:after="0" w:line="302" w:lineRule="auto"/>
        <w:tabs>
          <w:tab w:leader="none" w:pos="278" w:val="left"/>
        </w:tabs>
        <w:numPr>
          <w:ilvl w:val="0"/>
          <w:numId w:val="60"/>
        </w:numPr>
        <w:rPr>
          <w:rFonts w:ascii="Arial" w:cs="Arial" w:eastAsia="Arial" w:hAnsi="Arial"/>
          <w:sz w:val="16"/>
          <w:szCs w:val="16"/>
          <w:color w:val="0E1020"/>
        </w:rPr>
      </w:pPr>
      <w:r>
        <w:rPr>
          <w:rFonts w:ascii="Arial" w:cs="Arial" w:eastAsia="Arial" w:hAnsi="Arial"/>
          <w:sz w:val="16"/>
          <w:szCs w:val="16"/>
          <w:color w:val="0E1020"/>
        </w:rPr>
        <w:t xml:space="preserve">In fiscal 2026, under the annual cash incentive plan, the Compensation Committee determined that the Company’s achievement for Adjusted EBIT Margin % resulted in 83% funding for the metric and achievement for Organic Revenue Growth % resulted in 72% funding for the metric, which were both below target performance but above threshold, resulting in a calculated payout of approximately </w:t>
      </w:r>
      <w:r>
        <w:rPr>
          <w:rFonts w:ascii="Arial" w:cs="Arial" w:eastAsia="Arial" w:hAnsi="Arial"/>
          <w:sz w:val="16"/>
          <w:szCs w:val="16"/>
          <w:b w:val="1"/>
          <w:bCs w:val="1"/>
          <w:color w:val="0E1020"/>
        </w:rPr>
        <w:t>77%</w:t>
      </w:r>
      <w:r>
        <w:rPr>
          <w:rFonts w:ascii="Arial" w:cs="Arial" w:eastAsia="Arial" w:hAnsi="Arial"/>
          <w:sz w:val="16"/>
          <w:szCs w:val="16"/>
          <w:color w:val="0E1020"/>
        </w:rPr>
        <w:t xml:space="preserve"> of target, demonstrating the alignment between pay and performance.</w:t>
      </w:r>
    </w:p>
    <w:p>
      <w:pPr>
        <w:spacing w:after="0" w:line="76" w:lineRule="exact"/>
        <w:rPr>
          <w:sz w:val="20"/>
          <w:szCs w:val="20"/>
          <w:color w:val="auto"/>
        </w:rPr>
      </w:pPr>
    </w:p>
    <w:tbl>
      <w:tblPr>
        <w:tblLayout w:type="fixed"/>
        <w:tblInd w:w="316" w:type="dxa"/>
        <w:tblCellMar>
          <w:top w:w="0" w:type="dxa"/>
          <w:left w:w="0" w:type="dxa"/>
          <w:bottom w:w="0" w:type="dxa"/>
          <w:right w:w="0" w:type="dxa"/>
        </w:tblCellMar>
      </w:tblPr>
      <w:tr>
        <w:trPr>
          <w:trHeight w:val="234"/>
        </w:trPr>
        <w:tc>
          <w:tcPr>
            <w:tcW w:w="3440" w:type="dxa"/>
            <w:vAlign w:val="bottom"/>
            <w:shd w:val="clear" w:color="auto" w:fill="F6F3F0"/>
          </w:tcPr>
          <w:p>
            <w:pPr>
              <w:ind w:left="100"/>
              <w:spacing w:after="0"/>
              <w:rPr>
                <w:sz w:val="20"/>
                <w:szCs w:val="20"/>
                <w:color w:val="auto"/>
              </w:rPr>
            </w:pPr>
            <w:r>
              <w:rPr>
                <w:rFonts w:ascii="Arial" w:cs="Arial" w:eastAsia="Arial" w:hAnsi="Arial"/>
                <w:sz w:val="13"/>
                <w:szCs w:val="13"/>
                <w:b w:val="1"/>
                <w:bCs w:val="1"/>
                <w:color w:val="0E1020"/>
              </w:rPr>
              <w:t>Award</w:t>
            </w:r>
          </w:p>
        </w:tc>
        <w:tc>
          <w:tcPr>
            <w:tcW w:w="1680" w:type="dxa"/>
            <w:vAlign w:val="bottom"/>
            <w:shd w:val="clear" w:color="auto" w:fill="F6F3F0"/>
          </w:tcPr>
          <w:p>
            <w:pPr>
              <w:ind w:left="100"/>
              <w:spacing w:after="0"/>
              <w:rPr>
                <w:sz w:val="20"/>
                <w:szCs w:val="20"/>
                <w:color w:val="auto"/>
              </w:rPr>
            </w:pPr>
            <w:r>
              <w:rPr>
                <w:rFonts w:ascii="Arial" w:cs="Arial" w:eastAsia="Arial" w:hAnsi="Arial"/>
                <w:sz w:val="13"/>
                <w:szCs w:val="13"/>
                <w:b w:val="1"/>
                <w:bCs w:val="1"/>
                <w:color w:val="0E1020"/>
              </w:rPr>
              <w:t>Achievement</w:t>
            </w:r>
          </w:p>
        </w:tc>
        <w:tc>
          <w:tcPr>
            <w:tcW w:w="1780" w:type="dxa"/>
            <w:vAlign w:val="bottom"/>
            <w:shd w:val="clear" w:color="auto" w:fill="F6F3F0"/>
          </w:tcPr>
          <w:p>
            <w:pPr>
              <w:ind w:left="100"/>
              <w:spacing w:after="0"/>
              <w:rPr>
                <w:sz w:val="20"/>
                <w:szCs w:val="20"/>
                <w:color w:val="auto"/>
              </w:rPr>
            </w:pPr>
            <w:r>
              <w:rPr>
                <w:rFonts w:ascii="Arial" w:cs="Arial" w:eastAsia="Arial" w:hAnsi="Arial"/>
                <w:sz w:val="13"/>
                <w:szCs w:val="13"/>
                <w:b w:val="1"/>
                <w:bCs w:val="1"/>
                <w:color w:val="0E1020"/>
              </w:rPr>
              <w:t>Payout</w:t>
            </w:r>
          </w:p>
        </w:tc>
      </w:tr>
      <w:tr>
        <w:trPr>
          <w:trHeight w:val="75"/>
        </w:trPr>
        <w:tc>
          <w:tcPr>
            <w:tcW w:w="3440" w:type="dxa"/>
            <w:vAlign w:val="bottom"/>
            <w:tcBorders>
              <w:bottom w:val="single" w:sz="8" w:color="CFCFD2"/>
            </w:tcBorders>
            <w:shd w:val="clear" w:color="auto" w:fill="F6F3F0"/>
          </w:tcPr>
          <w:p>
            <w:pPr>
              <w:spacing w:after="0"/>
              <w:rPr>
                <w:sz w:val="6"/>
                <w:szCs w:val="6"/>
                <w:color w:val="auto"/>
              </w:rPr>
            </w:pPr>
          </w:p>
        </w:tc>
        <w:tc>
          <w:tcPr>
            <w:tcW w:w="1680" w:type="dxa"/>
            <w:vAlign w:val="bottom"/>
            <w:tcBorders>
              <w:bottom w:val="single" w:sz="8" w:color="CFCFD2"/>
            </w:tcBorders>
            <w:shd w:val="clear" w:color="auto" w:fill="F6F3F0"/>
          </w:tcPr>
          <w:p>
            <w:pPr>
              <w:spacing w:after="0"/>
              <w:rPr>
                <w:sz w:val="6"/>
                <w:szCs w:val="6"/>
                <w:color w:val="auto"/>
              </w:rPr>
            </w:pPr>
          </w:p>
        </w:tc>
        <w:tc>
          <w:tcPr>
            <w:tcW w:w="1780" w:type="dxa"/>
            <w:vAlign w:val="bottom"/>
            <w:tcBorders>
              <w:bottom w:val="single" w:sz="8" w:color="CFCFD2"/>
            </w:tcBorders>
            <w:shd w:val="clear" w:color="auto" w:fill="F6F3F0"/>
          </w:tcPr>
          <w:p>
            <w:pPr>
              <w:spacing w:after="0"/>
              <w:rPr>
                <w:sz w:val="6"/>
                <w:szCs w:val="6"/>
                <w:color w:val="auto"/>
              </w:rPr>
            </w:pPr>
          </w:p>
        </w:tc>
      </w:tr>
      <w:tr>
        <w:trPr>
          <w:trHeight w:val="173"/>
        </w:trPr>
        <w:tc>
          <w:tcPr>
            <w:tcW w:w="3440" w:type="dxa"/>
            <w:vAlign w:val="bottom"/>
          </w:tcPr>
          <w:p>
            <w:pPr>
              <w:ind w:left="100"/>
              <w:spacing w:after="0"/>
              <w:rPr>
                <w:sz w:val="20"/>
                <w:szCs w:val="20"/>
                <w:color w:val="auto"/>
              </w:rPr>
            </w:pPr>
            <w:r>
              <w:rPr>
                <w:rFonts w:ascii="Arial" w:cs="Arial" w:eastAsia="Arial" w:hAnsi="Arial"/>
                <w:sz w:val="13"/>
                <w:szCs w:val="13"/>
                <w:color w:val="0E1020"/>
              </w:rPr>
              <w:t>STI: fiscal 2026 (Incentive Compensation Plan)</w:t>
            </w:r>
          </w:p>
        </w:tc>
        <w:tc>
          <w:tcPr>
            <w:tcW w:w="1680" w:type="dxa"/>
            <w:vAlign w:val="bottom"/>
          </w:tcPr>
          <w:p>
            <w:pPr>
              <w:ind w:left="100"/>
              <w:spacing w:after="0"/>
              <w:rPr>
                <w:sz w:val="20"/>
                <w:szCs w:val="20"/>
                <w:color w:val="auto"/>
              </w:rPr>
            </w:pPr>
            <w:r>
              <w:rPr>
                <w:rFonts w:ascii="Arial" w:cs="Arial" w:eastAsia="Arial" w:hAnsi="Arial"/>
                <w:sz w:val="13"/>
                <w:szCs w:val="13"/>
                <w:color w:val="0E1020"/>
              </w:rPr>
              <w:t>Below Target</w:t>
            </w:r>
          </w:p>
        </w:tc>
        <w:tc>
          <w:tcPr>
            <w:tcW w:w="1780" w:type="dxa"/>
            <w:vAlign w:val="bottom"/>
          </w:tcPr>
          <w:p>
            <w:pPr>
              <w:ind w:left="100"/>
              <w:spacing w:after="0"/>
              <w:rPr>
                <w:sz w:val="20"/>
                <w:szCs w:val="20"/>
                <w:color w:val="auto"/>
              </w:rPr>
            </w:pPr>
            <w:r>
              <w:rPr>
                <w:rFonts w:ascii="Arial" w:cs="Arial" w:eastAsia="Arial" w:hAnsi="Arial"/>
                <w:sz w:val="13"/>
                <w:szCs w:val="13"/>
                <w:b w:val="1"/>
                <w:bCs w:val="1"/>
                <w:color w:val="0E1020"/>
              </w:rPr>
              <w:t>77% Payout</w:t>
            </w:r>
          </w:p>
        </w:tc>
      </w:tr>
      <w:tr>
        <w:trPr>
          <w:trHeight w:val="21"/>
        </w:trPr>
        <w:tc>
          <w:tcPr>
            <w:tcW w:w="3440" w:type="dxa"/>
            <w:vAlign w:val="bottom"/>
            <w:tcBorders>
              <w:bottom w:val="single" w:sz="8" w:color="CFCFD2"/>
            </w:tcBorders>
          </w:tcPr>
          <w:p>
            <w:pPr>
              <w:spacing w:after="0" w:line="20" w:lineRule="exact"/>
              <w:rPr>
                <w:sz w:val="1"/>
                <w:szCs w:val="1"/>
                <w:color w:val="auto"/>
              </w:rPr>
            </w:pPr>
          </w:p>
        </w:tc>
        <w:tc>
          <w:tcPr>
            <w:tcW w:w="1680" w:type="dxa"/>
            <w:vAlign w:val="bottom"/>
            <w:tcBorders>
              <w:bottom w:val="single" w:sz="8" w:color="CFCFD2"/>
            </w:tcBorders>
          </w:tcPr>
          <w:p>
            <w:pPr>
              <w:spacing w:after="0" w:line="20" w:lineRule="exact"/>
              <w:rPr>
                <w:sz w:val="1"/>
                <w:szCs w:val="1"/>
                <w:color w:val="auto"/>
              </w:rPr>
            </w:pPr>
          </w:p>
        </w:tc>
        <w:tc>
          <w:tcPr>
            <w:tcW w:w="1780" w:type="dxa"/>
            <w:vAlign w:val="bottom"/>
            <w:tcBorders>
              <w:bottom w:val="single" w:sz="8" w:color="CFCFD2"/>
            </w:tcBorders>
          </w:tcPr>
          <w:p>
            <w:pPr>
              <w:spacing w:after="0" w:line="20" w:lineRule="exact"/>
              <w:rPr>
                <w:sz w:val="1"/>
                <w:szCs w:val="1"/>
                <w:color w:val="auto"/>
              </w:rPr>
            </w:pPr>
          </w:p>
        </w:tc>
      </w:tr>
    </w:tbl>
    <w:p>
      <w:pPr>
        <w:spacing w:after="0" w:line="187" w:lineRule="exact"/>
        <w:rPr>
          <w:sz w:val="20"/>
          <w:szCs w:val="20"/>
          <w:color w:val="auto"/>
        </w:rPr>
      </w:pPr>
    </w:p>
    <w:p>
      <w:pPr>
        <w:ind w:left="316" w:right="440" w:hanging="316"/>
        <w:spacing w:after="0" w:line="313" w:lineRule="auto"/>
        <w:tabs>
          <w:tab w:leader="none" w:pos="278" w:val="left"/>
        </w:tabs>
        <w:numPr>
          <w:ilvl w:val="0"/>
          <w:numId w:val="61"/>
        </w:numPr>
        <w:rPr>
          <w:rFonts w:ascii="Arial" w:cs="Arial" w:eastAsia="Arial" w:hAnsi="Arial"/>
          <w:sz w:val="16"/>
          <w:szCs w:val="16"/>
          <w:color w:val="0E1020"/>
        </w:rPr>
      </w:pPr>
      <w:r>
        <w:rPr>
          <w:rFonts w:ascii="Arial" w:cs="Arial" w:eastAsia="Arial" w:hAnsi="Arial"/>
          <w:sz w:val="16"/>
          <w:szCs w:val="16"/>
          <w:color w:val="0E1020"/>
        </w:rPr>
        <w:t xml:space="preserve">Further underscoring the pay and performance alignment, actual annual incentive payouts for all NEOs were based on Company financial performance with </w:t>
      </w:r>
      <w:r>
        <w:rPr>
          <w:rFonts w:ascii="Arial" w:cs="Arial" w:eastAsia="Arial" w:hAnsi="Arial"/>
          <w:sz w:val="16"/>
          <w:szCs w:val="16"/>
          <w:b w:val="1"/>
          <w:bCs w:val="1"/>
          <w:color w:val="0E1020"/>
        </w:rPr>
        <w:t>no positive subjective discretion applied to</w:t>
      </w:r>
      <w:r>
        <w:rPr>
          <w:rFonts w:ascii="Arial" w:cs="Arial" w:eastAsia="Arial" w:hAnsi="Arial"/>
          <w:sz w:val="16"/>
          <w:szCs w:val="16"/>
          <w:color w:val="0E1020"/>
        </w:rPr>
        <w:t xml:space="preserve"> </w:t>
      </w:r>
      <w:r>
        <w:rPr>
          <w:rFonts w:ascii="Arial" w:cs="Arial" w:eastAsia="Arial" w:hAnsi="Arial"/>
          <w:sz w:val="16"/>
          <w:szCs w:val="16"/>
          <w:b w:val="1"/>
          <w:bCs w:val="1"/>
          <w:color w:val="0E1020"/>
        </w:rPr>
        <w:t xml:space="preserve">increase any NEOs’ </w:t>
      </w:r>
      <w:r>
        <w:rPr>
          <w:rFonts w:ascii="Arial" w:cs="Arial" w:eastAsia="Arial" w:hAnsi="Arial"/>
          <w:sz w:val="16"/>
          <w:szCs w:val="16"/>
          <w:color w:val="0E1020"/>
        </w:rPr>
        <w:t>final annual cash incentive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-2016760</wp:posOffset>
            </wp:positionH>
            <wp:positionV relativeFrom="paragraph">
              <wp:posOffset>190500</wp:posOffset>
            </wp:positionV>
            <wp:extent cx="71075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075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4" w:space="720"/>
            <w:col w:w="8036"/>
          </w:cols>
          <w:pgMar w:left="340" w:top="22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5500" w:val="left"/>
          <w:tab w:leader="none" w:pos="946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60</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146050</wp:posOffset>
            </wp:positionV>
            <wp:extent cx="715899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224" w:right="359" w:bottom="1440" w:gutter="0" w:footer="0" w:header="0"/>
          <w:type w:val="continuous"/>
        </w:sectPr>
      </w:pPr>
    </w:p>
    <w:bookmarkStart w:id="68" w:name="page69"/>
    <w:bookmarkEnd w:id="68"/>
    <w:p>
      <w:pPr>
        <w:ind w:left="20"/>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372110</wp:posOffset>
            </wp:positionV>
            <wp:extent cx="944880" cy="9448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944880" cy="94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0E1020"/>
        </w:rPr>
        <w:t>PEER GROUP:</w:t>
      </w:r>
    </w:p>
    <w:p>
      <w:pPr>
        <w:spacing w:after="0" w:line="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0E1020"/>
        </w:rPr>
        <w:t>APPROPRIATE</w:t>
      </w:r>
    </w:p>
    <w:p>
      <w:pPr>
        <w:spacing w:after="0" w:line="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0E1020"/>
        </w:rPr>
        <w:t>PEER GROUP</w:t>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0E1020"/>
        </w:rPr>
        <w:t>TO REFERENCE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auto"/>
        </w:rPr>
        <w:t>Executive Compensation</w:t>
      </w:r>
    </w:p>
    <w:p>
      <w:pPr>
        <w:spacing w:after="0" w:line="200" w:lineRule="exact"/>
        <w:rPr>
          <w:sz w:val="20"/>
          <w:szCs w:val="20"/>
          <w:color w:val="auto"/>
        </w:rPr>
      </w:pPr>
    </w:p>
    <w:p>
      <w:pPr>
        <w:spacing w:after="0" w:line="358" w:lineRule="exact"/>
        <w:rPr>
          <w:sz w:val="20"/>
          <w:szCs w:val="20"/>
          <w:color w:val="auto"/>
        </w:rPr>
      </w:pPr>
    </w:p>
    <w:p>
      <w:pPr>
        <w:jc w:val="both"/>
        <w:ind w:left="320" w:right="180" w:hanging="316"/>
        <w:spacing w:after="0" w:line="316" w:lineRule="auto"/>
        <w:tabs>
          <w:tab w:leader="none" w:pos="282" w:val="left"/>
        </w:tabs>
        <w:numPr>
          <w:ilvl w:val="0"/>
          <w:numId w:val="62"/>
        </w:numPr>
        <w:rPr>
          <w:rFonts w:ascii="Arial" w:cs="Arial" w:eastAsia="Arial" w:hAnsi="Arial"/>
          <w:sz w:val="16"/>
          <w:szCs w:val="16"/>
          <w:color w:val="0E1020"/>
        </w:rPr>
      </w:pPr>
      <w:r>
        <w:rPr>
          <w:rFonts w:ascii="Arial" w:cs="Arial" w:eastAsia="Arial" w:hAnsi="Arial"/>
          <w:sz w:val="16"/>
          <w:szCs w:val="16"/>
          <w:color w:val="0E1020"/>
        </w:rPr>
        <w:t>Each year, the Compensation Committee, with the assistance of its independent compensation consultant, reviews the peer group of comparable companies to use as a reference point in connection with executive compensation decisions.</w:t>
      </w:r>
    </w:p>
    <w:p>
      <w:pPr>
        <w:spacing w:after="0" w:line="37" w:lineRule="exact"/>
        <w:rPr>
          <w:rFonts w:ascii="Arial" w:cs="Arial" w:eastAsia="Arial" w:hAnsi="Arial"/>
          <w:sz w:val="16"/>
          <w:szCs w:val="16"/>
          <w:color w:val="0E1020"/>
        </w:rPr>
      </w:pPr>
    </w:p>
    <w:p>
      <w:pPr>
        <w:ind w:left="320" w:right="100" w:hanging="316"/>
        <w:spacing w:after="0" w:line="335" w:lineRule="auto"/>
        <w:tabs>
          <w:tab w:leader="none" w:pos="282" w:val="left"/>
        </w:tabs>
        <w:numPr>
          <w:ilvl w:val="0"/>
          <w:numId w:val="62"/>
        </w:numPr>
        <w:rPr>
          <w:rFonts w:ascii="Arial" w:cs="Arial" w:eastAsia="Arial" w:hAnsi="Arial"/>
          <w:sz w:val="16"/>
          <w:szCs w:val="16"/>
          <w:color w:val="0E1020"/>
        </w:rPr>
      </w:pPr>
      <w:r>
        <w:rPr>
          <w:rFonts w:ascii="Arial" w:cs="Arial" w:eastAsia="Arial" w:hAnsi="Arial"/>
          <w:sz w:val="16"/>
          <w:szCs w:val="16"/>
          <w:color w:val="0E1020"/>
        </w:rPr>
        <w:t>In determining the peer group, the criteria of competitors for talent, revenues and headcount are given more weight in the Compensation Committee’s determination than market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-2014220</wp:posOffset>
            </wp:positionH>
            <wp:positionV relativeFrom="paragraph">
              <wp:posOffset>372110</wp:posOffset>
            </wp:positionV>
            <wp:extent cx="71075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075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720"/>
            <w:col w:w="8040"/>
          </w:cols>
          <w:pgMar w:left="320" w:top="22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right="40" w:hanging="313"/>
        <w:spacing w:after="0" w:line="251" w:lineRule="auto"/>
        <w:tabs>
          <w:tab w:leader="none" w:pos="295" w:val="left"/>
        </w:tabs>
        <w:numPr>
          <w:ilvl w:val="0"/>
          <w:numId w:val="63"/>
        </w:numPr>
        <w:rPr>
          <w:rFonts w:ascii="Arial" w:cs="Arial" w:eastAsia="Arial" w:hAnsi="Arial"/>
          <w:sz w:val="14"/>
          <w:szCs w:val="14"/>
          <w:color w:val="0E1020"/>
        </w:rPr>
      </w:pPr>
      <w:r>
        <w:rPr>
          <w:rFonts w:ascii="Arial" w:cs="Arial" w:eastAsia="Arial" w:hAnsi="Arial"/>
          <w:sz w:val="14"/>
          <w:szCs w:val="14"/>
          <w:color w:val="0E1020"/>
        </w:rPr>
        <w:t xml:space="preserve">All percentages are rounded to the nearest whole percentage number for the above CEO and NEO pay analysis &amp; represent annualized long-term incentive equity for </w:t>
      </w:r>
      <w:r>
        <w:rPr>
          <w:rFonts w:ascii="Arial" w:cs="Arial" w:eastAsia="Arial" w:hAnsi="Arial"/>
          <w:sz w:val="16"/>
          <w:szCs w:val="16"/>
          <w:color w:val="0E1020"/>
        </w:rPr>
        <w:t>the</w:t>
      </w:r>
      <w:r>
        <w:rPr>
          <w:rFonts w:ascii="Arial" w:cs="Arial" w:eastAsia="Arial" w:hAnsi="Arial"/>
          <w:sz w:val="14"/>
          <w:szCs w:val="14"/>
          <w:color w:val="0E1020"/>
        </w:rPr>
        <w:t xml:space="preserve"> </w:t>
      </w:r>
      <w:r>
        <w:rPr>
          <w:rFonts w:ascii="Arial" w:cs="Arial" w:eastAsia="Arial" w:hAnsi="Arial"/>
          <w:sz w:val="16"/>
          <w:szCs w:val="16"/>
          <w:color w:val="0E1020"/>
        </w:rPr>
        <w:t>fisca</w:t>
      </w:r>
      <w:r>
        <w:rPr>
          <w:rFonts w:ascii="Arial" w:cs="Arial" w:eastAsia="Arial" w:hAnsi="Arial"/>
          <w:sz w:val="14"/>
          <w:szCs w:val="14"/>
          <w:color w:val="0E1020"/>
        </w:rPr>
        <w:t>l 2026 CEO and CFO front-loaded annual equity grants that were forwardly disclosed in the fiscal 2025 Proxy Statement and discussed further below in this fiscal 2026</w:t>
      </w:r>
      <w:r>
        <w:rPr>
          <w:rFonts w:ascii="Arial" w:cs="Arial" w:eastAsia="Arial" w:hAnsi="Arial"/>
          <w:sz w:val="16"/>
          <w:szCs w:val="16"/>
          <w:color w:val="0E1020"/>
        </w:rPr>
        <w:t xml:space="preserve"> </w:t>
      </w:r>
      <w:r>
        <w:rPr>
          <w:rFonts w:ascii="Arial" w:cs="Arial" w:eastAsia="Arial" w:hAnsi="Arial"/>
          <w:sz w:val="14"/>
          <w:szCs w:val="14"/>
          <w:color w:val="0E1020"/>
        </w:rPr>
        <w:t>CD&amp;A.</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Pay Outcomes Demonstrate Pay for Performance Alignment: Realized Pay</w:t>
      </w:r>
    </w:p>
    <w:p>
      <w:pPr>
        <w:spacing w:after="0" w:line="133" w:lineRule="exact"/>
        <w:rPr>
          <w:sz w:val="20"/>
          <w:szCs w:val="20"/>
          <w:color w:val="auto"/>
        </w:rPr>
      </w:pPr>
    </w:p>
    <w:p>
      <w:pPr>
        <w:ind w:right="540"/>
        <w:spacing w:after="0" w:line="307" w:lineRule="auto"/>
        <w:rPr>
          <w:sz w:val="20"/>
          <w:szCs w:val="20"/>
          <w:color w:val="auto"/>
        </w:rPr>
      </w:pPr>
      <w:r>
        <w:rPr>
          <w:rFonts w:ascii="Arial" w:cs="Arial" w:eastAsia="Arial" w:hAnsi="Arial"/>
          <w:sz w:val="16"/>
          <w:szCs w:val="16"/>
          <w:color w:val="0E1020"/>
        </w:rPr>
        <w:t>A substantial proportion of our CEO’s pay is performance-based and at-risk. If the Company does not meet performance targets and/or our stock price decreases (or, conversely, if goals are achieved and/or our stock price increases), the value of our CEO’s pay is affected, underscoring the pay for performance nature of our executive compensation program.</w:t>
      </w:r>
    </w:p>
    <w:p>
      <w:pPr>
        <w:spacing w:after="0" w:line="58"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0E1020"/>
        </w:rPr>
        <w:t xml:space="preserve">To illustrate this alignment of pay outcomes with performance, the chart below contrasts values reported in the Summary Compensation Table under SEC reporting rules, which uses the </w:t>
      </w:r>
      <w:r>
        <w:rPr>
          <w:rFonts w:ascii="Arial" w:cs="Arial" w:eastAsia="Arial" w:hAnsi="Arial"/>
          <w:sz w:val="16"/>
          <w:szCs w:val="16"/>
          <w:b w:val="1"/>
          <w:bCs w:val="1"/>
          <w:color w:val="0E1020"/>
        </w:rPr>
        <w:t>accounting grant date fair value</w:t>
      </w:r>
      <w:r>
        <w:rPr>
          <w:rFonts w:ascii="Arial" w:cs="Arial" w:eastAsia="Arial" w:hAnsi="Arial"/>
          <w:sz w:val="16"/>
          <w:szCs w:val="16"/>
          <w:color w:val="0E1020"/>
        </w:rPr>
        <w:t xml:space="preserve"> of equity grants, with the value of CEO compensation that was </w:t>
      </w:r>
      <w:r>
        <w:rPr>
          <w:rFonts w:ascii="Arial" w:cs="Arial" w:eastAsia="Arial" w:hAnsi="Arial"/>
          <w:sz w:val="16"/>
          <w:szCs w:val="16"/>
          <w:b w:val="1"/>
          <w:bCs w:val="1"/>
          <w:color w:val="0E1020"/>
        </w:rPr>
        <w:t>realized (actual</w:t>
      </w:r>
      <w:r>
        <w:rPr>
          <w:rFonts w:ascii="Arial" w:cs="Arial" w:eastAsia="Arial" w:hAnsi="Arial"/>
          <w:sz w:val="16"/>
          <w:szCs w:val="16"/>
          <w:color w:val="0E1020"/>
        </w:rPr>
        <w:t xml:space="preserve"> </w:t>
      </w:r>
      <w:r>
        <w:rPr>
          <w:rFonts w:ascii="Arial" w:cs="Arial" w:eastAsia="Arial" w:hAnsi="Arial"/>
          <w:sz w:val="16"/>
          <w:szCs w:val="16"/>
          <w:b w:val="1"/>
          <w:bCs w:val="1"/>
          <w:color w:val="0E1020"/>
        </w:rPr>
        <w:t xml:space="preserve">compensation) </w:t>
      </w:r>
      <w:r>
        <w:rPr>
          <w:rFonts w:ascii="Arial" w:cs="Arial" w:eastAsia="Arial" w:hAnsi="Arial"/>
          <w:sz w:val="16"/>
          <w:szCs w:val="16"/>
          <w:color w:val="0E1020"/>
        </w:rPr>
        <w:t>during a fiscal year.</w:t>
      </w:r>
    </w:p>
    <w:p>
      <w:pPr>
        <w:spacing w:after="0" w:line="26" w:lineRule="exact"/>
        <w:rPr>
          <w:sz w:val="20"/>
          <w:szCs w:val="20"/>
          <w:color w:val="auto"/>
        </w:rPr>
      </w:pPr>
    </w:p>
    <w:p>
      <w:pPr>
        <w:jc w:val="both"/>
        <w:ind w:right="60"/>
        <w:spacing w:after="0" w:line="304" w:lineRule="auto"/>
        <w:rPr>
          <w:sz w:val="20"/>
          <w:szCs w:val="20"/>
          <w:color w:val="auto"/>
        </w:rPr>
      </w:pPr>
      <w:r>
        <w:rPr>
          <w:rFonts w:ascii="Arial" w:cs="Arial" w:eastAsia="Arial" w:hAnsi="Arial"/>
          <w:sz w:val="16"/>
          <w:szCs w:val="16"/>
          <w:color w:val="0E1020"/>
        </w:rPr>
        <w:t xml:space="preserve">At the end of fiscal 2026, the total cumulative fiscal 2024, fiscal 2025, and fiscal 2026 </w:t>
      </w:r>
      <w:r>
        <w:rPr>
          <w:rFonts w:ascii="Arial" w:cs="Arial" w:eastAsia="Arial" w:hAnsi="Arial"/>
          <w:sz w:val="16"/>
          <w:szCs w:val="16"/>
          <w:b w:val="1"/>
          <w:bCs w:val="1"/>
          <w:color w:val="004AAC"/>
        </w:rPr>
        <w:t>actual realized value of our CEO’s pay was approximately 22% of</w:t>
      </w:r>
      <w:r>
        <w:rPr>
          <w:rFonts w:ascii="Arial" w:cs="Arial" w:eastAsia="Arial" w:hAnsi="Arial"/>
          <w:sz w:val="16"/>
          <w:szCs w:val="16"/>
          <w:color w:val="0E1020"/>
        </w:rPr>
        <w:t xml:space="preserve"> </w:t>
      </w:r>
      <w:r>
        <w:rPr>
          <w:rFonts w:ascii="Arial" w:cs="Arial" w:eastAsia="Arial" w:hAnsi="Arial"/>
          <w:sz w:val="16"/>
          <w:szCs w:val="16"/>
          <w:b w:val="1"/>
          <w:bCs w:val="1"/>
          <w:color w:val="004AAC"/>
        </w:rPr>
        <w:t xml:space="preserve">the total cumulative reported value </w:t>
      </w:r>
      <w:r>
        <w:rPr>
          <w:rFonts w:ascii="Arial" w:cs="Arial" w:eastAsia="Arial" w:hAnsi="Arial"/>
          <w:sz w:val="16"/>
          <w:szCs w:val="16"/>
          <w:color w:val="0E1020"/>
        </w:rPr>
        <w:t>(shown in the chart below). This not only provides a meaningful demonstration of the pay for performance alignment of</w:t>
      </w:r>
      <w:r>
        <w:rPr>
          <w:rFonts w:ascii="Arial" w:cs="Arial" w:eastAsia="Arial" w:hAnsi="Arial"/>
          <w:sz w:val="16"/>
          <w:szCs w:val="16"/>
          <w:b w:val="1"/>
          <w:bCs w:val="1"/>
          <w:color w:val="004AAC"/>
        </w:rPr>
        <w:t xml:space="preserve"> </w:t>
      </w:r>
      <w:r>
        <w:rPr>
          <w:rFonts w:ascii="Arial" w:cs="Arial" w:eastAsia="Arial" w:hAnsi="Arial"/>
          <w:sz w:val="16"/>
          <w:szCs w:val="16"/>
          <w:color w:val="0E1020"/>
        </w:rPr>
        <w:t>DXC’s executive compensation program, but the line representing Cumulative TSR also shows the strong alignment of our CEO’s realized pay with our stock price performance and the experience of our stockholders.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0E1020"/>
        </w:rPr>
        <w:t>The chart below displays the following amounts:</w:t>
      </w:r>
    </w:p>
    <w:p>
      <w:pPr>
        <w:spacing w:after="0" w:line="12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color w:val="0E1020"/>
        </w:rPr>
        <w:t xml:space="preserve">Summary Compensation Table </w:t>
      </w:r>
      <w:r>
        <w:rPr>
          <w:rFonts w:ascii="Arial" w:cs="Arial" w:eastAsia="Arial" w:hAnsi="Arial"/>
          <w:sz w:val="16"/>
          <w:szCs w:val="16"/>
          <w:color w:val="0E1020"/>
        </w:rPr>
        <w:t>reported amounts are the sum of the following: (1) actual salary paid per the Summary Compensation Table; (2) actual</w:t>
      </w:r>
      <w:r>
        <w:rPr>
          <w:rFonts w:ascii="Arial" w:cs="Arial" w:eastAsia="Arial" w:hAnsi="Arial"/>
          <w:sz w:val="16"/>
          <w:szCs w:val="16"/>
          <w:b w:val="1"/>
          <w:bCs w:val="1"/>
          <w:color w:val="0E1020"/>
        </w:rPr>
        <w:t xml:space="preserve"> </w:t>
      </w:r>
      <w:r>
        <w:rPr>
          <w:rFonts w:ascii="Arial" w:cs="Arial" w:eastAsia="Arial" w:hAnsi="Arial"/>
          <w:sz w:val="16"/>
          <w:szCs w:val="16"/>
          <w:color w:val="0E1020"/>
        </w:rPr>
        <w:t xml:space="preserve">annual incentive payout for the performance year; and (3) the </w:t>
      </w:r>
      <w:r>
        <w:rPr>
          <w:rFonts w:ascii="Arial" w:cs="Arial" w:eastAsia="Arial" w:hAnsi="Arial"/>
          <w:sz w:val="16"/>
          <w:szCs w:val="16"/>
          <w:b w:val="1"/>
          <w:bCs w:val="1"/>
          <w:color w:val="0E1020"/>
        </w:rPr>
        <w:t>accounting</w:t>
      </w:r>
      <w:r>
        <w:rPr>
          <w:rFonts w:ascii="Arial" w:cs="Arial" w:eastAsia="Arial" w:hAnsi="Arial"/>
          <w:sz w:val="16"/>
          <w:szCs w:val="16"/>
          <w:color w:val="0E1020"/>
        </w:rPr>
        <w:t xml:space="preserve"> grant date fair values of PSUs and RSUs. The accounting grant date fair values for fiscal year 2026 are comprised of the front-loaded equity grant awarded to Mr. Fernandez in May 2025, which represented three times his applicable long-term incentive target opportunity for fiscal year 2026. This front-loaded grant is intended to be in lieu of any annual equity awards which Mr. Fernandez would have otherwise been granted with respect to the next three fiscal years as part of the Company’s annual merit process.</w:t>
      </w:r>
    </w:p>
    <w:p>
      <w:pPr>
        <w:spacing w:after="0" w:line="62" w:lineRule="exact"/>
        <w:rPr>
          <w:sz w:val="20"/>
          <w:szCs w:val="20"/>
          <w:color w:val="auto"/>
        </w:rPr>
      </w:pPr>
    </w:p>
    <w:p>
      <w:pPr>
        <w:ind w:right="180"/>
        <w:spacing w:after="0" w:line="346" w:lineRule="auto"/>
        <w:rPr>
          <w:sz w:val="20"/>
          <w:szCs w:val="20"/>
          <w:color w:val="auto"/>
        </w:rPr>
      </w:pPr>
      <w:r>
        <w:rPr>
          <w:rFonts w:ascii="Arial" w:cs="Arial" w:eastAsia="Arial" w:hAnsi="Arial"/>
          <w:sz w:val="16"/>
          <w:szCs w:val="16"/>
          <w:b w:val="1"/>
          <w:bCs w:val="1"/>
          <w:color w:val="0E1020"/>
        </w:rPr>
        <w:t xml:space="preserve">Realized Pay </w:t>
      </w:r>
      <w:r>
        <w:rPr>
          <w:rFonts w:ascii="Arial" w:cs="Arial" w:eastAsia="Arial" w:hAnsi="Arial"/>
          <w:sz w:val="16"/>
          <w:szCs w:val="16"/>
          <w:color w:val="0E1020"/>
        </w:rPr>
        <w:t>amounts are the sum of the following: (1) actual salary paid per the Summary Compensation Table; (2) actual annual incentive payout for the</w:t>
      </w:r>
      <w:r>
        <w:rPr>
          <w:rFonts w:ascii="Arial" w:cs="Arial" w:eastAsia="Arial" w:hAnsi="Arial"/>
          <w:sz w:val="16"/>
          <w:szCs w:val="16"/>
          <w:b w:val="1"/>
          <w:bCs w:val="1"/>
          <w:color w:val="0E1020"/>
        </w:rPr>
        <w:t xml:space="preserve"> </w:t>
      </w:r>
      <w:r>
        <w:rPr>
          <w:rFonts w:ascii="Arial" w:cs="Arial" w:eastAsia="Arial" w:hAnsi="Arial"/>
          <w:sz w:val="16"/>
          <w:szCs w:val="16"/>
          <w:color w:val="0E1020"/>
        </w:rPr>
        <w:t xml:space="preserve">performance year; and (3) the </w:t>
      </w:r>
      <w:r>
        <w:rPr>
          <w:rFonts w:ascii="Arial" w:cs="Arial" w:eastAsia="Arial" w:hAnsi="Arial"/>
          <w:sz w:val="16"/>
          <w:szCs w:val="16"/>
          <w:b w:val="1"/>
          <w:bCs w:val="1"/>
          <w:color w:val="0E1020"/>
        </w:rPr>
        <w:t>actual value of all PSUs and RSUs that vested</w:t>
      </w:r>
      <w:r>
        <w:rPr>
          <w:rFonts w:ascii="Arial" w:cs="Arial" w:eastAsia="Arial" w:hAnsi="Arial"/>
          <w:sz w:val="16"/>
          <w:szCs w:val="16"/>
          <w:color w:val="0E1020"/>
        </w:rPr>
        <w:t xml:space="preserve"> during the fiscal year, based on the stock price on the vesting date.</w:t>
      </w:r>
    </w:p>
    <w:p>
      <w:pPr>
        <w:spacing w:after="0" w:line="6" w:lineRule="exact"/>
        <w:rPr>
          <w:sz w:val="20"/>
          <w:szCs w:val="20"/>
          <w:color w:val="auto"/>
        </w:rPr>
      </w:pPr>
    </w:p>
    <w:p>
      <w:pPr>
        <w:ind w:right="20"/>
        <w:spacing w:after="0" w:line="335" w:lineRule="auto"/>
        <w:rPr>
          <w:sz w:val="20"/>
          <w:szCs w:val="20"/>
          <w:color w:val="auto"/>
        </w:rPr>
      </w:pPr>
      <w:r>
        <w:rPr>
          <w:rFonts w:ascii="Arial" w:cs="Arial" w:eastAsia="Arial" w:hAnsi="Arial"/>
          <w:sz w:val="16"/>
          <w:szCs w:val="16"/>
          <w:b w:val="1"/>
          <w:bCs w:val="1"/>
          <w:color w:val="0E1020"/>
        </w:rPr>
        <w:t xml:space="preserve">Cumulative TSR </w:t>
      </w:r>
      <w:r>
        <w:rPr>
          <w:rFonts w:ascii="Arial" w:cs="Arial" w:eastAsia="Arial" w:hAnsi="Arial"/>
          <w:sz w:val="16"/>
          <w:szCs w:val="16"/>
          <w:color w:val="0E1020"/>
        </w:rPr>
        <w:t>is calculated based on DXC Technology’s stock price on the last trading day of fiscal 2026 in comparison to the Company stock price on the</w:t>
      </w:r>
      <w:r>
        <w:rPr>
          <w:rFonts w:ascii="Arial" w:cs="Arial" w:eastAsia="Arial" w:hAnsi="Arial"/>
          <w:sz w:val="16"/>
          <w:szCs w:val="16"/>
          <w:b w:val="1"/>
          <w:bCs w:val="1"/>
          <w:color w:val="0E1020"/>
        </w:rPr>
        <w:t xml:space="preserve"> </w:t>
      </w:r>
      <w:r>
        <w:rPr>
          <w:rFonts w:ascii="Arial" w:cs="Arial" w:eastAsia="Arial" w:hAnsi="Arial"/>
          <w:sz w:val="16"/>
          <w:szCs w:val="16"/>
          <w:color w:val="0E1020"/>
        </w:rPr>
        <w:t>last trading day of fiscal 2023 and assumes an initial investment of $100 on the last trading day of fiscal 2023, plus any reinvested dividends.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61</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type w:val="continuous"/>
        </w:sectPr>
      </w:pPr>
    </w:p>
    <w:bookmarkStart w:id="69" w:name="page70"/>
    <w:bookmarkEnd w:id="69"/>
    <w:p>
      <w:pPr>
        <w:ind w:left="20"/>
        <w:spacing w:after="0"/>
        <w:tabs>
          <w:tab w:leader="none" w:pos="10100" w:val="left"/>
        </w:tabs>
        <w:rPr>
          <w:sz w:val="20"/>
          <w:szCs w:val="20"/>
          <w:color w:val="auto"/>
        </w:rPr>
      </w:pPr>
      <w:r>
        <w:rPr>
          <w:rFonts w:ascii="Arial" w:cs="Arial" w:eastAsia="Arial" w:hAnsi="Arial"/>
          <w:sz w:val="14"/>
          <w:szCs w:val="14"/>
          <w:color w:val="auto"/>
        </w:rPr>
        <w:t>Executive Compensation</w:t>
      </w:r>
      <w:r>
        <w:rPr>
          <w:sz w:val="20"/>
          <w:szCs w:val="20"/>
          <w:color w:val="auto"/>
        </w:rPr>
        <w:tab/>
      </w:r>
      <w:r>
        <w:rPr>
          <w:rFonts w:ascii="Arial" w:cs="Arial" w:eastAsia="Arial" w:hAnsi="Arial"/>
          <w:sz w:val="13"/>
          <w:szCs w:val="13"/>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465455</wp:posOffset>
            </wp:positionV>
            <wp:extent cx="5720080" cy="22644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720080" cy="226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Key Leadership Retention</w:t>
      </w:r>
    </w:p>
    <w:p>
      <w:pPr>
        <w:spacing w:after="0" w:line="133"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0E1020"/>
        </w:rPr>
        <w:t>As disclosed in the fiscal 2025 Proxy Statement, in fiscal 2026, the Board and Compensation Committee, in consultation with an independent compensation consultant and independent legal counsel, undertook a comprehensive review of the compensation arrangements of Mr. Fernandez and Mr. Del Bene. In designing an updated compensation framework intended to ensure the retention of Mr. Fernandez and Mr. Del Bene while maintaining DXC’s commitment to our pay for performance philosophy, the Board and the Compensation Committee considered, among other things, the objectives of:</w:t>
      </w:r>
    </w:p>
    <w:p>
      <w:pPr>
        <w:spacing w:after="0" w:line="41" w:lineRule="exact"/>
        <w:rPr>
          <w:sz w:val="20"/>
          <w:szCs w:val="20"/>
          <w:color w:val="auto"/>
        </w:rPr>
      </w:pPr>
    </w:p>
    <w:p>
      <w:pPr>
        <w:ind w:left="320" w:right="40" w:hanging="313"/>
        <w:spacing w:after="0" w:line="335" w:lineRule="auto"/>
        <w:tabs>
          <w:tab w:leader="none" w:pos="282" w:val="left"/>
        </w:tabs>
        <w:numPr>
          <w:ilvl w:val="0"/>
          <w:numId w:val="64"/>
        </w:numPr>
        <w:rPr>
          <w:rFonts w:ascii="Arial" w:cs="Arial" w:eastAsia="Arial" w:hAnsi="Arial"/>
          <w:sz w:val="16"/>
          <w:szCs w:val="16"/>
          <w:color w:val="0E1020"/>
        </w:rPr>
      </w:pPr>
      <w:r>
        <w:rPr>
          <w:rFonts w:ascii="Arial" w:cs="Arial" w:eastAsia="Arial" w:hAnsi="Arial"/>
          <w:sz w:val="16"/>
          <w:szCs w:val="16"/>
          <w:color w:val="0E1020"/>
        </w:rPr>
        <w:t>Retaining Mr. Fernandez’s and Mr. Del Bene’s continued leadership of DXC for at least an additional three years, in light of the competitive external hiring market;</w:t>
      </w:r>
    </w:p>
    <w:p>
      <w:pPr>
        <w:spacing w:after="0" w:line="22" w:lineRule="exact"/>
        <w:rPr>
          <w:rFonts w:ascii="Arial" w:cs="Arial" w:eastAsia="Arial" w:hAnsi="Arial"/>
          <w:sz w:val="16"/>
          <w:szCs w:val="16"/>
          <w:color w:val="0E1020"/>
        </w:rPr>
      </w:pPr>
    </w:p>
    <w:p>
      <w:pPr>
        <w:ind w:left="320" w:right="320" w:hanging="313"/>
        <w:spacing w:after="0" w:line="335" w:lineRule="auto"/>
        <w:tabs>
          <w:tab w:leader="none" w:pos="282" w:val="left"/>
        </w:tabs>
        <w:numPr>
          <w:ilvl w:val="0"/>
          <w:numId w:val="64"/>
        </w:numPr>
        <w:rPr>
          <w:rFonts w:ascii="Arial" w:cs="Arial" w:eastAsia="Arial" w:hAnsi="Arial"/>
          <w:sz w:val="16"/>
          <w:szCs w:val="16"/>
          <w:color w:val="0E1020"/>
        </w:rPr>
      </w:pPr>
      <w:r>
        <w:rPr>
          <w:rFonts w:ascii="Arial" w:cs="Arial" w:eastAsia="Arial" w:hAnsi="Arial"/>
          <w:sz w:val="16"/>
          <w:szCs w:val="16"/>
          <w:color w:val="0E1020"/>
        </w:rPr>
        <w:t>Incentivizing Mr. Fernandez and Mr. Del Bene to advance the long-term success of the Company’s business through the achievement of key financial performance metrics; and</w:t>
      </w:r>
    </w:p>
    <w:p>
      <w:pPr>
        <w:spacing w:after="0" w:line="35" w:lineRule="exact"/>
        <w:rPr>
          <w:rFonts w:ascii="Arial" w:cs="Arial" w:eastAsia="Arial" w:hAnsi="Arial"/>
          <w:sz w:val="16"/>
          <w:szCs w:val="16"/>
          <w:color w:val="0E1020"/>
        </w:rPr>
      </w:pPr>
    </w:p>
    <w:p>
      <w:pPr>
        <w:ind w:left="300" w:hanging="293"/>
        <w:spacing w:after="0"/>
        <w:tabs>
          <w:tab w:leader="none" w:pos="300" w:val="left"/>
        </w:tabs>
        <w:numPr>
          <w:ilvl w:val="0"/>
          <w:numId w:val="64"/>
        </w:numPr>
        <w:rPr>
          <w:rFonts w:ascii="Arial" w:cs="Arial" w:eastAsia="Arial" w:hAnsi="Arial"/>
          <w:sz w:val="16"/>
          <w:szCs w:val="16"/>
          <w:color w:val="0E1020"/>
        </w:rPr>
      </w:pPr>
      <w:r>
        <w:rPr>
          <w:rFonts w:ascii="Arial" w:cs="Arial" w:eastAsia="Arial" w:hAnsi="Arial"/>
          <w:sz w:val="16"/>
          <w:szCs w:val="16"/>
          <w:color w:val="0E1020"/>
        </w:rPr>
        <w:t>Further aligning the interests of Mr. Fernandez and Mr. Del Bene with those of the Company’s stockholders.</w:t>
      </w:r>
    </w:p>
    <w:p>
      <w:pPr>
        <w:spacing w:after="0" w:line="218" w:lineRule="exact"/>
        <w:rPr>
          <w:sz w:val="20"/>
          <w:szCs w:val="20"/>
          <w:color w:val="auto"/>
        </w:rPr>
      </w:pPr>
    </w:p>
    <w:p>
      <w:pPr>
        <w:spacing w:after="0" w:line="297" w:lineRule="auto"/>
        <w:rPr>
          <w:sz w:val="20"/>
          <w:szCs w:val="20"/>
          <w:color w:val="auto"/>
        </w:rPr>
      </w:pPr>
      <w:r>
        <w:rPr>
          <w:rFonts w:ascii="Arial" w:cs="Arial" w:eastAsia="Arial" w:hAnsi="Arial"/>
          <w:sz w:val="16"/>
          <w:szCs w:val="16"/>
          <w:color w:val="0E1020"/>
        </w:rPr>
        <w:t>After extensive review, including in consultation with its independent compensation consultant and taking into account relative benchmarking data, the Board and the Compensation Committee determined to make certain changes to Mr. Fernandez and Mr. Del Bene’s compensation packages, which include: (i) an extension of the specified term of Mr. Fernandez’s Employment Agreement by three years to March 31, 2028, (ii) increases to each executive’s annual base salary and target annual bonus opportunity to ensure cash compensation remains appropriate and competitive; and (iii) front-loaded equity grants, intended to replace annual equity awards for the next three years to each executive, comprised of 85% PSUs and 15% RSUs, with PSUs eligible to vest subsequent to the three year performance period and RSUs vesting in three equal installments on each of the first three anniversaries of the grant date. These equity awards are intended to accelerate the ownership of Company equity by each executive and significantly align their interests with those of our stockholders. Further, a significant portion of the awards are “at risk” and based on performance goals that are critical to the long-term success of the Company. These awards are discussed in further detail below in the Components of Our Compensation Program section of this fiscal 2026 CD&amp;A.</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62</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70" w:name="page71"/>
    <w:bookmarkEnd w:id="70"/>
    <w:p>
      <w:pPr>
        <w:ind w:left="20"/>
        <w:spacing w:after="0"/>
        <w:tabs>
          <w:tab w:leader="none" w:pos="962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2025 Say-on-Pay Vote and Stockholder Engagement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General</w:t>
      </w:r>
    </w:p>
    <w:p>
      <w:pPr>
        <w:spacing w:after="0" w:line="133"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0E1020"/>
        </w:rPr>
        <w:t>Stockholder feedback has informed the evolution of our executive compensation program. We value the input we receive from stockholders and engage with them on a regular basis on a variety of matters, including corporate governance, executive compensation, ESG, and human capital management. We strive to be responsive to that feedback. DXC’s Compensation Committee continues to believe that directly engaging with stockholders is a critical process for receiving and understanding feedback on subjects that matter most to them.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2025 Advisory Vote on Executive Compensation</w:t>
      </w:r>
    </w:p>
    <w:p>
      <w:pPr>
        <w:spacing w:after="0" w:line="133" w:lineRule="exact"/>
        <w:rPr>
          <w:sz w:val="20"/>
          <w:szCs w:val="20"/>
          <w:color w:val="auto"/>
        </w:rPr>
      </w:pPr>
    </w:p>
    <w:p>
      <w:pPr>
        <w:ind w:right="380"/>
        <w:spacing w:after="0" w:line="335" w:lineRule="auto"/>
        <w:rPr>
          <w:sz w:val="20"/>
          <w:szCs w:val="20"/>
          <w:color w:val="auto"/>
        </w:rPr>
      </w:pPr>
      <w:r>
        <w:rPr>
          <w:rFonts w:ascii="Arial" w:cs="Arial" w:eastAsia="Arial" w:hAnsi="Arial"/>
          <w:sz w:val="16"/>
          <w:szCs w:val="16"/>
          <w:color w:val="0E1020"/>
        </w:rPr>
        <w:t>At the 2025 annual meeting of stockholders, our advisory Say-on-Pay proposal regarding the compensation of our named executive officers received the support of approximately 95% of the votes cast, indicating stockholder satisfaction with our executive compensation program.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Robust Engagement</w:t>
      </w:r>
    </w:p>
    <w:p>
      <w:pPr>
        <w:spacing w:after="0" w:line="133"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0E1020"/>
        </w:rPr>
        <w:t>DXC’s Compensation Committee believes that management directly engaging with stockholders is a critical process for receiving and understanding feedback from stockholders. During fiscal 2026, we conducted outreach to stockholders representing approximately 69% of DXC’s shares of common stock outstanding and engaged with stockholders representing approximately 8% of DXC’s common stock outstanding.</w:t>
      </w:r>
    </w:p>
    <w:p>
      <w:pPr>
        <w:spacing w:after="0" w:line="37" w:lineRule="exact"/>
        <w:rPr>
          <w:sz w:val="20"/>
          <w:szCs w:val="20"/>
          <w:color w:val="auto"/>
        </w:rPr>
      </w:pPr>
    </w:p>
    <w:p>
      <w:pPr>
        <w:ind w:right="660"/>
        <w:spacing w:after="0" w:line="335" w:lineRule="auto"/>
        <w:rPr>
          <w:sz w:val="20"/>
          <w:szCs w:val="20"/>
          <w:color w:val="auto"/>
        </w:rPr>
      </w:pPr>
      <w:r>
        <w:rPr>
          <w:rFonts w:ascii="Arial" w:cs="Arial" w:eastAsia="Arial" w:hAnsi="Arial"/>
          <w:sz w:val="16"/>
          <w:szCs w:val="16"/>
          <w:color w:val="0E1020"/>
        </w:rPr>
        <w:t>Participating in these efforts on behalf of the Company were the Chairman of the Board, the Compensation Committee Chairman, the Executive Vice President, Chief People Officer; the Executive Vice President, General Counsel; and the Vice President of Investor Relations.</w:t>
      </w:r>
    </w:p>
    <w:p>
      <w:pPr>
        <w:spacing w:after="0" w:line="36"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0E1020"/>
        </w:rPr>
        <w:t>During outreach in fiscal 2026, stockholders expressed being pleased with the high level of responsiveness of the Compensation Committee to their concerns over the years, and in addition, voiced appreciation for the ongoing collaboration and the opportunity to provide input on the evolution of the executive compensation program. We value the ongoing discussions with our stockholders and look forward to continued collaboration in the years to come, including upcoming fiscal 2027 outreach before DXC’s 2026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63</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71" w:name="page72"/>
    <w:bookmarkEnd w:id="71"/>
    <w:p>
      <w:pPr>
        <w:ind w:left="20"/>
        <w:spacing w:after="0"/>
        <w:tabs>
          <w:tab w:leader="none" w:pos="10100" w:val="left"/>
        </w:tabs>
        <w:rPr>
          <w:sz w:val="20"/>
          <w:szCs w:val="20"/>
          <w:color w:val="auto"/>
        </w:rPr>
      </w:pPr>
      <w:r>
        <w:rPr>
          <w:rFonts w:ascii="Arial" w:cs="Arial" w:eastAsia="Arial" w:hAnsi="Arial"/>
          <w:sz w:val="14"/>
          <w:szCs w:val="14"/>
          <w:color w:val="auto"/>
        </w:rPr>
        <w:t>Executive Compensation</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Compensation Program Governance</w:t>
      </w:r>
    </w:p>
    <w:p>
      <w:pPr>
        <w:spacing w:after="0" w:line="146" w:lineRule="exact"/>
        <w:rPr>
          <w:sz w:val="20"/>
          <w:szCs w:val="20"/>
          <w:color w:val="auto"/>
        </w:rPr>
      </w:pPr>
    </w:p>
    <w:p>
      <w:pPr>
        <w:ind w:right="280"/>
        <w:spacing w:after="0" w:line="318" w:lineRule="auto"/>
        <w:rPr>
          <w:sz w:val="20"/>
          <w:szCs w:val="20"/>
          <w:color w:val="auto"/>
        </w:rPr>
      </w:pPr>
      <w:r>
        <w:rPr>
          <w:rFonts w:ascii="Arial" w:cs="Arial" w:eastAsia="Arial" w:hAnsi="Arial"/>
          <w:sz w:val="16"/>
          <w:szCs w:val="16"/>
          <w:color w:val="0E1020"/>
        </w:rPr>
        <w:t>Every year, the Compensation Committee assesses the effectiveness of our executive compensation program and reviews risk mitigation and governance matters, including the following best practices that we employ: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7065010" cy="2470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065010" cy="24701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p>
      <w:pPr>
        <w:spacing w:after="0" w:line="24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6"/>
          <w:szCs w:val="16"/>
          <w:b w:val="1"/>
          <w:bCs w:val="1"/>
          <w:color w:val="0E1020"/>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34391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39160" cy="8255"/>
                    </a:xfrm>
                    <a:prstGeom prst="rect">
                      <a:avLst/>
                    </a:prstGeom>
                    <a:noFill/>
                  </pic:spPr>
                </pic:pic>
              </a:graphicData>
            </a:graphic>
          </wp:anchor>
        </w:drawing>
      </w:r>
    </w:p>
    <w:p>
      <w:pPr>
        <w:spacing w:after="0" w:line="205" w:lineRule="exact"/>
        <w:rPr>
          <w:sz w:val="20"/>
          <w:szCs w:val="20"/>
          <w:color w:val="auto"/>
        </w:rPr>
      </w:pPr>
    </w:p>
    <w:p>
      <w:pPr>
        <w:ind w:left="700" w:right="400"/>
        <w:spacing w:after="0" w:line="282" w:lineRule="auto"/>
        <w:rPr>
          <w:sz w:val="20"/>
          <w:szCs w:val="20"/>
          <w:color w:val="auto"/>
        </w:rPr>
      </w:pPr>
      <w:r>
        <w:rPr>
          <w:rFonts w:ascii="Arial" w:cs="Arial" w:eastAsia="Arial" w:hAnsi="Arial"/>
          <w:sz w:val="14"/>
          <w:szCs w:val="14"/>
          <w:color w:val="0E1020"/>
        </w:rPr>
        <w:t>Proactively reach out to stockholders to understand and address their feedback and concerns regarding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34391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39160" cy="8255"/>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-233680</wp:posOffset>
            </wp:positionV>
            <wp:extent cx="204470" cy="2044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04470" cy="204470"/>
                    </a:xfrm>
                    <a:prstGeom prst="rect">
                      <a:avLst/>
                    </a:prstGeom>
                    <a:noFill/>
                  </pic:spPr>
                </pic:pic>
              </a:graphicData>
            </a:graphic>
          </wp:anchor>
        </w:drawing>
      </w:r>
    </w:p>
    <w:p>
      <w:pPr>
        <w:spacing w:after="0" w:line="178" w:lineRule="exact"/>
        <w:rPr>
          <w:sz w:val="20"/>
          <w:szCs w:val="20"/>
          <w:color w:val="auto"/>
        </w:rPr>
      </w:pPr>
    </w:p>
    <w:p>
      <w:pPr>
        <w:ind w:left="700" w:right="620"/>
        <w:spacing w:after="0" w:line="282" w:lineRule="auto"/>
        <w:rPr>
          <w:sz w:val="20"/>
          <w:szCs w:val="20"/>
          <w:color w:val="auto"/>
        </w:rPr>
      </w:pPr>
      <w:r>
        <w:rPr>
          <w:rFonts w:ascii="Arial" w:cs="Arial" w:eastAsia="Arial" w:hAnsi="Arial"/>
          <w:sz w:val="14"/>
          <w:szCs w:val="14"/>
          <w:color w:val="0E1020"/>
        </w:rPr>
        <w:t>Majority of total executive compensation is at-risk and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34391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439160" cy="8255"/>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-233680</wp:posOffset>
            </wp:positionV>
            <wp:extent cx="204470" cy="2044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04470" cy="204470"/>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131445</wp:posOffset>
            </wp:positionV>
            <wp:extent cx="204470" cy="2044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04470" cy="204470"/>
                    </a:xfrm>
                    <a:prstGeom prst="rect">
                      <a:avLst/>
                    </a:prstGeom>
                    <a:noFill/>
                  </pic:spPr>
                </pic:pic>
              </a:graphicData>
            </a:graphic>
          </wp:anchor>
        </w:drawing>
      </w:r>
    </w:p>
    <w:p>
      <w:pPr>
        <w:spacing w:after="0" w:line="272" w:lineRule="exact"/>
        <w:rPr>
          <w:sz w:val="20"/>
          <w:szCs w:val="20"/>
          <w:color w:val="auto"/>
        </w:rPr>
      </w:pPr>
    </w:p>
    <w:p>
      <w:pPr>
        <w:ind w:left="700"/>
        <w:spacing w:after="0"/>
        <w:rPr>
          <w:sz w:val="20"/>
          <w:szCs w:val="20"/>
          <w:color w:val="auto"/>
        </w:rPr>
      </w:pPr>
      <w:r>
        <w:rPr>
          <w:rFonts w:ascii="Arial" w:cs="Arial" w:eastAsia="Arial" w:hAnsi="Arial"/>
          <w:sz w:val="14"/>
          <w:szCs w:val="14"/>
          <w:color w:val="0E1020"/>
        </w:rPr>
        <w:t>Appropriate allocation of short- and long-term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142240</wp:posOffset>
            </wp:positionV>
            <wp:extent cx="34391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39160" cy="8255"/>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210185</wp:posOffset>
            </wp:positionV>
            <wp:extent cx="204470" cy="20447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04470" cy="204470"/>
                    </a:xfrm>
                    <a:prstGeom prst="rect">
                      <a:avLst/>
                    </a:prstGeom>
                    <a:noFill/>
                  </pic:spPr>
                </pic:pic>
              </a:graphicData>
            </a:graphic>
          </wp:anchor>
        </w:drawing>
      </w:r>
    </w:p>
    <w:p>
      <w:pPr>
        <w:spacing w:after="0" w:line="395" w:lineRule="exact"/>
        <w:rPr>
          <w:sz w:val="20"/>
          <w:szCs w:val="20"/>
          <w:color w:val="auto"/>
        </w:rPr>
      </w:pPr>
    </w:p>
    <w:p>
      <w:pPr>
        <w:ind w:left="700"/>
        <w:spacing w:after="0"/>
        <w:rPr>
          <w:sz w:val="20"/>
          <w:szCs w:val="20"/>
          <w:color w:val="auto"/>
        </w:rPr>
      </w:pPr>
      <w:r>
        <w:rPr>
          <w:rFonts w:ascii="Arial" w:cs="Arial" w:eastAsia="Arial" w:hAnsi="Arial"/>
          <w:sz w:val="14"/>
          <w:szCs w:val="14"/>
          <w:color w:val="0E1020"/>
        </w:rPr>
        <w:t>Combination of balanced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142240</wp:posOffset>
            </wp:positionV>
            <wp:extent cx="34391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39160" cy="8255"/>
                    </a:xfrm>
                    <a:prstGeom prst="rect">
                      <a:avLst/>
                    </a:prstGeom>
                    <a:noFill/>
                  </pic:spPr>
                </pic:pic>
              </a:graphicData>
            </a:graphic>
          </wp:anchor>
        </w:drawing>
      </w:r>
    </w:p>
    <w:p>
      <w:pPr>
        <w:spacing w:after="0" w:line="275" w:lineRule="exact"/>
        <w:rPr>
          <w:sz w:val="20"/>
          <w:szCs w:val="20"/>
          <w:color w:val="auto"/>
        </w:rPr>
      </w:pPr>
    </w:p>
    <w:p>
      <w:pPr>
        <w:ind w:left="700" w:right="660"/>
        <w:spacing w:after="0" w:line="270" w:lineRule="auto"/>
        <w:rPr>
          <w:sz w:val="20"/>
          <w:szCs w:val="20"/>
          <w:color w:val="auto"/>
        </w:rPr>
      </w:pPr>
      <w:r>
        <w:rPr>
          <w:rFonts w:ascii="Arial" w:cs="Arial" w:eastAsia="Arial" w:hAnsi="Arial"/>
          <w:sz w:val="14"/>
          <w:szCs w:val="14"/>
          <w:color w:val="0E1020"/>
        </w:rPr>
        <w:t>Multi-year vesting period for PSUs and RSUs to motivate long-term performance and align the interests of our executive officers with stockholders’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35560</wp:posOffset>
            </wp:positionV>
            <wp:extent cx="34391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39160" cy="8255"/>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-295910</wp:posOffset>
            </wp:positionV>
            <wp:extent cx="204470" cy="2044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04470" cy="204470"/>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103505</wp:posOffset>
            </wp:positionV>
            <wp:extent cx="204470" cy="20447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04470" cy="204470"/>
                    </a:xfrm>
                    <a:prstGeom prst="rect">
                      <a:avLst/>
                    </a:prstGeom>
                    <a:noFill/>
                  </pic:spPr>
                </pic:pic>
              </a:graphicData>
            </a:graphic>
          </wp:anchor>
        </w:drawing>
      </w:r>
    </w:p>
    <w:p>
      <w:pPr>
        <w:spacing w:after="0" w:line="228" w:lineRule="exact"/>
        <w:rPr>
          <w:sz w:val="20"/>
          <w:szCs w:val="20"/>
          <w:color w:val="auto"/>
        </w:rPr>
      </w:pPr>
    </w:p>
    <w:p>
      <w:pPr>
        <w:ind w:left="700"/>
        <w:spacing w:after="0"/>
        <w:rPr>
          <w:sz w:val="20"/>
          <w:szCs w:val="20"/>
          <w:color w:val="auto"/>
        </w:rPr>
      </w:pPr>
      <w:r>
        <w:rPr>
          <w:rFonts w:ascii="Arial" w:cs="Arial" w:eastAsia="Arial" w:hAnsi="Arial"/>
          <w:sz w:val="14"/>
          <w:szCs w:val="14"/>
          <w:color w:val="0E1020"/>
        </w:rPr>
        <w:t>Independent consultant engaged by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142240</wp:posOffset>
            </wp:positionV>
            <wp:extent cx="34391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39160" cy="8255"/>
                    </a:xfrm>
                    <a:prstGeom prst="rect">
                      <a:avLst/>
                    </a:prstGeom>
                    <a:noFill/>
                  </pic:spPr>
                </pic:pic>
              </a:graphicData>
            </a:graphic>
          </wp:anchor>
        </w:drawing>
      </w:r>
    </w:p>
    <w:p>
      <w:pPr>
        <w:spacing w:after="0" w:line="302" w:lineRule="exact"/>
        <w:rPr>
          <w:sz w:val="20"/>
          <w:szCs w:val="20"/>
          <w:color w:val="auto"/>
        </w:rPr>
      </w:pPr>
    </w:p>
    <w:p>
      <w:pPr>
        <w:ind w:left="700" w:right="760"/>
        <w:spacing w:after="0" w:line="282" w:lineRule="auto"/>
        <w:rPr>
          <w:sz w:val="20"/>
          <w:szCs w:val="20"/>
          <w:color w:val="auto"/>
        </w:rPr>
      </w:pPr>
      <w:r>
        <w:rPr>
          <w:rFonts w:ascii="Arial" w:cs="Arial" w:eastAsia="Arial" w:hAnsi="Arial"/>
          <w:sz w:val="14"/>
          <w:szCs w:val="14"/>
          <w:color w:val="0E1020"/>
        </w:rPr>
        <w:t>Benchmark compensation decisions against data from rigorously-determined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343916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39160" cy="8255"/>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-233680</wp:posOffset>
            </wp:positionV>
            <wp:extent cx="204470" cy="20447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04470" cy="204470"/>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131445</wp:posOffset>
            </wp:positionV>
            <wp:extent cx="204470" cy="2044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04470" cy="204470"/>
                    </a:xfrm>
                    <a:prstGeom prst="rect">
                      <a:avLst/>
                    </a:prstGeom>
                    <a:noFill/>
                  </pic:spPr>
                </pic:pic>
              </a:graphicData>
            </a:graphic>
          </wp:anchor>
        </w:drawing>
      </w:r>
    </w:p>
    <w:p>
      <w:pPr>
        <w:spacing w:after="0" w:line="272" w:lineRule="exact"/>
        <w:rPr>
          <w:sz w:val="20"/>
          <w:szCs w:val="20"/>
          <w:color w:val="auto"/>
        </w:rPr>
      </w:pPr>
    </w:p>
    <w:p>
      <w:pPr>
        <w:ind w:left="700"/>
        <w:spacing w:after="0"/>
        <w:rPr>
          <w:sz w:val="20"/>
          <w:szCs w:val="20"/>
          <w:color w:val="auto"/>
        </w:rPr>
      </w:pPr>
      <w:r>
        <w:rPr>
          <w:rFonts w:ascii="Arial" w:cs="Arial" w:eastAsia="Arial" w:hAnsi="Arial"/>
          <w:sz w:val="14"/>
          <w:szCs w:val="14"/>
          <w:color w:val="0E1020"/>
        </w:rPr>
        <w:t>Apply stock ownership guidelines (CEO guideline is 7x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142240</wp:posOffset>
            </wp:positionV>
            <wp:extent cx="34391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39160" cy="8255"/>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210185</wp:posOffset>
            </wp:positionV>
            <wp:extent cx="204470" cy="2044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04470" cy="204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b w:val="1"/>
          <w:bCs w:val="1"/>
          <w:color w:val="0E1020"/>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80645</wp:posOffset>
            </wp:positionV>
            <wp:extent cx="34391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3916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148590</wp:posOffset>
            </wp:positionV>
            <wp:extent cx="204470" cy="2044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04470" cy="20447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0E1020"/>
        </w:rPr>
        <w:t>No dividend equivalents on unearned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142240</wp:posOffset>
            </wp:positionV>
            <wp:extent cx="34391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3916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210185</wp:posOffset>
            </wp:positionV>
            <wp:extent cx="204470" cy="20447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04470" cy="20447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0E1020"/>
        </w:rPr>
        <w:t>No hedging or pledging of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142240</wp:posOffset>
            </wp:positionV>
            <wp:extent cx="343916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3916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210185</wp:posOffset>
            </wp:positionV>
            <wp:extent cx="204470" cy="2044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04470" cy="20447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0E1020"/>
        </w:rPr>
        <w:t>No repricing of underwater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142240</wp:posOffset>
            </wp:positionV>
            <wp:extent cx="343916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3916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210185</wp:posOffset>
            </wp:positionV>
            <wp:extent cx="204470" cy="20447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04470" cy="20447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0E1020"/>
        </w:rPr>
        <w:t>No excessive perks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142240</wp:posOffset>
            </wp:positionV>
            <wp:extent cx="343916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3916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210185</wp:posOffset>
            </wp:positionV>
            <wp:extent cx="204470" cy="2044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04470" cy="20447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0E1020"/>
        </w:rPr>
        <w:t>No excise tax gross-ups related to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142240</wp:posOffset>
            </wp:positionV>
            <wp:extent cx="34391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3916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210185</wp:posOffset>
            </wp:positionV>
            <wp:extent cx="204470" cy="20447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04470" cy="20447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0E1020"/>
        </w:rPr>
        <w:t>No share recycling for options / SARs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142240</wp:posOffset>
            </wp:positionV>
            <wp:extent cx="343916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3916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210185</wp:posOffset>
            </wp:positionV>
            <wp:extent cx="204470" cy="20447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04470" cy="20447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0E1020"/>
        </w:rPr>
        <w:t>No exchanges of underwater options for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142240</wp:posOffset>
            </wp:positionV>
            <wp:extent cx="343916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3916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210185</wp:posOffset>
            </wp:positionV>
            <wp:extent cx="204470" cy="2044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04470" cy="20447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0E1020"/>
        </w:rPr>
        <w:t>No evergreen provisions in the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142240</wp:posOffset>
            </wp:positionV>
            <wp:extent cx="343916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39160" cy="825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5600" w:space="720"/>
            <w:col w:w="4900"/>
          </w:cols>
          <w:pgMar w:left="320" w:top="224" w:right="359" w:bottom="1440" w:gutter="0" w:footer="0" w:header="0"/>
          <w:type w:val="continuous"/>
        </w:sectPr>
      </w:pPr>
    </w:p>
    <w:p>
      <w:pPr>
        <w:spacing w:after="0" w:line="215" w:lineRule="exact"/>
        <w:rPr>
          <w:sz w:val="20"/>
          <w:szCs w:val="20"/>
          <w:color w:val="auto"/>
        </w:rPr>
      </w:pPr>
    </w:p>
    <w:p>
      <w:pPr>
        <w:ind w:left="700"/>
        <w:spacing w:after="0"/>
        <w:rPr>
          <w:sz w:val="20"/>
          <w:szCs w:val="20"/>
          <w:color w:val="auto"/>
        </w:rPr>
      </w:pPr>
      <w:r>
        <w:rPr>
          <w:rFonts w:ascii="Arial" w:cs="Arial" w:eastAsia="Arial" w:hAnsi="Arial"/>
          <w:sz w:val="14"/>
          <w:szCs w:val="14"/>
          <w:color w:val="0E1020"/>
        </w:rPr>
        <w:t>Include clawback provisions in our key incentive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142240</wp:posOffset>
            </wp:positionV>
            <wp:extent cx="343916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39160" cy="8255"/>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210185</wp:posOffset>
            </wp:positionV>
            <wp:extent cx="204470" cy="20447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04470" cy="204470"/>
                    </a:xfrm>
                    <a:prstGeom prst="rect">
                      <a:avLst/>
                    </a:prstGeom>
                    <a:noFill/>
                  </pic:spPr>
                </pic:pic>
              </a:graphicData>
            </a:graphic>
          </wp:anchor>
        </w:drawing>
      </w:r>
    </w:p>
    <w:p>
      <w:pPr>
        <w:spacing w:after="0" w:line="395" w:lineRule="exact"/>
        <w:rPr>
          <w:sz w:val="20"/>
          <w:szCs w:val="20"/>
          <w:color w:val="auto"/>
        </w:rPr>
      </w:pPr>
    </w:p>
    <w:p>
      <w:pPr>
        <w:ind w:left="700"/>
        <w:spacing w:after="0"/>
        <w:rPr>
          <w:sz w:val="20"/>
          <w:szCs w:val="20"/>
          <w:color w:val="auto"/>
        </w:rPr>
      </w:pPr>
      <w:r>
        <w:rPr>
          <w:rFonts w:ascii="Arial" w:cs="Arial" w:eastAsia="Arial" w:hAnsi="Arial"/>
          <w:sz w:val="14"/>
          <w:szCs w:val="14"/>
          <w:color w:val="0E1020"/>
        </w:rPr>
        <w:t>Perform an annual risk assessment of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142240</wp:posOffset>
            </wp:positionV>
            <wp:extent cx="343916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39160" cy="8255"/>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210185</wp:posOffset>
            </wp:positionV>
            <wp:extent cx="204470" cy="2044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04470" cy="204470"/>
                    </a:xfrm>
                    <a:prstGeom prst="rect">
                      <a:avLst/>
                    </a:prstGeom>
                    <a:noFill/>
                  </pic:spPr>
                </pic:pic>
              </a:graphicData>
            </a:graphic>
          </wp:anchor>
        </w:drawing>
      </w:r>
    </w:p>
    <w:p>
      <w:pPr>
        <w:spacing w:after="0" w:line="395" w:lineRule="exact"/>
        <w:rPr>
          <w:sz w:val="20"/>
          <w:szCs w:val="20"/>
          <w:color w:val="auto"/>
        </w:rPr>
      </w:pPr>
    </w:p>
    <w:p>
      <w:pPr>
        <w:ind w:left="700"/>
        <w:spacing w:after="0"/>
        <w:rPr>
          <w:sz w:val="20"/>
          <w:szCs w:val="20"/>
          <w:color w:val="auto"/>
        </w:rPr>
      </w:pPr>
      <w:r>
        <w:rPr>
          <w:rFonts w:ascii="Arial" w:cs="Arial" w:eastAsia="Arial" w:hAnsi="Arial"/>
          <w:sz w:val="14"/>
          <w:szCs w:val="14"/>
          <w:color w:val="0E1020"/>
        </w:rPr>
        <w:t>Regularly review dilution and share utilization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142240</wp:posOffset>
            </wp:positionV>
            <wp:extent cx="343916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439160" cy="8255"/>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210185</wp:posOffset>
            </wp:positionV>
            <wp:extent cx="204470" cy="2044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04470" cy="204470"/>
                    </a:xfrm>
                    <a:prstGeom prst="rect">
                      <a:avLst/>
                    </a:prstGeom>
                    <a:noFill/>
                  </pic:spPr>
                </pic:pic>
              </a:graphicData>
            </a:graphic>
          </wp:anchor>
        </w:drawing>
      </w:r>
    </w:p>
    <w:p>
      <w:pPr>
        <w:spacing w:after="0" w:line="395" w:lineRule="exact"/>
        <w:rPr>
          <w:sz w:val="20"/>
          <w:szCs w:val="20"/>
          <w:color w:val="auto"/>
        </w:rPr>
      </w:pPr>
    </w:p>
    <w:p>
      <w:pPr>
        <w:ind w:left="700"/>
        <w:spacing w:after="0"/>
        <w:rPr>
          <w:sz w:val="20"/>
          <w:szCs w:val="20"/>
          <w:color w:val="auto"/>
        </w:rPr>
      </w:pPr>
      <w:r>
        <w:rPr>
          <w:rFonts w:ascii="Arial" w:cs="Arial" w:eastAsia="Arial" w:hAnsi="Arial"/>
          <w:sz w:val="14"/>
          <w:szCs w:val="14"/>
          <w:color w:val="0E1020"/>
        </w:rPr>
        <w:t>Annual incentives and PSU payouts are capped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142240</wp:posOffset>
            </wp:positionV>
            <wp:extent cx="34391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439160" cy="8255"/>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210185</wp:posOffset>
            </wp:positionV>
            <wp:extent cx="204470" cy="20447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04470" cy="204470"/>
                    </a:xfrm>
                    <a:prstGeom prst="rect">
                      <a:avLst/>
                    </a:prstGeom>
                    <a:noFill/>
                  </pic:spPr>
                </pic:pic>
              </a:graphicData>
            </a:graphic>
          </wp:anchor>
        </w:drawing>
      </w:r>
    </w:p>
    <w:p>
      <w:pPr>
        <w:spacing w:after="0" w:line="395" w:lineRule="exact"/>
        <w:rPr>
          <w:sz w:val="20"/>
          <w:szCs w:val="20"/>
          <w:color w:val="auto"/>
        </w:rPr>
      </w:pPr>
    </w:p>
    <w:p>
      <w:pPr>
        <w:ind w:left="700"/>
        <w:spacing w:after="0"/>
        <w:rPr>
          <w:sz w:val="20"/>
          <w:szCs w:val="20"/>
          <w:color w:val="auto"/>
        </w:rPr>
      </w:pPr>
      <w:r>
        <w:rPr>
          <w:rFonts w:ascii="Arial" w:cs="Arial" w:eastAsia="Arial" w:hAnsi="Arial"/>
          <w:sz w:val="14"/>
          <w:szCs w:val="14"/>
          <w:color w:val="0E1020"/>
        </w:rPr>
        <w:t>Double trigger Change of Control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142240</wp:posOffset>
            </wp:positionV>
            <wp:extent cx="343916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39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64</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type w:val="continuous"/>
        </w:sectPr>
      </w:pPr>
    </w:p>
    <w:bookmarkStart w:id="72" w:name="page73"/>
    <w:bookmarkEnd w:id="72"/>
    <w:p>
      <w:pPr>
        <w:ind w:left="20"/>
        <w:spacing w:after="0"/>
        <w:tabs>
          <w:tab w:leader="none" w:pos="962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Compensation Philosophy and Objectives</w:t>
      </w:r>
    </w:p>
    <w:p>
      <w:pPr>
        <w:spacing w:after="0" w:line="148" w:lineRule="exact"/>
        <w:rPr>
          <w:sz w:val="20"/>
          <w:szCs w:val="20"/>
          <w:color w:val="auto"/>
        </w:rPr>
      </w:pPr>
    </w:p>
    <w:p>
      <w:pPr>
        <w:ind w:right="160"/>
        <w:spacing w:after="0" w:line="316" w:lineRule="auto"/>
        <w:rPr>
          <w:sz w:val="20"/>
          <w:szCs w:val="20"/>
          <w:color w:val="auto"/>
        </w:rPr>
      </w:pPr>
      <w:r>
        <w:rPr>
          <w:rFonts w:ascii="Arial" w:cs="Arial" w:eastAsia="Arial" w:hAnsi="Arial"/>
          <w:sz w:val="16"/>
          <w:szCs w:val="16"/>
          <w:color w:val="0E1020"/>
        </w:rPr>
        <w:t>At DXC, we are strongly committed to tying executive compensation to business performance. Throughout our evolution, our executive compensation program has been grounded in a pay for performance philosophy aimed at achieving strong alignment between the Company’s financial and strategic goals and our stockholders’ interests:</w:t>
      </w:r>
    </w:p>
    <w:p>
      <w:pPr>
        <w:spacing w:after="0" w:line="37" w:lineRule="exact"/>
        <w:rPr>
          <w:sz w:val="20"/>
          <w:szCs w:val="20"/>
          <w:color w:val="auto"/>
        </w:rPr>
      </w:pPr>
    </w:p>
    <w:p>
      <w:pPr>
        <w:ind w:left="320" w:right="60" w:hanging="313"/>
        <w:spacing w:after="0" w:line="335" w:lineRule="auto"/>
        <w:tabs>
          <w:tab w:leader="none" w:pos="282" w:val="left"/>
        </w:tabs>
        <w:numPr>
          <w:ilvl w:val="0"/>
          <w:numId w:val="65"/>
        </w:numPr>
        <w:rPr>
          <w:rFonts w:ascii="Arial" w:cs="Arial" w:eastAsia="Arial" w:hAnsi="Arial"/>
          <w:sz w:val="16"/>
          <w:szCs w:val="16"/>
          <w:color w:val="0E1020"/>
        </w:rPr>
      </w:pPr>
      <w:r>
        <w:rPr>
          <w:rFonts w:ascii="Arial" w:cs="Arial" w:eastAsia="Arial" w:hAnsi="Arial"/>
          <w:sz w:val="16"/>
          <w:szCs w:val="16"/>
          <w:color w:val="0E1020"/>
        </w:rPr>
        <w:t xml:space="preserve">We are committed to a </w:t>
      </w:r>
      <w:r>
        <w:rPr>
          <w:rFonts w:ascii="Arial" w:cs="Arial" w:eastAsia="Arial" w:hAnsi="Arial"/>
          <w:sz w:val="16"/>
          <w:szCs w:val="16"/>
          <w:b w:val="1"/>
          <w:bCs w:val="1"/>
          <w:color w:val="0E1020"/>
        </w:rPr>
        <w:t>pay for performance</w:t>
      </w:r>
      <w:r>
        <w:rPr>
          <w:rFonts w:ascii="Arial" w:cs="Arial" w:eastAsia="Arial" w:hAnsi="Arial"/>
          <w:sz w:val="16"/>
          <w:szCs w:val="16"/>
          <w:color w:val="0E1020"/>
        </w:rPr>
        <w:t xml:space="preserve"> culture. Our executive compensation program aims to motivate our people to perform at a consistently high level and rewards contributions that enhance our ability to deliver outstanding results for our customers and create value for our stockholders.</w:t>
      </w:r>
    </w:p>
    <w:p>
      <w:pPr>
        <w:spacing w:after="0" w:line="35" w:lineRule="exact"/>
        <w:rPr>
          <w:rFonts w:ascii="Arial" w:cs="Arial" w:eastAsia="Arial" w:hAnsi="Arial"/>
          <w:sz w:val="16"/>
          <w:szCs w:val="16"/>
          <w:color w:val="0E1020"/>
        </w:rPr>
      </w:pPr>
    </w:p>
    <w:p>
      <w:pPr>
        <w:ind w:left="320" w:right="300" w:hanging="313"/>
        <w:spacing w:after="0" w:line="328" w:lineRule="auto"/>
        <w:tabs>
          <w:tab w:leader="none" w:pos="282" w:val="left"/>
        </w:tabs>
        <w:numPr>
          <w:ilvl w:val="0"/>
          <w:numId w:val="65"/>
        </w:numPr>
        <w:rPr>
          <w:rFonts w:ascii="Arial" w:cs="Arial" w:eastAsia="Arial" w:hAnsi="Arial"/>
          <w:sz w:val="16"/>
          <w:szCs w:val="16"/>
          <w:color w:val="0E1020"/>
        </w:rPr>
      </w:pPr>
      <w:r>
        <w:rPr>
          <w:rFonts w:ascii="Arial" w:cs="Arial" w:eastAsia="Arial" w:hAnsi="Arial"/>
          <w:sz w:val="16"/>
          <w:szCs w:val="16"/>
          <w:color w:val="0E1020"/>
        </w:rPr>
        <w:t xml:space="preserve">We believe that executive compensation should have a </w:t>
      </w:r>
      <w:r>
        <w:rPr>
          <w:rFonts w:ascii="Arial" w:cs="Arial" w:eastAsia="Arial" w:hAnsi="Arial"/>
          <w:sz w:val="16"/>
          <w:szCs w:val="16"/>
          <w:b w:val="1"/>
          <w:bCs w:val="1"/>
          <w:color w:val="0E1020"/>
        </w:rPr>
        <w:t>significant portion of pay at-risk</w:t>
      </w:r>
      <w:r>
        <w:rPr>
          <w:rFonts w:ascii="Arial" w:cs="Arial" w:eastAsia="Arial" w:hAnsi="Arial"/>
          <w:sz w:val="16"/>
          <w:szCs w:val="16"/>
          <w:color w:val="0E1020"/>
        </w:rPr>
        <w:t xml:space="preserve">, and be </w:t>
      </w:r>
      <w:r>
        <w:rPr>
          <w:rFonts w:ascii="Arial" w:cs="Arial" w:eastAsia="Arial" w:hAnsi="Arial"/>
          <w:sz w:val="16"/>
          <w:szCs w:val="16"/>
          <w:b w:val="1"/>
          <w:bCs w:val="1"/>
          <w:color w:val="0E1020"/>
        </w:rPr>
        <w:t>aligned to stockholders’ interests</w:t>
      </w:r>
      <w:r>
        <w:rPr>
          <w:rFonts w:ascii="Arial" w:cs="Arial" w:eastAsia="Arial" w:hAnsi="Arial"/>
          <w:sz w:val="16"/>
          <w:szCs w:val="16"/>
          <w:color w:val="0E1020"/>
        </w:rPr>
        <w:t xml:space="preserve"> and the </w:t>
      </w:r>
      <w:r>
        <w:rPr>
          <w:rFonts w:ascii="Arial" w:cs="Arial" w:eastAsia="Arial" w:hAnsi="Arial"/>
          <w:sz w:val="16"/>
          <w:szCs w:val="16"/>
          <w:b w:val="1"/>
          <w:bCs w:val="1"/>
          <w:color w:val="0E1020"/>
        </w:rPr>
        <w:t xml:space="preserve">long-term value </w:t>
      </w:r>
      <w:r>
        <w:rPr>
          <w:rFonts w:ascii="Arial" w:cs="Arial" w:eastAsia="Arial" w:hAnsi="Arial"/>
          <w:sz w:val="16"/>
          <w:szCs w:val="16"/>
          <w:color w:val="0E1020"/>
        </w:rPr>
        <w:t>realized by our stockholders through a balance of cash and equity.</w:t>
      </w:r>
    </w:p>
    <w:p>
      <w:pPr>
        <w:spacing w:after="0" w:line="33" w:lineRule="exact"/>
        <w:rPr>
          <w:rFonts w:ascii="Arial" w:cs="Arial" w:eastAsia="Arial" w:hAnsi="Arial"/>
          <w:sz w:val="16"/>
          <w:szCs w:val="16"/>
          <w:color w:val="0E1020"/>
        </w:rPr>
      </w:pPr>
    </w:p>
    <w:p>
      <w:pPr>
        <w:ind w:left="320" w:right="80" w:hanging="313"/>
        <w:spacing w:after="0" w:line="321" w:lineRule="auto"/>
        <w:tabs>
          <w:tab w:leader="none" w:pos="282" w:val="left"/>
        </w:tabs>
        <w:numPr>
          <w:ilvl w:val="0"/>
          <w:numId w:val="65"/>
        </w:numPr>
        <w:rPr>
          <w:rFonts w:ascii="Arial" w:cs="Arial" w:eastAsia="Arial" w:hAnsi="Arial"/>
          <w:sz w:val="16"/>
          <w:szCs w:val="16"/>
          <w:color w:val="0E1020"/>
        </w:rPr>
      </w:pPr>
      <w:r>
        <w:rPr>
          <w:rFonts w:ascii="Arial" w:cs="Arial" w:eastAsia="Arial" w:hAnsi="Arial"/>
          <w:sz w:val="16"/>
          <w:szCs w:val="16"/>
          <w:color w:val="0E1020"/>
        </w:rPr>
        <w:t xml:space="preserve">We believe that the majority of an executive’s total target compensation should be variable and tied to achievement of measurable financial and strategic objectives that support the Company’s business strategy. Performance measures are reviewed annually to ensure that we continue to </w:t>
      </w:r>
      <w:r>
        <w:rPr>
          <w:rFonts w:ascii="Arial" w:cs="Arial" w:eastAsia="Arial" w:hAnsi="Arial"/>
          <w:sz w:val="16"/>
          <w:szCs w:val="16"/>
          <w:b w:val="1"/>
          <w:bCs w:val="1"/>
          <w:color w:val="0E1020"/>
        </w:rPr>
        <w:t>align our pay</w:t>
      </w:r>
      <w:r>
        <w:rPr>
          <w:rFonts w:ascii="Arial" w:cs="Arial" w:eastAsia="Arial" w:hAnsi="Arial"/>
          <w:sz w:val="16"/>
          <w:szCs w:val="16"/>
          <w:color w:val="0E1020"/>
        </w:rPr>
        <w:t xml:space="preserve"> </w:t>
      </w:r>
      <w:r>
        <w:rPr>
          <w:rFonts w:ascii="Arial" w:cs="Arial" w:eastAsia="Arial" w:hAnsi="Arial"/>
          <w:sz w:val="16"/>
          <w:szCs w:val="16"/>
          <w:b w:val="1"/>
          <w:bCs w:val="1"/>
          <w:color w:val="0E1020"/>
        </w:rPr>
        <w:t>programs with our business strategy</w:t>
      </w:r>
      <w:r>
        <w:rPr>
          <w:rFonts w:ascii="Arial" w:cs="Arial" w:eastAsia="Arial" w:hAnsi="Arial"/>
          <w:sz w:val="16"/>
          <w:szCs w:val="16"/>
          <w:color w:val="0E1020"/>
        </w:rPr>
        <w:t>, create sustainable value, and motivate the right behaviors.</w:t>
      </w:r>
    </w:p>
    <w:p>
      <w:pPr>
        <w:spacing w:after="0" w:line="25" w:lineRule="exact"/>
        <w:rPr>
          <w:rFonts w:ascii="Arial" w:cs="Arial" w:eastAsia="Arial" w:hAnsi="Arial"/>
          <w:sz w:val="16"/>
          <w:szCs w:val="16"/>
          <w:color w:val="0E1020"/>
        </w:rPr>
      </w:pPr>
    </w:p>
    <w:p>
      <w:pPr>
        <w:ind w:left="320" w:right="280" w:hanging="313"/>
        <w:spacing w:after="0" w:line="335" w:lineRule="auto"/>
        <w:tabs>
          <w:tab w:leader="none" w:pos="282" w:val="left"/>
        </w:tabs>
        <w:numPr>
          <w:ilvl w:val="0"/>
          <w:numId w:val="65"/>
        </w:numPr>
        <w:rPr>
          <w:rFonts w:ascii="Arial" w:cs="Arial" w:eastAsia="Arial" w:hAnsi="Arial"/>
          <w:sz w:val="16"/>
          <w:szCs w:val="16"/>
          <w:color w:val="0E1020"/>
        </w:rPr>
      </w:pPr>
      <w:r>
        <w:rPr>
          <w:rFonts w:ascii="Arial" w:cs="Arial" w:eastAsia="Arial" w:hAnsi="Arial"/>
          <w:sz w:val="16"/>
          <w:szCs w:val="16"/>
          <w:color w:val="0E1020"/>
        </w:rPr>
        <w:t xml:space="preserve">Our people are critical to our success. We aim to </w:t>
      </w:r>
      <w:r>
        <w:rPr>
          <w:rFonts w:ascii="Arial" w:cs="Arial" w:eastAsia="Arial" w:hAnsi="Arial"/>
          <w:sz w:val="16"/>
          <w:szCs w:val="16"/>
          <w:b w:val="1"/>
          <w:bCs w:val="1"/>
          <w:color w:val="0E1020"/>
        </w:rPr>
        <w:t>attract, retain, and incentivize the best talent</w:t>
      </w:r>
      <w:r>
        <w:rPr>
          <w:rFonts w:ascii="Arial" w:cs="Arial" w:eastAsia="Arial" w:hAnsi="Arial"/>
          <w:sz w:val="16"/>
          <w:szCs w:val="16"/>
          <w:color w:val="0E1020"/>
        </w:rPr>
        <w:t xml:space="preserve"> with a range of backgrounds, skills, capabilities, and experiences to unlock value for our customers and enable our business to thrive.</w:t>
      </w:r>
    </w:p>
    <w:p>
      <w:pPr>
        <w:spacing w:after="0" w:line="22" w:lineRule="exact"/>
        <w:rPr>
          <w:rFonts w:ascii="Arial" w:cs="Arial" w:eastAsia="Arial" w:hAnsi="Arial"/>
          <w:sz w:val="16"/>
          <w:szCs w:val="16"/>
          <w:color w:val="0E1020"/>
        </w:rPr>
      </w:pPr>
    </w:p>
    <w:p>
      <w:pPr>
        <w:ind w:left="320" w:right="460" w:hanging="313"/>
        <w:spacing w:after="0" w:line="335" w:lineRule="auto"/>
        <w:tabs>
          <w:tab w:leader="none" w:pos="282" w:val="left"/>
        </w:tabs>
        <w:numPr>
          <w:ilvl w:val="0"/>
          <w:numId w:val="65"/>
        </w:numPr>
        <w:rPr>
          <w:rFonts w:ascii="Arial" w:cs="Arial" w:eastAsia="Arial" w:hAnsi="Arial"/>
          <w:sz w:val="16"/>
          <w:szCs w:val="16"/>
          <w:color w:val="0E1020"/>
        </w:rPr>
      </w:pPr>
      <w:r>
        <w:rPr>
          <w:rFonts w:ascii="Arial" w:cs="Arial" w:eastAsia="Arial" w:hAnsi="Arial"/>
          <w:sz w:val="16"/>
          <w:szCs w:val="16"/>
          <w:color w:val="0E1020"/>
        </w:rPr>
        <w:t xml:space="preserve">We believe that executive compensation should be </w:t>
      </w:r>
      <w:r>
        <w:rPr>
          <w:rFonts w:ascii="Arial" w:cs="Arial" w:eastAsia="Arial" w:hAnsi="Arial"/>
          <w:sz w:val="16"/>
          <w:szCs w:val="16"/>
          <w:b w:val="1"/>
          <w:bCs w:val="1"/>
          <w:color w:val="0E1020"/>
        </w:rPr>
        <w:t>competitive</w:t>
      </w:r>
      <w:r>
        <w:rPr>
          <w:rFonts w:ascii="Arial" w:cs="Arial" w:eastAsia="Arial" w:hAnsi="Arial"/>
          <w:sz w:val="16"/>
          <w:szCs w:val="16"/>
          <w:color w:val="0E1020"/>
        </w:rPr>
        <w:t xml:space="preserve"> to attract the best talent. Actual pay varies based on individual/team and Company performance.</w:t>
      </w:r>
    </w:p>
    <w:p>
      <w:pPr>
        <w:spacing w:after="0" w:line="22" w:lineRule="exact"/>
        <w:rPr>
          <w:rFonts w:ascii="Arial" w:cs="Arial" w:eastAsia="Arial" w:hAnsi="Arial"/>
          <w:sz w:val="16"/>
          <w:szCs w:val="16"/>
          <w:color w:val="0E1020"/>
        </w:rPr>
      </w:pPr>
    </w:p>
    <w:p>
      <w:pPr>
        <w:ind w:left="320" w:right="120" w:hanging="313"/>
        <w:spacing w:after="0" w:line="335" w:lineRule="auto"/>
        <w:tabs>
          <w:tab w:leader="none" w:pos="282" w:val="left"/>
        </w:tabs>
        <w:numPr>
          <w:ilvl w:val="0"/>
          <w:numId w:val="65"/>
        </w:numPr>
        <w:rPr>
          <w:rFonts w:ascii="Arial" w:cs="Arial" w:eastAsia="Arial" w:hAnsi="Arial"/>
          <w:sz w:val="16"/>
          <w:szCs w:val="16"/>
          <w:color w:val="0E1020"/>
        </w:rPr>
      </w:pPr>
      <w:r>
        <w:rPr>
          <w:rFonts w:ascii="Arial" w:cs="Arial" w:eastAsia="Arial" w:hAnsi="Arial"/>
          <w:sz w:val="16"/>
          <w:szCs w:val="16"/>
          <w:color w:val="0E1020"/>
        </w:rPr>
        <w:t xml:space="preserve">We believe that executive compensation should reflect an </w:t>
      </w:r>
      <w:r>
        <w:rPr>
          <w:rFonts w:ascii="Arial" w:cs="Arial" w:eastAsia="Arial" w:hAnsi="Arial"/>
          <w:sz w:val="16"/>
          <w:szCs w:val="16"/>
          <w:b w:val="1"/>
          <w:bCs w:val="1"/>
          <w:color w:val="0E1020"/>
        </w:rPr>
        <w:t>appropriate mix</w:t>
      </w:r>
      <w:r>
        <w:rPr>
          <w:rFonts w:ascii="Arial" w:cs="Arial" w:eastAsia="Arial" w:hAnsi="Arial"/>
          <w:sz w:val="16"/>
          <w:szCs w:val="16"/>
          <w:color w:val="0E1020"/>
        </w:rPr>
        <w:t xml:space="preserve"> of short-term and long-term pay elements that make executives accountable for both short-term and long-term performance.</w:t>
      </w:r>
    </w:p>
    <w:p>
      <w:pPr>
        <w:spacing w:after="0" w:line="35" w:lineRule="exact"/>
        <w:rPr>
          <w:rFonts w:ascii="Arial" w:cs="Arial" w:eastAsia="Arial" w:hAnsi="Arial"/>
          <w:sz w:val="16"/>
          <w:szCs w:val="16"/>
          <w:color w:val="0E1020"/>
        </w:rPr>
      </w:pPr>
    </w:p>
    <w:p>
      <w:pPr>
        <w:ind w:left="320" w:right="500" w:hanging="313"/>
        <w:spacing w:after="0" w:line="346" w:lineRule="auto"/>
        <w:tabs>
          <w:tab w:leader="none" w:pos="282" w:val="left"/>
        </w:tabs>
        <w:numPr>
          <w:ilvl w:val="0"/>
          <w:numId w:val="65"/>
        </w:numPr>
        <w:rPr>
          <w:rFonts w:ascii="Arial" w:cs="Arial" w:eastAsia="Arial" w:hAnsi="Arial"/>
          <w:sz w:val="16"/>
          <w:szCs w:val="16"/>
          <w:color w:val="0E1020"/>
        </w:rPr>
      </w:pPr>
      <w:r>
        <w:rPr>
          <w:rFonts w:ascii="Arial" w:cs="Arial" w:eastAsia="Arial" w:hAnsi="Arial"/>
          <w:sz w:val="16"/>
          <w:szCs w:val="16"/>
          <w:color w:val="0E1020"/>
        </w:rPr>
        <w:t xml:space="preserve">We engage with stockholders on a regular basis to obtain their input on our executive compensation program design and operation, so that we can </w:t>
      </w:r>
      <w:r>
        <w:rPr>
          <w:rFonts w:ascii="Arial" w:cs="Arial" w:eastAsia="Arial" w:hAnsi="Arial"/>
          <w:sz w:val="16"/>
          <w:szCs w:val="16"/>
          <w:b w:val="1"/>
          <w:bCs w:val="1"/>
          <w:color w:val="0E1020"/>
        </w:rPr>
        <w:t xml:space="preserve">incorporate stockholder feedback </w:t>
      </w:r>
      <w:r>
        <w:rPr>
          <w:rFonts w:ascii="Arial" w:cs="Arial" w:eastAsia="Arial" w:hAnsi="Arial"/>
          <w:sz w:val="16"/>
          <w:szCs w:val="16"/>
          <w:color w:val="0E1020"/>
        </w:rPr>
        <w:t>into our planning process and revisions to our program.</w:t>
      </w:r>
    </w:p>
    <w:p>
      <w:pPr>
        <w:spacing w:after="0" w:line="99"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Compensation Determination Process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Role of the Compensation Committee</w:t>
      </w:r>
    </w:p>
    <w:p>
      <w:pPr>
        <w:spacing w:after="0" w:line="146"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0E1020"/>
        </w:rPr>
        <w:t>The Compensation Committee is responsible for overseeing DXC’s executive compensation policies and programs. In fulfilling its responsibilities, the Compensation Committee reviews general trends in executive compensation, compensation plan design, and the total value and mix of compensation for our executive officers, including the CEO. On an annual basis, the Compensation Committee evaluates DXC’s executive compensation program to ensure it remains competitive in attracting, retaining, and motivating qualified executives, and supports our short-term and long-term business objectives.</w:t>
      </w:r>
    </w:p>
    <w:p>
      <w:pPr>
        <w:spacing w:after="0" w:line="60" w:lineRule="exact"/>
        <w:rPr>
          <w:sz w:val="20"/>
          <w:szCs w:val="20"/>
          <w:color w:val="auto"/>
        </w:rPr>
      </w:pPr>
    </w:p>
    <w:p>
      <w:pPr>
        <w:spacing w:after="0" w:line="304" w:lineRule="auto"/>
        <w:rPr>
          <w:sz w:val="20"/>
          <w:szCs w:val="20"/>
          <w:color w:val="auto"/>
        </w:rPr>
      </w:pPr>
      <w:r>
        <w:rPr>
          <w:rFonts w:ascii="Arial" w:cs="Arial" w:eastAsia="Arial" w:hAnsi="Arial"/>
          <w:sz w:val="16"/>
          <w:szCs w:val="16"/>
          <w:color w:val="0E1020"/>
        </w:rPr>
        <w:t>The Compensation Committee considers various factors in determining compensation, including an executive’s experience, performance, and contributions, as well as the Company’s financial performance and overall business context. This flexibility is particularly important in designing compensation arrangements to attract and retain executives in a highly competitive, rapidly changing market. In addition, the Compensation Committee considers feedback the Company receives from stockholders when making decisions on the Company’s executive compensation practices.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Role of Management</w:t>
      </w:r>
    </w:p>
    <w:p>
      <w:pPr>
        <w:spacing w:after="0" w:line="133" w:lineRule="exact"/>
        <w:rPr>
          <w:sz w:val="20"/>
          <w:szCs w:val="20"/>
          <w:color w:val="auto"/>
        </w:rPr>
      </w:pPr>
    </w:p>
    <w:p>
      <w:pPr>
        <w:jc w:val="both"/>
        <w:ind w:right="220"/>
        <w:spacing w:after="0" w:line="316" w:lineRule="auto"/>
        <w:rPr>
          <w:sz w:val="20"/>
          <w:szCs w:val="20"/>
          <w:color w:val="auto"/>
        </w:rPr>
      </w:pPr>
      <w:r>
        <w:rPr>
          <w:rFonts w:ascii="Arial" w:cs="Arial" w:eastAsia="Arial" w:hAnsi="Arial"/>
          <w:sz w:val="16"/>
          <w:szCs w:val="16"/>
          <w:color w:val="0E1020"/>
        </w:rPr>
        <w:t>The Compensation Committee coordinates with the President &amp; Chief Executive Officer (“CEO”) and the Chief People Officer (“CPO”), in collaboration with management and the finance and legal groups as appropriate, to design and develop the compensation program. This group supports the preparation and analysis of financial data, peer group comparisons, and other materials to assist the Compensation Committee in making and implementing its decisions.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65</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73" w:name="page74"/>
    <w:bookmarkEnd w:id="73"/>
    <w:p>
      <w:pPr>
        <w:ind w:left="20"/>
        <w:spacing w:after="0"/>
        <w:tabs>
          <w:tab w:leader="none" w:pos="10100" w:val="left"/>
        </w:tabs>
        <w:rPr>
          <w:sz w:val="20"/>
          <w:szCs w:val="20"/>
          <w:color w:val="auto"/>
        </w:rPr>
      </w:pPr>
      <w:r>
        <w:rPr>
          <w:rFonts w:ascii="Arial" w:cs="Arial" w:eastAsia="Arial" w:hAnsi="Arial"/>
          <w:sz w:val="14"/>
          <w:szCs w:val="14"/>
          <w:color w:val="auto"/>
        </w:rPr>
        <w:t>Executive Compensation</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0E1020"/>
        </w:rPr>
        <w:t>The CEO, with the assistance of the CPO, also conducts an annual review of the total compensation of each executive officer, including the NEOs (other than with respect to his own compensation). The review includes an assessment of each executive officer’s experience, performance, the performance of the executive officer’s respective business unit or function, and market pay levels within our peer group. After this review, the CEO recommends base salaries, target annual cash and long-term incentive opportunities, any payouts related to the annual cash incentive plan, and annual equity grants for the executive officers to the Compensation Committee for approval.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Role of Board</w:t>
      </w:r>
    </w:p>
    <w:p>
      <w:pPr>
        <w:spacing w:after="0" w:line="146"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0E1020"/>
        </w:rPr>
        <w:t>While the CEO provides recommendations to the Compensation Committee about executive officer compensation and Company-wide performance targets, the ultimate decisions regarding executive compensation are made by the Compensation Committee. When the Compensation Committee discusses the compensation recommendations of our CEO, our CEO does not play any role with respect to any matter affecting his own compensation and is not present during such discussions. The independent members of the Board approve the CEO’s compensation, and the CEO does not participate in the discussion.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Role of the Independent Compensation Consultant</w:t>
      </w:r>
    </w:p>
    <w:p>
      <w:pPr>
        <w:spacing w:after="0" w:line="133"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0E1020"/>
        </w:rPr>
        <w:t>The Compensation Committee retains Pay Governance, an independent compensation consulting firm, to advise on executive compensation matters and provide additional information regarding whether DXC’s executive compensation program is reasonable and consistent with its objectives. Pay Governance reports directly to the Compensation Committee and regularly participates in Compensation Committee meetings at the request of the Compensation Committee Chairman. During fiscal 2026, Pay Governance advised the Compensation Committee on executive compensation and governance trends; CEO and executive officer compensation; non-employee director compensation; incentive program design; selection of peer group companies; and the share usage and dilution in connection with the equity compensation plan.</w:t>
      </w:r>
    </w:p>
    <w:p>
      <w:pPr>
        <w:spacing w:after="0" w:line="63" w:lineRule="exact"/>
        <w:rPr>
          <w:sz w:val="20"/>
          <w:szCs w:val="20"/>
          <w:color w:val="auto"/>
        </w:rPr>
      </w:pPr>
    </w:p>
    <w:p>
      <w:pPr>
        <w:jc w:val="both"/>
        <w:ind w:right="120"/>
        <w:spacing w:after="0" w:line="307" w:lineRule="auto"/>
        <w:rPr>
          <w:sz w:val="20"/>
          <w:szCs w:val="20"/>
          <w:color w:val="auto"/>
        </w:rPr>
      </w:pPr>
      <w:r>
        <w:rPr>
          <w:rFonts w:ascii="Arial" w:cs="Arial" w:eastAsia="Arial" w:hAnsi="Arial"/>
          <w:sz w:val="16"/>
          <w:szCs w:val="16"/>
          <w:color w:val="0E1020"/>
        </w:rPr>
        <w:t>Pay Governance has been retained since October 2020, and the Compensation Committee has the sole authority to retain, terminate, and obtain the advice of Pay Governance at the Company’s expense. The Compensation Committee assessed the independence of Pay Governance pursuant to SEC and NYSE rules and concluded that there are no conflicts of interest that prevent them from providing independent advisory services to the Compensation Committee.</w:t>
      </w:r>
    </w:p>
    <w:p>
      <w:pPr>
        <w:spacing w:after="0" w:line="58" w:lineRule="exact"/>
        <w:rPr>
          <w:sz w:val="20"/>
          <w:szCs w:val="20"/>
          <w:color w:val="auto"/>
        </w:rPr>
      </w:pPr>
    </w:p>
    <w:p>
      <w:pPr>
        <w:spacing w:after="0" w:line="335" w:lineRule="auto"/>
        <w:rPr>
          <w:sz w:val="20"/>
          <w:szCs w:val="20"/>
          <w:color w:val="auto"/>
        </w:rPr>
      </w:pPr>
      <w:r>
        <w:rPr>
          <w:rFonts w:ascii="Arial" w:cs="Arial" w:eastAsia="Arial" w:hAnsi="Arial"/>
          <w:sz w:val="16"/>
          <w:szCs w:val="16"/>
          <w:color w:val="0E1020"/>
        </w:rPr>
        <w:t>While the Compensation Committee took into consideration the review and recommendations of Pay Governance when making decisions about our executive compensation program, ultimately, the Compensation Committee made its own independent decisions in determining our executives’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Compensation Peer Group and Peer Selection Process</w:t>
      </w:r>
    </w:p>
    <w:p>
      <w:pPr>
        <w:spacing w:after="0" w:line="133" w:lineRule="exact"/>
        <w:rPr>
          <w:sz w:val="20"/>
          <w:szCs w:val="20"/>
          <w:color w:val="auto"/>
        </w:rPr>
      </w:pPr>
    </w:p>
    <w:p>
      <w:pPr>
        <w:ind w:right="120"/>
        <w:spacing w:after="0" w:line="316" w:lineRule="auto"/>
        <w:rPr>
          <w:sz w:val="20"/>
          <w:szCs w:val="20"/>
          <w:color w:val="auto"/>
        </w:rPr>
      </w:pPr>
      <w:r>
        <w:rPr>
          <w:rFonts w:ascii="Arial" w:cs="Arial" w:eastAsia="Arial" w:hAnsi="Arial"/>
          <w:sz w:val="16"/>
          <w:szCs w:val="16"/>
          <w:color w:val="0E1020"/>
        </w:rPr>
        <w:t>The Compensation Committee believes that obtaining relevant market and benchmark data where we compete for talent is very important to making determinations about executive compensation. Such information provides a reference point for making decisions and helpful context even though, relative to other companies, there are differences and unique aspects of the Company.</w:t>
      </w:r>
    </w:p>
    <w:p>
      <w:pPr>
        <w:spacing w:after="0" w:line="37" w:lineRule="exact"/>
        <w:rPr>
          <w:sz w:val="20"/>
          <w:szCs w:val="20"/>
          <w:color w:val="auto"/>
        </w:rPr>
      </w:pPr>
    </w:p>
    <w:p>
      <w:pPr>
        <w:jc w:val="both"/>
        <w:ind w:right="60"/>
        <w:spacing w:after="0" w:line="316" w:lineRule="auto"/>
        <w:rPr>
          <w:sz w:val="20"/>
          <w:szCs w:val="20"/>
          <w:color w:val="auto"/>
        </w:rPr>
      </w:pPr>
      <w:r>
        <w:rPr>
          <w:rFonts w:ascii="Arial" w:cs="Arial" w:eastAsia="Arial" w:hAnsi="Arial"/>
          <w:sz w:val="16"/>
          <w:szCs w:val="16"/>
          <w:color w:val="0E1020"/>
        </w:rPr>
        <w:t>The Compensation Committee takes into consideration the structure and components of, and the amounts paid under, the executive compensation programs of other, comparable peer companies, as derived from public filings and other sources, when making decisions about the structure and component mix of our executive compensation program. The Compensation Committee also considers broader industry practices and our competitors for talent.</w:t>
      </w:r>
    </w:p>
    <w:p>
      <w:pPr>
        <w:spacing w:after="0" w:line="37" w:lineRule="exact"/>
        <w:rPr>
          <w:sz w:val="20"/>
          <w:szCs w:val="20"/>
          <w:color w:val="auto"/>
        </w:rPr>
      </w:pPr>
    </w:p>
    <w:p>
      <w:pPr>
        <w:jc w:val="both"/>
        <w:ind w:right="80"/>
        <w:spacing w:after="0" w:line="335" w:lineRule="auto"/>
        <w:rPr>
          <w:sz w:val="20"/>
          <w:szCs w:val="20"/>
          <w:color w:val="auto"/>
        </w:rPr>
      </w:pPr>
      <w:r>
        <w:rPr>
          <w:rFonts w:ascii="Arial" w:cs="Arial" w:eastAsia="Arial" w:hAnsi="Arial"/>
          <w:sz w:val="16"/>
          <w:szCs w:val="16"/>
          <w:color w:val="0E1020"/>
        </w:rPr>
        <w:t>The Compensation Committee, with the assistance of its independent consultant, developed and maintained a peer group in connection with decisions made in fiscal 2026 using the following criteria:</w:t>
      </w:r>
    </w:p>
    <w:p>
      <w:pPr>
        <w:spacing w:after="0" w:line="36" w:lineRule="exact"/>
        <w:rPr>
          <w:sz w:val="20"/>
          <w:szCs w:val="20"/>
          <w:color w:val="auto"/>
        </w:rPr>
      </w:pPr>
    </w:p>
    <w:p>
      <w:pPr>
        <w:ind w:left="300" w:hanging="293"/>
        <w:spacing w:after="0"/>
        <w:tabs>
          <w:tab w:leader="none" w:pos="300" w:val="left"/>
        </w:tabs>
        <w:numPr>
          <w:ilvl w:val="0"/>
          <w:numId w:val="66"/>
        </w:numPr>
        <w:rPr>
          <w:rFonts w:ascii="Arial" w:cs="Arial" w:eastAsia="Arial" w:hAnsi="Arial"/>
          <w:sz w:val="16"/>
          <w:szCs w:val="16"/>
          <w:color w:val="0E1020"/>
        </w:rPr>
      </w:pPr>
      <w:r>
        <w:rPr>
          <w:rFonts w:ascii="Arial" w:cs="Arial" w:eastAsia="Arial" w:hAnsi="Arial"/>
          <w:sz w:val="16"/>
          <w:szCs w:val="16"/>
          <w:color w:val="0E1020"/>
        </w:rPr>
        <w:t>IT and professional services industries</w:t>
      </w:r>
    </w:p>
    <w:p>
      <w:pPr>
        <w:spacing w:after="0" w:line="124" w:lineRule="exact"/>
        <w:rPr>
          <w:rFonts w:ascii="Arial" w:cs="Arial" w:eastAsia="Arial" w:hAnsi="Arial"/>
          <w:sz w:val="16"/>
          <w:szCs w:val="16"/>
          <w:color w:val="0E1020"/>
        </w:rPr>
      </w:pPr>
    </w:p>
    <w:p>
      <w:pPr>
        <w:ind w:left="300" w:hanging="293"/>
        <w:spacing w:after="0"/>
        <w:tabs>
          <w:tab w:leader="none" w:pos="300" w:val="left"/>
        </w:tabs>
        <w:numPr>
          <w:ilvl w:val="0"/>
          <w:numId w:val="66"/>
        </w:numPr>
        <w:rPr>
          <w:rFonts w:ascii="Arial" w:cs="Arial" w:eastAsia="Arial" w:hAnsi="Arial"/>
          <w:sz w:val="16"/>
          <w:szCs w:val="16"/>
          <w:color w:val="0E1020"/>
        </w:rPr>
      </w:pPr>
      <w:r>
        <w:rPr>
          <w:rFonts w:ascii="Arial" w:cs="Arial" w:eastAsia="Arial" w:hAnsi="Arial"/>
          <w:sz w:val="16"/>
          <w:szCs w:val="16"/>
          <w:color w:val="0E1020"/>
        </w:rPr>
        <w:t>Revenue in the range of 1/3x to 3x the revenue of DXC</w:t>
      </w:r>
    </w:p>
    <w:p>
      <w:pPr>
        <w:spacing w:after="0" w:line="124" w:lineRule="exact"/>
        <w:rPr>
          <w:rFonts w:ascii="Arial" w:cs="Arial" w:eastAsia="Arial" w:hAnsi="Arial"/>
          <w:sz w:val="16"/>
          <w:szCs w:val="16"/>
          <w:color w:val="0E1020"/>
        </w:rPr>
      </w:pPr>
    </w:p>
    <w:p>
      <w:pPr>
        <w:ind w:left="300" w:hanging="293"/>
        <w:spacing w:after="0"/>
        <w:tabs>
          <w:tab w:leader="none" w:pos="300" w:val="left"/>
        </w:tabs>
        <w:numPr>
          <w:ilvl w:val="0"/>
          <w:numId w:val="66"/>
        </w:numPr>
        <w:rPr>
          <w:rFonts w:ascii="Arial" w:cs="Arial" w:eastAsia="Arial" w:hAnsi="Arial"/>
          <w:sz w:val="16"/>
          <w:szCs w:val="16"/>
          <w:color w:val="0E1020"/>
        </w:rPr>
      </w:pPr>
      <w:r>
        <w:rPr>
          <w:rFonts w:ascii="Arial" w:cs="Arial" w:eastAsia="Arial" w:hAnsi="Arial"/>
          <w:sz w:val="16"/>
          <w:szCs w:val="16"/>
          <w:color w:val="0E1020"/>
        </w:rPr>
        <w:t>Direct competitors for talent</w:t>
      </w:r>
    </w:p>
    <w:p>
      <w:pPr>
        <w:spacing w:after="0" w:line="137" w:lineRule="exact"/>
        <w:rPr>
          <w:rFonts w:ascii="Arial" w:cs="Arial" w:eastAsia="Arial" w:hAnsi="Arial"/>
          <w:sz w:val="16"/>
          <w:szCs w:val="16"/>
          <w:color w:val="0E1020"/>
        </w:rPr>
      </w:pPr>
    </w:p>
    <w:p>
      <w:pPr>
        <w:ind w:left="300" w:hanging="293"/>
        <w:spacing w:after="0"/>
        <w:tabs>
          <w:tab w:leader="none" w:pos="300" w:val="left"/>
        </w:tabs>
        <w:numPr>
          <w:ilvl w:val="0"/>
          <w:numId w:val="66"/>
        </w:numPr>
        <w:rPr>
          <w:rFonts w:ascii="Arial" w:cs="Arial" w:eastAsia="Arial" w:hAnsi="Arial"/>
          <w:sz w:val="16"/>
          <w:szCs w:val="16"/>
          <w:color w:val="0E1020"/>
        </w:rPr>
      </w:pPr>
      <w:r>
        <w:rPr>
          <w:rFonts w:ascii="Arial" w:cs="Arial" w:eastAsia="Arial" w:hAnsi="Arial"/>
          <w:sz w:val="16"/>
          <w:szCs w:val="16"/>
          <w:color w:val="0E1020"/>
        </w:rPr>
        <w:t>Organizational scope/complexity (key financial and operating measures, number of employees,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66</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74" w:name="page75"/>
    <w:bookmarkEnd w:id="74"/>
    <w:p>
      <w:pPr>
        <w:ind w:left="20"/>
        <w:spacing w:after="0"/>
        <w:tabs>
          <w:tab w:leader="none" w:pos="962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auto"/>
        </w:rPr>
        <w:t>Executive Compensation</w:t>
      </w:r>
    </w:p>
    <w:p>
      <w:pPr>
        <w:spacing w:after="0" w:line="200" w:lineRule="exact"/>
        <w:rPr>
          <w:sz w:val="20"/>
          <w:szCs w:val="20"/>
          <w:color w:val="auto"/>
        </w:rPr>
      </w:pPr>
    </w:p>
    <w:p>
      <w:pPr>
        <w:spacing w:after="0" w:line="35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0E1020"/>
        </w:rPr>
        <w:t xml:space="preserve">DXC operates in an industry where the market for top talent is very competitive. Accordingly, </w:t>
      </w:r>
      <w:r>
        <w:rPr>
          <w:rFonts w:ascii="Arial" w:cs="Arial" w:eastAsia="Arial" w:hAnsi="Arial"/>
          <w:sz w:val="16"/>
          <w:szCs w:val="16"/>
          <w:b w:val="1"/>
          <w:bCs w:val="1"/>
          <w:color w:val="0E1020"/>
        </w:rPr>
        <w:t>the Compensation Committee recognizes that an accurate</w:t>
      </w:r>
      <w:r>
        <w:rPr>
          <w:rFonts w:ascii="Arial" w:cs="Arial" w:eastAsia="Arial" w:hAnsi="Arial"/>
          <w:sz w:val="16"/>
          <w:szCs w:val="16"/>
          <w:color w:val="0E1020"/>
        </w:rPr>
        <w:t xml:space="preserve"> </w:t>
      </w:r>
      <w:r>
        <w:rPr>
          <w:rFonts w:ascii="Arial" w:cs="Arial" w:eastAsia="Arial" w:hAnsi="Arial"/>
          <w:sz w:val="16"/>
          <w:szCs w:val="16"/>
          <w:b w:val="1"/>
          <w:bCs w:val="1"/>
          <w:color w:val="0E1020"/>
        </w:rPr>
        <w:t>representation of DXC’s competition for talent includes a broad number of companies across the IT services landscape</w:t>
      </w:r>
      <w:r>
        <w:rPr>
          <w:rFonts w:ascii="Arial" w:cs="Arial" w:eastAsia="Arial" w:hAnsi="Arial"/>
          <w:sz w:val="16"/>
          <w:szCs w:val="16"/>
          <w:color w:val="0E1020"/>
        </w:rPr>
        <w:t>. In addition, we compete for</w:t>
      </w:r>
      <w:r>
        <w:rPr>
          <w:rFonts w:ascii="Arial" w:cs="Arial" w:eastAsia="Arial" w:hAnsi="Arial"/>
          <w:sz w:val="16"/>
          <w:szCs w:val="16"/>
          <w:b w:val="1"/>
          <w:bCs w:val="1"/>
          <w:color w:val="0E1020"/>
        </w:rPr>
        <w:t xml:space="preserve"> </w:t>
      </w:r>
      <w:r>
        <w:rPr>
          <w:rFonts w:ascii="Arial" w:cs="Arial" w:eastAsia="Arial" w:hAnsi="Arial"/>
          <w:sz w:val="16"/>
          <w:szCs w:val="16"/>
          <w:color w:val="0E1020"/>
        </w:rPr>
        <w:t>talent and hire from industry leading organizations with larger market capitalizations. While DXC’s unique position as a leading end-to-end IT services company means there are relatively few pure-play IT companies of our size that are considered direct comparators, we believe that the peer group provides DXC and the Compensation Committee with a set of comparators and benchmarks for the Company’s executive compensation program and governance practices. In fiscal 2026, three peers were added to the existing peer group, i.e., Booz Allen Hamilton Holding Corporation, EPAM Systems, Inc., and Kyndryl Holdings, Inc., and three peers were removed from the existing peer group, i.e., Cisco Systems, Inc., Intel Corporation, and Texas Instruments Incorporated. These changes were made to further right-size the peer group based on currently assessed size, similarity in business model, such as IT consulting and revenue size, as well as talent competition.</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0E1020"/>
        </w:rPr>
        <w:t>The peer group used in connection with decisions relating to fiscal 2026 components of compensation consisted of the following companies: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420" w:type="dxa"/>
            <w:vAlign w:val="bottom"/>
            <w:shd w:val="clear" w:color="auto" w:fill="F6F3F0"/>
          </w:tcPr>
          <w:p>
            <w:pPr>
              <w:spacing w:after="0"/>
              <w:rPr>
                <w:sz w:val="21"/>
                <w:szCs w:val="21"/>
                <w:color w:val="auto"/>
              </w:rPr>
            </w:pPr>
          </w:p>
        </w:tc>
        <w:tc>
          <w:tcPr>
            <w:tcW w:w="23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Revenue Latest FYE</w:t>
            </w:r>
            <w:r>
              <w:rPr>
                <w:rFonts w:ascii="Arial" w:cs="Arial" w:eastAsia="Arial" w:hAnsi="Arial"/>
                <w:sz w:val="9"/>
                <w:szCs w:val="9"/>
                <w:b w:val="1"/>
                <w:bCs w:val="1"/>
                <w:color w:val="0E1020"/>
              </w:rPr>
              <w:t>(1)</w:t>
            </w:r>
          </w:p>
        </w:tc>
        <w:tc>
          <w:tcPr>
            <w:tcW w:w="2480" w:type="dxa"/>
            <w:vAlign w:val="bottom"/>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Total Employees</w:t>
            </w:r>
          </w:p>
        </w:tc>
      </w:tr>
      <w:tr>
        <w:trPr>
          <w:trHeight w:val="195"/>
        </w:trPr>
        <w:tc>
          <w:tcPr>
            <w:tcW w:w="6420" w:type="dxa"/>
            <w:vAlign w:val="bottom"/>
            <w:shd w:val="clear" w:color="auto" w:fill="F6F3F0"/>
          </w:tcPr>
          <w:p>
            <w:pPr>
              <w:ind w:left="100"/>
              <w:spacing w:after="0"/>
              <w:rPr>
                <w:sz w:val="20"/>
                <w:szCs w:val="20"/>
                <w:color w:val="auto"/>
              </w:rPr>
            </w:pPr>
            <w:r>
              <w:rPr>
                <w:rFonts w:ascii="Arial" w:cs="Arial" w:eastAsia="Arial" w:hAnsi="Arial"/>
                <w:sz w:val="14"/>
                <w:szCs w:val="14"/>
                <w:b w:val="1"/>
                <w:bCs w:val="1"/>
                <w:color w:val="0E1020"/>
              </w:rPr>
              <w:t>Company</w:t>
            </w:r>
          </w:p>
        </w:tc>
        <w:tc>
          <w:tcPr>
            <w:tcW w:w="23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 in millions)</w:t>
            </w:r>
          </w:p>
        </w:tc>
        <w:tc>
          <w:tcPr>
            <w:tcW w:w="2480" w:type="dxa"/>
            <w:vAlign w:val="bottom"/>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w:t>
            </w:r>
          </w:p>
        </w:tc>
      </w:tr>
      <w:tr>
        <w:trPr>
          <w:trHeight w:val="69"/>
        </w:trPr>
        <w:tc>
          <w:tcPr>
            <w:tcW w:w="6420" w:type="dxa"/>
            <w:vAlign w:val="bottom"/>
            <w:tcBorders>
              <w:bottom w:val="single" w:sz="8" w:color="CFCFD2"/>
            </w:tcBorders>
            <w:shd w:val="clear" w:color="auto" w:fill="F6F3F0"/>
          </w:tcPr>
          <w:p>
            <w:pPr>
              <w:spacing w:after="0"/>
              <w:rPr>
                <w:sz w:val="5"/>
                <w:szCs w:val="5"/>
                <w:color w:val="auto"/>
              </w:rPr>
            </w:pPr>
          </w:p>
        </w:tc>
        <w:tc>
          <w:tcPr>
            <w:tcW w:w="2340" w:type="dxa"/>
            <w:vAlign w:val="bottom"/>
            <w:tcBorders>
              <w:bottom w:val="single" w:sz="8" w:color="CFCFD2"/>
            </w:tcBorders>
            <w:shd w:val="clear" w:color="auto" w:fill="F6F3F0"/>
          </w:tcPr>
          <w:p>
            <w:pPr>
              <w:spacing w:after="0"/>
              <w:rPr>
                <w:sz w:val="5"/>
                <w:szCs w:val="5"/>
                <w:color w:val="auto"/>
              </w:rPr>
            </w:pPr>
          </w:p>
        </w:tc>
        <w:tc>
          <w:tcPr>
            <w:tcW w:w="2480" w:type="dxa"/>
            <w:vAlign w:val="bottom"/>
            <w:tcBorders>
              <w:bottom w:val="single" w:sz="8" w:color="CFCFD2"/>
            </w:tcBorders>
            <w:shd w:val="clear" w:color="auto" w:fill="F6F3F0"/>
          </w:tcPr>
          <w:p>
            <w:pPr>
              <w:spacing w:after="0"/>
              <w:rPr>
                <w:sz w:val="5"/>
                <w:szCs w:val="5"/>
                <w:color w:val="auto"/>
              </w:rPr>
            </w:pPr>
          </w:p>
        </w:tc>
      </w:tr>
      <w:tr>
        <w:trPr>
          <w:trHeight w:val="200"/>
        </w:trPr>
        <w:tc>
          <w:tcPr>
            <w:tcW w:w="6420" w:type="dxa"/>
            <w:vAlign w:val="bottom"/>
          </w:tcPr>
          <w:p>
            <w:pPr>
              <w:ind w:left="100"/>
              <w:spacing w:after="0"/>
              <w:rPr>
                <w:sz w:val="20"/>
                <w:szCs w:val="20"/>
                <w:color w:val="auto"/>
              </w:rPr>
            </w:pPr>
            <w:r>
              <w:rPr>
                <w:rFonts w:ascii="Arial" w:cs="Arial" w:eastAsia="Arial" w:hAnsi="Arial"/>
                <w:sz w:val="14"/>
                <w:szCs w:val="14"/>
                <w:color w:val="0E1020"/>
              </w:rPr>
              <w:t>Accenture plc</w:t>
            </w:r>
          </w:p>
        </w:tc>
        <w:tc>
          <w:tcPr>
            <w:tcW w:w="2340" w:type="dxa"/>
            <w:vAlign w:val="bottom"/>
          </w:tcPr>
          <w:p>
            <w:pPr>
              <w:jc w:val="right"/>
              <w:spacing w:after="0"/>
              <w:rPr>
                <w:sz w:val="20"/>
                <w:szCs w:val="20"/>
                <w:color w:val="auto"/>
              </w:rPr>
            </w:pPr>
            <w:r>
              <w:rPr>
                <w:rFonts w:ascii="Arial" w:cs="Arial" w:eastAsia="Arial" w:hAnsi="Arial"/>
                <w:sz w:val="14"/>
                <w:szCs w:val="14"/>
                <w:color w:val="0E1020"/>
              </w:rPr>
              <w:t>64,112</w:t>
            </w:r>
          </w:p>
        </w:tc>
        <w:tc>
          <w:tcPr>
            <w:tcW w:w="2480" w:type="dxa"/>
            <w:vAlign w:val="bottom"/>
          </w:tcPr>
          <w:p>
            <w:pPr>
              <w:jc w:val="right"/>
              <w:ind w:right="89"/>
              <w:spacing w:after="0"/>
              <w:rPr>
                <w:sz w:val="20"/>
                <w:szCs w:val="20"/>
                <w:color w:val="auto"/>
              </w:rPr>
            </w:pPr>
            <w:r>
              <w:rPr>
                <w:rFonts w:ascii="Arial" w:cs="Arial" w:eastAsia="Arial" w:hAnsi="Arial"/>
                <w:sz w:val="14"/>
                <w:szCs w:val="14"/>
                <w:color w:val="0E1020"/>
              </w:rPr>
              <w:t>733,000</w:t>
            </w:r>
          </w:p>
        </w:tc>
      </w:tr>
      <w:tr>
        <w:trPr>
          <w:trHeight w:val="21"/>
        </w:trPr>
        <w:tc>
          <w:tcPr>
            <w:tcW w:w="64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80" w:type="dxa"/>
            <w:vAlign w:val="bottom"/>
            <w:tcBorders>
              <w:bottom w:val="single" w:sz="8" w:color="CFCFD2"/>
            </w:tcBorders>
          </w:tcPr>
          <w:p>
            <w:pPr>
              <w:spacing w:after="0" w:line="20" w:lineRule="exact"/>
              <w:rPr>
                <w:sz w:val="1"/>
                <w:szCs w:val="1"/>
                <w:color w:val="auto"/>
              </w:rPr>
            </w:pPr>
          </w:p>
        </w:tc>
      </w:tr>
      <w:tr>
        <w:trPr>
          <w:trHeight w:val="200"/>
        </w:trPr>
        <w:tc>
          <w:tcPr>
            <w:tcW w:w="6420" w:type="dxa"/>
            <w:vAlign w:val="bottom"/>
          </w:tcPr>
          <w:p>
            <w:pPr>
              <w:ind w:left="100"/>
              <w:spacing w:after="0"/>
              <w:rPr>
                <w:sz w:val="20"/>
                <w:szCs w:val="20"/>
                <w:color w:val="auto"/>
              </w:rPr>
            </w:pPr>
            <w:r>
              <w:rPr>
                <w:rFonts w:ascii="Arial" w:cs="Arial" w:eastAsia="Arial" w:hAnsi="Arial"/>
                <w:sz w:val="14"/>
                <w:szCs w:val="14"/>
                <w:color w:val="0E1020"/>
              </w:rPr>
              <w:t>Aon plc</w:t>
            </w:r>
          </w:p>
        </w:tc>
        <w:tc>
          <w:tcPr>
            <w:tcW w:w="2340" w:type="dxa"/>
            <w:vAlign w:val="bottom"/>
          </w:tcPr>
          <w:p>
            <w:pPr>
              <w:jc w:val="right"/>
              <w:spacing w:after="0"/>
              <w:rPr>
                <w:sz w:val="20"/>
                <w:szCs w:val="20"/>
                <w:color w:val="auto"/>
              </w:rPr>
            </w:pPr>
            <w:r>
              <w:rPr>
                <w:rFonts w:ascii="Arial" w:cs="Arial" w:eastAsia="Arial" w:hAnsi="Arial"/>
                <w:sz w:val="14"/>
                <w:szCs w:val="14"/>
                <w:color w:val="0E1020"/>
              </w:rPr>
              <w:t>13,376</w:t>
            </w:r>
          </w:p>
        </w:tc>
        <w:tc>
          <w:tcPr>
            <w:tcW w:w="2480" w:type="dxa"/>
            <w:vAlign w:val="bottom"/>
          </w:tcPr>
          <w:p>
            <w:pPr>
              <w:jc w:val="right"/>
              <w:ind w:right="89"/>
              <w:spacing w:after="0"/>
              <w:rPr>
                <w:sz w:val="20"/>
                <w:szCs w:val="20"/>
                <w:color w:val="auto"/>
              </w:rPr>
            </w:pPr>
            <w:r>
              <w:rPr>
                <w:rFonts w:ascii="Arial" w:cs="Arial" w:eastAsia="Arial" w:hAnsi="Arial"/>
                <w:sz w:val="14"/>
                <w:szCs w:val="14"/>
                <w:color w:val="0E1020"/>
              </w:rPr>
              <w:t>50,000</w:t>
            </w:r>
          </w:p>
        </w:tc>
      </w:tr>
      <w:tr>
        <w:trPr>
          <w:trHeight w:val="21"/>
        </w:trPr>
        <w:tc>
          <w:tcPr>
            <w:tcW w:w="64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80" w:type="dxa"/>
            <w:vAlign w:val="bottom"/>
            <w:tcBorders>
              <w:bottom w:val="single" w:sz="8" w:color="CFCFD2"/>
            </w:tcBorders>
          </w:tcPr>
          <w:p>
            <w:pPr>
              <w:spacing w:after="0" w:line="20" w:lineRule="exact"/>
              <w:rPr>
                <w:sz w:val="1"/>
                <w:szCs w:val="1"/>
                <w:color w:val="auto"/>
              </w:rPr>
            </w:pPr>
          </w:p>
        </w:tc>
      </w:tr>
      <w:tr>
        <w:trPr>
          <w:trHeight w:val="200"/>
        </w:trPr>
        <w:tc>
          <w:tcPr>
            <w:tcW w:w="6420" w:type="dxa"/>
            <w:vAlign w:val="bottom"/>
          </w:tcPr>
          <w:p>
            <w:pPr>
              <w:ind w:left="100"/>
              <w:spacing w:after="0"/>
              <w:rPr>
                <w:sz w:val="20"/>
                <w:szCs w:val="20"/>
                <w:color w:val="auto"/>
              </w:rPr>
            </w:pPr>
            <w:r>
              <w:rPr>
                <w:rFonts w:ascii="Arial" w:cs="Arial" w:eastAsia="Arial" w:hAnsi="Arial"/>
                <w:sz w:val="14"/>
                <w:szCs w:val="14"/>
                <w:color w:val="0E1020"/>
              </w:rPr>
              <w:t>Automatic Data Processing, Inc.</w:t>
            </w:r>
          </w:p>
        </w:tc>
        <w:tc>
          <w:tcPr>
            <w:tcW w:w="2340" w:type="dxa"/>
            <w:vAlign w:val="bottom"/>
          </w:tcPr>
          <w:p>
            <w:pPr>
              <w:jc w:val="right"/>
              <w:spacing w:after="0"/>
              <w:rPr>
                <w:sz w:val="20"/>
                <w:szCs w:val="20"/>
                <w:color w:val="auto"/>
              </w:rPr>
            </w:pPr>
            <w:r>
              <w:rPr>
                <w:rFonts w:ascii="Arial" w:cs="Arial" w:eastAsia="Arial" w:hAnsi="Arial"/>
                <w:sz w:val="14"/>
                <w:szCs w:val="14"/>
                <w:color w:val="0E1020"/>
              </w:rPr>
              <w:t>19,203</w:t>
            </w:r>
          </w:p>
        </w:tc>
        <w:tc>
          <w:tcPr>
            <w:tcW w:w="2480" w:type="dxa"/>
            <w:vAlign w:val="bottom"/>
          </w:tcPr>
          <w:p>
            <w:pPr>
              <w:jc w:val="right"/>
              <w:ind w:right="89"/>
              <w:spacing w:after="0"/>
              <w:rPr>
                <w:sz w:val="20"/>
                <w:szCs w:val="20"/>
                <w:color w:val="auto"/>
              </w:rPr>
            </w:pPr>
            <w:r>
              <w:rPr>
                <w:rFonts w:ascii="Arial" w:cs="Arial" w:eastAsia="Arial" w:hAnsi="Arial"/>
                <w:sz w:val="14"/>
                <w:szCs w:val="14"/>
                <w:color w:val="0E1020"/>
              </w:rPr>
              <w:t>63,000</w:t>
            </w:r>
          </w:p>
        </w:tc>
      </w:tr>
      <w:tr>
        <w:trPr>
          <w:trHeight w:val="21"/>
        </w:trPr>
        <w:tc>
          <w:tcPr>
            <w:tcW w:w="64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80" w:type="dxa"/>
            <w:vAlign w:val="bottom"/>
            <w:tcBorders>
              <w:bottom w:val="single" w:sz="8" w:color="CFCFD2"/>
            </w:tcBorders>
          </w:tcPr>
          <w:p>
            <w:pPr>
              <w:spacing w:after="0" w:line="20" w:lineRule="exact"/>
              <w:rPr>
                <w:sz w:val="1"/>
                <w:szCs w:val="1"/>
                <w:color w:val="auto"/>
              </w:rPr>
            </w:pPr>
          </w:p>
        </w:tc>
      </w:tr>
      <w:tr>
        <w:trPr>
          <w:trHeight w:val="200"/>
        </w:trPr>
        <w:tc>
          <w:tcPr>
            <w:tcW w:w="6420" w:type="dxa"/>
            <w:vAlign w:val="bottom"/>
          </w:tcPr>
          <w:p>
            <w:pPr>
              <w:ind w:left="100"/>
              <w:spacing w:after="0"/>
              <w:rPr>
                <w:sz w:val="20"/>
                <w:szCs w:val="20"/>
                <w:color w:val="auto"/>
              </w:rPr>
            </w:pPr>
            <w:r>
              <w:rPr>
                <w:rFonts w:ascii="Arial" w:cs="Arial" w:eastAsia="Arial" w:hAnsi="Arial"/>
                <w:sz w:val="14"/>
                <w:szCs w:val="14"/>
                <w:color w:val="0E1020"/>
              </w:rPr>
              <w:t>Booz Allen Hamilton Holding Corporation</w:t>
            </w:r>
            <w:r>
              <w:rPr>
                <w:rFonts w:ascii="Arial" w:cs="Arial" w:eastAsia="Arial" w:hAnsi="Arial"/>
                <w:sz w:val="9"/>
                <w:szCs w:val="9"/>
                <w:color w:val="0E1020"/>
              </w:rPr>
              <w:t>(2)</w:t>
            </w:r>
          </w:p>
        </w:tc>
        <w:tc>
          <w:tcPr>
            <w:tcW w:w="2340" w:type="dxa"/>
            <w:vAlign w:val="bottom"/>
          </w:tcPr>
          <w:p>
            <w:pPr>
              <w:jc w:val="right"/>
              <w:spacing w:after="0"/>
              <w:rPr>
                <w:sz w:val="20"/>
                <w:szCs w:val="20"/>
                <w:color w:val="auto"/>
              </w:rPr>
            </w:pPr>
            <w:r>
              <w:rPr>
                <w:rFonts w:ascii="Arial" w:cs="Arial" w:eastAsia="Arial" w:hAnsi="Arial"/>
                <w:sz w:val="14"/>
                <w:szCs w:val="14"/>
                <w:color w:val="0E1020"/>
              </w:rPr>
              <w:t>10,662</w:t>
            </w:r>
          </w:p>
        </w:tc>
        <w:tc>
          <w:tcPr>
            <w:tcW w:w="2480" w:type="dxa"/>
            <w:vAlign w:val="bottom"/>
          </w:tcPr>
          <w:p>
            <w:pPr>
              <w:jc w:val="right"/>
              <w:ind w:right="89"/>
              <w:spacing w:after="0"/>
              <w:rPr>
                <w:sz w:val="20"/>
                <w:szCs w:val="20"/>
                <w:color w:val="auto"/>
              </w:rPr>
            </w:pPr>
            <w:r>
              <w:rPr>
                <w:rFonts w:ascii="Arial" w:cs="Arial" w:eastAsia="Arial" w:hAnsi="Arial"/>
                <w:sz w:val="14"/>
                <w:szCs w:val="14"/>
                <w:color w:val="0E1020"/>
              </w:rPr>
              <w:t>31,900</w:t>
            </w:r>
          </w:p>
        </w:tc>
      </w:tr>
      <w:tr>
        <w:trPr>
          <w:trHeight w:val="21"/>
        </w:trPr>
        <w:tc>
          <w:tcPr>
            <w:tcW w:w="64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80" w:type="dxa"/>
            <w:vAlign w:val="bottom"/>
            <w:tcBorders>
              <w:bottom w:val="single" w:sz="8" w:color="CFCFD2"/>
            </w:tcBorders>
          </w:tcPr>
          <w:p>
            <w:pPr>
              <w:spacing w:after="0" w:line="20" w:lineRule="exact"/>
              <w:rPr>
                <w:sz w:val="1"/>
                <w:szCs w:val="1"/>
                <w:color w:val="auto"/>
              </w:rPr>
            </w:pPr>
          </w:p>
        </w:tc>
      </w:tr>
      <w:tr>
        <w:trPr>
          <w:trHeight w:val="200"/>
        </w:trPr>
        <w:tc>
          <w:tcPr>
            <w:tcW w:w="6420" w:type="dxa"/>
            <w:vAlign w:val="bottom"/>
          </w:tcPr>
          <w:p>
            <w:pPr>
              <w:ind w:left="100"/>
              <w:spacing w:after="0"/>
              <w:rPr>
                <w:sz w:val="20"/>
                <w:szCs w:val="20"/>
                <w:color w:val="auto"/>
              </w:rPr>
            </w:pPr>
            <w:r>
              <w:rPr>
                <w:rFonts w:ascii="Arial" w:cs="Arial" w:eastAsia="Arial" w:hAnsi="Arial"/>
                <w:sz w:val="14"/>
                <w:szCs w:val="14"/>
                <w:color w:val="0E1020"/>
              </w:rPr>
              <w:t>Cognizant Technology Solutions Corporation</w:t>
            </w:r>
          </w:p>
        </w:tc>
        <w:tc>
          <w:tcPr>
            <w:tcW w:w="2340" w:type="dxa"/>
            <w:vAlign w:val="bottom"/>
          </w:tcPr>
          <w:p>
            <w:pPr>
              <w:jc w:val="right"/>
              <w:spacing w:after="0"/>
              <w:rPr>
                <w:sz w:val="20"/>
                <w:szCs w:val="20"/>
                <w:color w:val="auto"/>
              </w:rPr>
            </w:pPr>
            <w:r>
              <w:rPr>
                <w:rFonts w:ascii="Arial" w:cs="Arial" w:eastAsia="Arial" w:hAnsi="Arial"/>
                <w:sz w:val="14"/>
                <w:szCs w:val="14"/>
                <w:color w:val="0E1020"/>
              </w:rPr>
              <w:t>19,353</w:t>
            </w:r>
          </w:p>
        </w:tc>
        <w:tc>
          <w:tcPr>
            <w:tcW w:w="2480" w:type="dxa"/>
            <w:vAlign w:val="bottom"/>
          </w:tcPr>
          <w:p>
            <w:pPr>
              <w:jc w:val="right"/>
              <w:ind w:right="89"/>
              <w:spacing w:after="0"/>
              <w:rPr>
                <w:sz w:val="20"/>
                <w:szCs w:val="20"/>
                <w:color w:val="auto"/>
              </w:rPr>
            </w:pPr>
            <w:r>
              <w:rPr>
                <w:rFonts w:ascii="Arial" w:cs="Arial" w:eastAsia="Arial" w:hAnsi="Arial"/>
                <w:sz w:val="14"/>
                <w:szCs w:val="14"/>
                <w:color w:val="0E1020"/>
              </w:rPr>
              <w:t>347,700</w:t>
            </w:r>
          </w:p>
        </w:tc>
      </w:tr>
      <w:tr>
        <w:trPr>
          <w:trHeight w:val="21"/>
        </w:trPr>
        <w:tc>
          <w:tcPr>
            <w:tcW w:w="64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80" w:type="dxa"/>
            <w:vAlign w:val="bottom"/>
            <w:tcBorders>
              <w:bottom w:val="single" w:sz="8" w:color="CFCFD2"/>
            </w:tcBorders>
          </w:tcPr>
          <w:p>
            <w:pPr>
              <w:spacing w:after="0" w:line="20" w:lineRule="exact"/>
              <w:rPr>
                <w:sz w:val="1"/>
                <w:szCs w:val="1"/>
                <w:color w:val="auto"/>
              </w:rPr>
            </w:pPr>
          </w:p>
        </w:tc>
      </w:tr>
      <w:tr>
        <w:trPr>
          <w:trHeight w:val="200"/>
        </w:trPr>
        <w:tc>
          <w:tcPr>
            <w:tcW w:w="6420" w:type="dxa"/>
            <w:vAlign w:val="bottom"/>
          </w:tcPr>
          <w:p>
            <w:pPr>
              <w:ind w:left="100"/>
              <w:spacing w:after="0"/>
              <w:rPr>
                <w:sz w:val="20"/>
                <w:szCs w:val="20"/>
                <w:color w:val="auto"/>
              </w:rPr>
            </w:pPr>
            <w:r>
              <w:rPr>
                <w:rFonts w:ascii="Arial" w:cs="Arial" w:eastAsia="Arial" w:hAnsi="Arial"/>
                <w:sz w:val="14"/>
                <w:szCs w:val="14"/>
                <w:color w:val="0E1020"/>
              </w:rPr>
              <w:t>EPAM Systems, Inc.</w:t>
            </w:r>
            <w:r>
              <w:rPr>
                <w:rFonts w:ascii="Arial" w:cs="Arial" w:eastAsia="Arial" w:hAnsi="Arial"/>
                <w:sz w:val="9"/>
                <w:szCs w:val="9"/>
                <w:color w:val="0E1020"/>
              </w:rPr>
              <w:t>(2)</w:t>
            </w:r>
          </w:p>
        </w:tc>
        <w:tc>
          <w:tcPr>
            <w:tcW w:w="2340" w:type="dxa"/>
            <w:vAlign w:val="bottom"/>
          </w:tcPr>
          <w:p>
            <w:pPr>
              <w:jc w:val="right"/>
              <w:spacing w:after="0"/>
              <w:rPr>
                <w:sz w:val="20"/>
                <w:szCs w:val="20"/>
                <w:color w:val="auto"/>
              </w:rPr>
            </w:pPr>
            <w:r>
              <w:rPr>
                <w:rFonts w:ascii="Arial" w:cs="Arial" w:eastAsia="Arial" w:hAnsi="Arial"/>
                <w:sz w:val="14"/>
                <w:szCs w:val="14"/>
                <w:color w:val="0E1020"/>
              </w:rPr>
              <w:t>4,691</w:t>
            </w:r>
          </w:p>
        </w:tc>
        <w:tc>
          <w:tcPr>
            <w:tcW w:w="2480" w:type="dxa"/>
            <w:vAlign w:val="bottom"/>
          </w:tcPr>
          <w:p>
            <w:pPr>
              <w:jc w:val="right"/>
              <w:ind w:right="89"/>
              <w:spacing w:after="0"/>
              <w:rPr>
                <w:sz w:val="20"/>
                <w:szCs w:val="20"/>
                <w:color w:val="auto"/>
              </w:rPr>
            </w:pPr>
            <w:r>
              <w:rPr>
                <w:rFonts w:ascii="Arial" w:cs="Arial" w:eastAsia="Arial" w:hAnsi="Arial"/>
                <w:sz w:val="14"/>
                <w:szCs w:val="14"/>
                <w:color w:val="0E1020"/>
              </w:rPr>
              <w:t>53,150</w:t>
            </w:r>
          </w:p>
        </w:tc>
      </w:tr>
      <w:tr>
        <w:trPr>
          <w:trHeight w:val="21"/>
        </w:trPr>
        <w:tc>
          <w:tcPr>
            <w:tcW w:w="64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80" w:type="dxa"/>
            <w:vAlign w:val="bottom"/>
            <w:tcBorders>
              <w:bottom w:val="single" w:sz="8" w:color="CFCFD2"/>
            </w:tcBorders>
          </w:tcPr>
          <w:p>
            <w:pPr>
              <w:spacing w:after="0" w:line="20" w:lineRule="exact"/>
              <w:rPr>
                <w:sz w:val="1"/>
                <w:szCs w:val="1"/>
                <w:color w:val="auto"/>
              </w:rPr>
            </w:pPr>
          </w:p>
        </w:tc>
      </w:tr>
      <w:tr>
        <w:trPr>
          <w:trHeight w:val="200"/>
        </w:trPr>
        <w:tc>
          <w:tcPr>
            <w:tcW w:w="6420" w:type="dxa"/>
            <w:vAlign w:val="bottom"/>
          </w:tcPr>
          <w:p>
            <w:pPr>
              <w:ind w:left="100"/>
              <w:spacing w:after="0"/>
              <w:rPr>
                <w:sz w:val="20"/>
                <w:szCs w:val="20"/>
                <w:color w:val="auto"/>
              </w:rPr>
            </w:pPr>
            <w:r>
              <w:rPr>
                <w:rFonts w:ascii="Arial" w:cs="Arial" w:eastAsia="Arial" w:hAnsi="Arial"/>
                <w:sz w:val="14"/>
                <w:szCs w:val="14"/>
                <w:color w:val="0E1020"/>
              </w:rPr>
              <w:t>Fidelity National Information Services, Inc.</w:t>
            </w:r>
          </w:p>
        </w:tc>
        <w:tc>
          <w:tcPr>
            <w:tcW w:w="2340" w:type="dxa"/>
            <w:vAlign w:val="bottom"/>
          </w:tcPr>
          <w:p>
            <w:pPr>
              <w:jc w:val="right"/>
              <w:spacing w:after="0"/>
              <w:rPr>
                <w:sz w:val="20"/>
                <w:szCs w:val="20"/>
                <w:color w:val="auto"/>
              </w:rPr>
            </w:pPr>
            <w:r>
              <w:rPr>
                <w:rFonts w:ascii="Arial" w:cs="Arial" w:eastAsia="Arial" w:hAnsi="Arial"/>
                <w:sz w:val="14"/>
                <w:szCs w:val="14"/>
                <w:color w:val="0E1020"/>
              </w:rPr>
              <w:t>9,821</w:t>
            </w:r>
          </w:p>
        </w:tc>
        <w:tc>
          <w:tcPr>
            <w:tcW w:w="2480" w:type="dxa"/>
            <w:vAlign w:val="bottom"/>
          </w:tcPr>
          <w:p>
            <w:pPr>
              <w:jc w:val="right"/>
              <w:ind w:right="89"/>
              <w:spacing w:after="0"/>
              <w:rPr>
                <w:sz w:val="20"/>
                <w:szCs w:val="20"/>
                <w:color w:val="auto"/>
              </w:rPr>
            </w:pPr>
            <w:r>
              <w:rPr>
                <w:rFonts w:ascii="Arial" w:cs="Arial" w:eastAsia="Arial" w:hAnsi="Arial"/>
                <w:sz w:val="14"/>
                <w:szCs w:val="14"/>
                <w:color w:val="0E1020"/>
              </w:rPr>
              <w:t>60,000</w:t>
            </w:r>
          </w:p>
        </w:tc>
      </w:tr>
      <w:tr>
        <w:trPr>
          <w:trHeight w:val="21"/>
        </w:trPr>
        <w:tc>
          <w:tcPr>
            <w:tcW w:w="64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80" w:type="dxa"/>
            <w:vAlign w:val="bottom"/>
            <w:tcBorders>
              <w:bottom w:val="single" w:sz="8" w:color="CFCFD2"/>
            </w:tcBorders>
          </w:tcPr>
          <w:p>
            <w:pPr>
              <w:spacing w:after="0" w:line="20" w:lineRule="exact"/>
              <w:rPr>
                <w:sz w:val="1"/>
                <w:szCs w:val="1"/>
                <w:color w:val="auto"/>
              </w:rPr>
            </w:pPr>
          </w:p>
        </w:tc>
      </w:tr>
      <w:tr>
        <w:trPr>
          <w:trHeight w:val="200"/>
        </w:trPr>
        <w:tc>
          <w:tcPr>
            <w:tcW w:w="6420" w:type="dxa"/>
            <w:vAlign w:val="bottom"/>
          </w:tcPr>
          <w:p>
            <w:pPr>
              <w:ind w:left="100"/>
              <w:spacing w:after="0"/>
              <w:rPr>
                <w:sz w:val="20"/>
                <w:szCs w:val="20"/>
                <w:color w:val="auto"/>
              </w:rPr>
            </w:pPr>
            <w:r>
              <w:rPr>
                <w:rFonts w:ascii="Arial" w:cs="Arial" w:eastAsia="Arial" w:hAnsi="Arial"/>
                <w:sz w:val="14"/>
                <w:szCs w:val="14"/>
                <w:color w:val="0E1020"/>
              </w:rPr>
              <w:t>Fiserv, Inc.</w:t>
            </w:r>
          </w:p>
        </w:tc>
        <w:tc>
          <w:tcPr>
            <w:tcW w:w="2340" w:type="dxa"/>
            <w:vAlign w:val="bottom"/>
          </w:tcPr>
          <w:p>
            <w:pPr>
              <w:jc w:val="right"/>
              <w:spacing w:after="0"/>
              <w:rPr>
                <w:sz w:val="20"/>
                <w:szCs w:val="20"/>
                <w:color w:val="auto"/>
              </w:rPr>
            </w:pPr>
            <w:r>
              <w:rPr>
                <w:rFonts w:ascii="Arial" w:cs="Arial" w:eastAsia="Arial" w:hAnsi="Arial"/>
                <w:sz w:val="14"/>
                <w:szCs w:val="14"/>
                <w:color w:val="0E1020"/>
              </w:rPr>
              <w:t>19,093</w:t>
            </w:r>
          </w:p>
        </w:tc>
        <w:tc>
          <w:tcPr>
            <w:tcW w:w="2480" w:type="dxa"/>
            <w:vAlign w:val="bottom"/>
          </w:tcPr>
          <w:p>
            <w:pPr>
              <w:jc w:val="right"/>
              <w:ind w:right="89"/>
              <w:spacing w:after="0"/>
              <w:rPr>
                <w:sz w:val="20"/>
                <w:szCs w:val="20"/>
                <w:color w:val="auto"/>
              </w:rPr>
            </w:pPr>
            <w:r>
              <w:rPr>
                <w:rFonts w:ascii="Arial" w:cs="Arial" w:eastAsia="Arial" w:hAnsi="Arial"/>
                <w:sz w:val="14"/>
                <w:szCs w:val="14"/>
                <w:color w:val="0E1020"/>
              </w:rPr>
              <w:t>42,000</w:t>
            </w:r>
          </w:p>
        </w:tc>
      </w:tr>
      <w:tr>
        <w:trPr>
          <w:trHeight w:val="21"/>
        </w:trPr>
        <w:tc>
          <w:tcPr>
            <w:tcW w:w="64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80" w:type="dxa"/>
            <w:vAlign w:val="bottom"/>
            <w:tcBorders>
              <w:bottom w:val="single" w:sz="8" w:color="CFCFD2"/>
            </w:tcBorders>
          </w:tcPr>
          <w:p>
            <w:pPr>
              <w:spacing w:after="0" w:line="20" w:lineRule="exact"/>
              <w:rPr>
                <w:sz w:val="1"/>
                <w:szCs w:val="1"/>
                <w:color w:val="auto"/>
              </w:rPr>
            </w:pPr>
          </w:p>
        </w:tc>
      </w:tr>
      <w:tr>
        <w:trPr>
          <w:trHeight w:val="200"/>
        </w:trPr>
        <w:tc>
          <w:tcPr>
            <w:tcW w:w="6420" w:type="dxa"/>
            <w:vAlign w:val="bottom"/>
          </w:tcPr>
          <w:p>
            <w:pPr>
              <w:ind w:left="100"/>
              <w:spacing w:after="0"/>
              <w:rPr>
                <w:sz w:val="20"/>
                <w:szCs w:val="20"/>
                <w:color w:val="auto"/>
              </w:rPr>
            </w:pPr>
            <w:r>
              <w:rPr>
                <w:rFonts w:ascii="Arial" w:cs="Arial" w:eastAsia="Arial" w:hAnsi="Arial"/>
                <w:sz w:val="14"/>
                <w:szCs w:val="14"/>
                <w:color w:val="0E1020"/>
              </w:rPr>
              <w:t>Hewlett Packard Enterprise Company</w:t>
            </w:r>
          </w:p>
        </w:tc>
        <w:tc>
          <w:tcPr>
            <w:tcW w:w="2340" w:type="dxa"/>
            <w:vAlign w:val="bottom"/>
          </w:tcPr>
          <w:p>
            <w:pPr>
              <w:jc w:val="right"/>
              <w:spacing w:after="0"/>
              <w:rPr>
                <w:sz w:val="20"/>
                <w:szCs w:val="20"/>
                <w:color w:val="auto"/>
              </w:rPr>
            </w:pPr>
            <w:r>
              <w:rPr>
                <w:rFonts w:ascii="Arial" w:cs="Arial" w:eastAsia="Arial" w:hAnsi="Arial"/>
                <w:sz w:val="14"/>
                <w:szCs w:val="14"/>
                <w:color w:val="0E1020"/>
              </w:rPr>
              <w:t>29,135</w:t>
            </w:r>
          </w:p>
        </w:tc>
        <w:tc>
          <w:tcPr>
            <w:tcW w:w="2480" w:type="dxa"/>
            <w:vAlign w:val="bottom"/>
          </w:tcPr>
          <w:p>
            <w:pPr>
              <w:jc w:val="right"/>
              <w:ind w:right="89"/>
              <w:spacing w:after="0"/>
              <w:rPr>
                <w:sz w:val="20"/>
                <w:szCs w:val="20"/>
                <w:color w:val="auto"/>
              </w:rPr>
            </w:pPr>
            <w:r>
              <w:rPr>
                <w:rFonts w:ascii="Arial" w:cs="Arial" w:eastAsia="Arial" w:hAnsi="Arial"/>
                <w:sz w:val="14"/>
                <w:szCs w:val="14"/>
                <w:color w:val="0E1020"/>
              </w:rPr>
              <w:t>62,000</w:t>
            </w:r>
          </w:p>
        </w:tc>
      </w:tr>
      <w:tr>
        <w:trPr>
          <w:trHeight w:val="21"/>
        </w:trPr>
        <w:tc>
          <w:tcPr>
            <w:tcW w:w="64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80" w:type="dxa"/>
            <w:vAlign w:val="bottom"/>
            <w:tcBorders>
              <w:bottom w:val="single" w:sz="8" w:color="CFCFD2"/>
            </w:tcBorders>
          </w:tcPr>
          <w:p>
            <w:pPr>
              <w:spacing w:after="0" w:line="20" w:lineRule="exact"/>
              <w:rPr>
                <w:sz w:val="1"/>
                <w:szCs w:val="1"/>
                <w:color w:val="auto"/>
              </w:rPr>
            </w:pPr>
          </w:p>
        </w:tc>
      </w:tr>
      <w:tr>
        <w:trPr>
          <w:trHeight w:val="200"/>
        </w:trPr>
        <w:tc>
          <w:tcPr>
            <w:tcW w:w="6420" w:type="dxa"/>
            <w:vAlign w:val="bottom"/>
          </w:tcPr>
          <w:p>
            <w:pPr>
              <w:ind w:left="100"/>
              <w:spacing w:after="0"/>
              <w:rPr>
                <w:sz w:val="20"/>
                <w:szCs w:val="20"/>
                <w:color w:val="auto"/>
              </w:rPr>
            </w:pPr>
            <w:r>
              <w:rPr>
                <w:rFonts w:ascii="Arial" w:cs="Arial" w:eastAsia="Arial" w:hAnsi="Arial"/>
                <w:sz w:val="14"/>
                <w:szCs w:val="14"/>
                <w:color w:val="0E1020"/>
              </w:rPr>
              <w:t>International Business Machines Corporation</w:t>
            </w:r>
          </w:p>
        </w:tc>
        <w:tc>
          <w:tcPr>
            <w:tcW w:w="2340" w:type="dxa"/>
            <w:vAlign w:val="bottom"/>
          </w:tcPr>
          <w:p>
            <w:pPr>
              <w:jc w:val="right"/>
              <w:spacing w:after="0"/>
              <w:rPr>
                <w:sz w:val="20"/>
                <w:szCs w:val="20"/>
                <w:color w:val="auto"/>
              </w:rPr>
            </w:pPr>
            <w:r>
              <w:rPr>
                <w:rFonts w:ascii="Arial" w:cs="Arial" w:eastAsia="Arial" w:hAnsi="Arial"/>
                <w:sz w:val="14"/>
                <w:szCs w:val="14"/>
                <w:color w:val="0E1020"/>
              </w:rPr>
              <w:t>61,860</w:t>
            </w:r>
          </w:p>
        </w:tc>
        <w:tc>
          <w:tcPr>
            <w:tcW w:w="2480" w:type="dxa"/>
            <w:vAlign w:val="bottom"/>
          </w:tcPr>
          <w:p>
            <w:pPr>
              <w:jc w:val="right"/>
              <w:ind w:right="89"/>
              <w:spacing w:after="0"/>
              <w:rPr>
                <w:sz w:val="20"/>
                <w:szCs w:val="20"/>
                <w:color w:val="auto"/>
              </w:rPr>
            </w:pPr>
            <w:r>
              <w:rPr>
                <w:rFonts w:ascii="Arial" w:cs="Arial" w:eastAsia="Arial" w:hAnsi="Arial"/>
                <w:sz w:val="14"/>
                <w:szCs w:val="14"/>
                <w:color w:val="0E1020"/>
              </w:rPr>
              <w:t>282,200</w:t>
            </w:r>
          </w:p>
        </w:tc>
      </w:tr>
      <w:tr>
        <w:trPr>
          <w:trHeight w:val="21"/>
        </w:trPr>
        <w:tc>
          <w:tcPr>
            <w:tcW w:w="64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80" w:type="dxa"/>
            <w:vAlign w:val="bottom"/>
            <w:tcBorders>
              <w:bottom w:val="single" w:sz="8" w:color="CFCFD2"/>
            </w:tcBorders>
          </w:tcPr>
          <w:p>
            <w:pPr>
              <w:spacing w:after="0" w:line="20" w:lineRule="exact"/>
              <w:rPr>
                <w:sz w:val="1"/>
                <w:szCs w:val="1"/>
                <w:color w:val="auto"/>
              </w:rPr>
            </w:pPr>
          </w:p>
        </w:tc>
      </w:tr>
      <w:tr>
        <w:trPr>
          <w:trHeight w:val="200"/>
        </w:trPr>
        <w:tc>
          <w:tcPr>
            <w:tcW w:w="6420" w:type="dxa"/>
            <w:vAlign w:val="bottom"/>
          </w:tcPr>
          <w:p>
            <w:pPr>
              <w:ind w:left="100"/>
              <w:spacing w:after="0"/>
              <w:rPr>
                <w:sz w:val="20"/>
                <w:szCs w:val="20"/>
                <w:color w:val="auto"/>
              </w:rPr>
            </w:pPr>
            <w:r>
              <w:rPr>
                <w:rFonts w:ascii="Arial" w:cs="Arial" w:eastAsia="Arial" w:hAnsi="Arial"/>
                <w:sz w:val="14"/>
                <w:szCs w:val="14"/>
                <w:color w:val="0E1020"/>
              </w:rPr>
              <w:t>Kyndryl Holdings, Inc.</w:t>
            </w:r>
            <w:r>
              <w:rPr>
                <w:rFonts w:ascii="Arial" w:cs="Arial" w:eastAsia="Arial" w:hAnsi="Arial"/>
                <w:sz w:val="9"/>
                <w:szCs w:val="9"/>
                <w:color w:val="0E1020"/>
              </w:rPr>
              <w:t>(2)</w:t>
            </w:r>
          </w:p>
        </w:tc>
        <w:tc>
          <w:tcPr>
            <w:tcW w:w="2340" w:type="dxa"/>
            <w:vAlign w:val="bottom"/>
          </w:tcPr>
          <w:p>
            <w:pPr>
              <w:jc w:val="right"/>
              <w:spacing w:after="0"/>
              <w:rPr>
                <w:sz w:val="20"/>
                <w:szCs w:val="20"/>
                <w:color w:val="auto"/>
              </w:rPr>
            </w:pPr>
            <w:r>
              <w:rPr>
                <w:rFonts w:ascii="Arial" w:cs="Arial" w:eastAsia="Arial" w:hAnsi="Arial"/>
                <w:sz w:val="14"/>
                <w:szCs w:val="14"/>
                <w:color w:val="0E1020"/>
              </w:rPr>
              <w:t>16,052</w:t>
            </w:r>
          </w:p>
        </w:tc>
        <w:tc>
          <w:tcPr>
            <w:tcW w:w="2480" w:type="dxa"/>
            <w:vAlign w:val="bottom"/>
          </w:tcPr>
          <w:p>
            <w:pPr>
              <w:jc w:val="right"/>
              <w:ind w:right="89"/>
              <w:spacing w:after="0"/>
              <w:rPr>
                <w:sz w:val="20"/>
                <w:szCs w:val="20"/>
                <w:color w:val="auto"/>
              </w:rPr>
            </w:pPr>
            <w:r>
              <w:rPr>
                <w:rFonts w:ascii="Arial" w:cs="Arial" w:eastAsia="Arial" w:hAnsi="Arial"/>
                <w:sz w:val="14"/>
                <w:szCs w:val="14"/>
                <w:color w:val="0E1020"/>
              </w:rPr>
              <w:t>900,000</w:t>
            </w:r>
          </w:p>
        </w:tc>
      </w:tr>
      <w:tr>
        <w:trPr>
          <w:trHeight w:val="21"/>
        </w:trPr>
        <w:tc>
          <w:tcPr>
            <w:tcW w:w="64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80" w:type="dxa"/>
            <w:vAlign w:val="bottom"/>
            <w:tcBorders>
              <w:bottom w:val="single" w:sz="8" w:color="CFCFD2"/>
            </w:tcBorders>
          </w:tcPr>
          <w:p>
            <w:pPr>
              <w:spacing w:after="0" w:line="20" w:lineRule="exact"/>
              <w:rPr>
                <w:sz w:val="1"/>
                <w:szCs w:val="1"/>
                <w:color w:val="auto"/>
              </w:rPr>
            </w:pPr>
          </w:p>
        </w:tc>
      </w:tr>
      <w:tr>
        <w:trPr>
          <w:trHeight w:val="200"/>
        </w:trPr>
        <w:tc>
          <w:tcPr>
            <w:tcW w:w="6420" w:type="dxa"/>
            <w:vAlign w:val="bottom"/>
          </w:tcPr>
          <w:p>
            <w:pPr>
              <w:ind w:left="100"/>
              <w:spacing w:after="0"/>
              <w:rPr>
                <w:sz w:val="20"/>
                <w:szCs w:val="20"/>
                <w:color w:val="auto"/>
              </w:rPr>
            </w:pPr>
            <w:r>
              <w:rPr>
                <w:rFonts w:ascii="Arial" w:cs="Arial" w:eastAsia="Arial" w:hAnsi="Arial"/>
                <w:sz w:val="14"/>
                <w:szCs w:val="14"/>
                <w:color w:val="0E1020"/>
              </w:rPr>
              <w:t>Leidos Holdings, Inc.</w:t>
            </w:r>
          </w:p>
        </w:tc>
        <w:tc>
          <w:tcPr>
            <w:tcW w:w="2340" w:type="dxa"/>
            <w:vAlign w:val="bottom"/>
          </w:tcPr>
          <w:p>
            <w:pPr>
              <w:jc w:val="right"/>
              <w:spacing w:after="0"/>
              <w:rPr>
                <w:sz w:val="20"/>
                <w:szCs w:val="20"/>
                <w:color w:val="auto"/>
              </w:rPr>
            </w:pPr>
            <w:r>
              <w:rPr>
                <w:rFonts w:ascii="Arial" w:cs="Arial" w:eastAsia="Arial" w:hAnsi="Arial"/>
                <w:sz w:val="14"/>
                <w:szCs w:val="14"/>
                <w:color w:val="0E1020"/>
              </w:rPr>
              <w:t>15,438</w:t>
            </w:r>
          </w:p>
        </w:tc>
        <w:tc>
          <w:tcPr>
            <w:tcW w:w="2480" w:type="dxa"/>
            <w:vAlign w:val="bottom"/>
          </w:tcPr>
          <w:p>
            <w:pPr>
              <w:jc w:val="right"/>
              <w:ind w:right="89"/>
              <w:spacing w:after="0"/>
              <w:rPr>
                <w:sz w:val="20"/>
                <w:szCs w:val="20"/>
                <w:color w:val="auto"/>
              </w:rPr>
            </w:pPr>
            <w:r>
              <w:rPr>
                <w:rFonts w:ascii="Arial" w:cs="Arial" w:eastAsia="Arial" w:hAnsi="Arial"/>
                <w:sz w:val="14"/>
                <w:szCs w:val="14"/>
                <w:color w:val="0E1020"/>
              </w:rPr>
              <w:t>47,000</w:t>
            </w:r>
          </w:p>
        </w:tc>
      </w:tr>
      <w:tr>
        <w:trPr>
          <w:trHeight w:val="21"/>
        </w:trPr>
        <w:tc>
          <w:tcPr>
            <w:tcW w:w="64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80" w:type="dxa"/>
            <w:vAlign w:val="bottom"/>
            <w:tcBorders>
              <w:bottom w:val="single" w:sz="8" w:color="CFCFD2"/>
            </w:tcBorders>
          </w:tcPr>
          <w:p>
            <w:pPr>
              <w:spacing w:after="0" w:line="20" w:lineRule="exact"/>
              <w:rPr>
                <w:sz w:val="1"/>
                <w:szCs w:val="1"/>
                <w:color w:val="auto"/>
              </w:rPr>
            </w:pPr>
          </w:p>
        </w:tc>
      </w:tr>
      <w:tr>
        <w:trPr>
          <w:trHeight w:val="200"/>
        </w:trPr>
        <w:tc>
          <w:tcPr>
            <w:tcW w:w="6420" w:type="dxa"/>
            <w:vAlign w:val="bottom"/>
          </w:tcPr>
          <w:p>
            <w:pPr>
              <w:ind w:left="100"/>
              <w:spacing w:after="0"/>
              <w:rPr>
                <w:sz w:val="20"/>
                <w:szCs w:val="20"/>
                <w:color w:val="auto"/>
              </w:rPr>
            </w:pPr>
            <w:r>
              <w:rPr>
                <w:rFonts w:ascii="Arial" w:cs="Arial" w:eastAsia="Arial" w:hAnsi="Arial"/>
                <w:sz w:val="14"/>
                <w:szCs w:val="14"/>
                <w:color w:val="0E1020"/>
              </w:rPr>
              <w:t>Marsh &amp; McLennan Companies, Inc.</w:t>
            </w:r>
          </w:p>
        </w:tc>
        <w:tc>
          <w:tcPr>
            <w:tcW w:w="2340" w:type="dxa"/>
            <w:vAlign w:val="bottom"/>
          </w:tcPr>
          <w:p>
            <w:pPr>
              <w:jc w:val="right"/>
              <w:spacing w:after="0"/>
              <w:rPr>
                <w:sz w:val="20"/>
                <w:szCs w:val="20"/>
                <w:color w:val="auto"/>
              </w:rPr>
            </w:pPr>
            <w:r>
              <w:rPr>
                <w:rFonts w:ascii="Arial" w:cs="Arial" w:eastAsia="Arial" w:hAnsi="Arial"/>
                <w:sz w:val="14"/>
                <w:szCs w:val="14"/>
                <w:color w:val="0E1020"/>
              </w:rPr>
              <w:t>22,736</w:t>
            </w:r>
          </w:p>
        </w:tc>
        <w:tc>
          <w:tcPr>
            <w:tcW w:w="2480" w:type="dxa"/>
            <w:vAlign w:val="bottom"/>
          </w:tcPr>
          <w:p>
            <w:pPr>
              <w:jc w:val="right"/>
              <w:ind w:right="89"/>
              <w:spacing w:after="0"/>
              <w:rPr>
                <w:sz w:val="20"/>
                <w:szCs w:val="20"/>
                <w:color w:val="auto"/>
              </w:rPr>
            </w:pPr>
            <w:r>
              <w:rPr>
                <w:rFonts w:ascii="Arial" w:cs="Arial" w:eastAsia="Arial" w:hAnsi="Arial"/>
                <w:sz w:val="14"/>
                <w:szCs w:val="14"/>
                <w:color w:val="0E1020"/>
              </w:rPr>
              <w:t>85,000</w:t>
            </w:r>
          </w:p>
        </w:tc>
      </w:tr>
      <w:tr>
        <w:trPr>
          <w:trHeight w:val="21"/>
        </w:trPr>
        <w:tc>
          <w:tcPr>
            <w:tcW w:w="64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80" w:type="dxa"/>
            <w:vAlign w:val="bottom"/>
            <w:tcBorders>
              <w:bottom w:val="single" w:sz="8" w:color="CFCFD2"/>
            </w:tcBorders>
          </w:tcPr>
          <w:p>
            <w:pPr>
              <w:spacing w:after="0" w:line="20" w:lineRule="exact"/>
              <w:rPr>
                <w:sz w:val="1"/>
                <w:szCs w:val="1"/>
                <w:color w:val="auto"/>
              </w:rPr>
            </w:pPr>
          </w:p>
        </w:tc>
      </w:tr>
      <w:tr>
        <w:trPr>
          <w:trHeight w:val="200"/>
        </w:trPr>
        <w:tc>
          <w:tcPr>
            <w:tcW w:w="6420" w:type="dxa"/>
            <w:vAlign w:val="bottom"/>
          </w:tcPr>
          <w:p>
            <w:pPr>
              <w:ind w:left="100"/>
              <w:spacing w:after="0"/>
              <w:rPr>
                <w:sz w:val="20"/>
                <w:szCs w:val="20"/>
                <w:color w:val="auto"/>
              </w:rPr>
            </w:pPr>
            <w:r>
              <w:rPr>
                <w:rFonts w:ascii="Arial" w:cs="Arial" w:eastAsia="Arial" w:hAnsi="Arial"/>
                <w:sz w:val="14"/>
                <w:szCs w:val="14"/>
                <w:color w:val="0E1020"/>
              </w:rPr>
              <w:t>Western Digital Corporation</w:t>
            </w:r>
          </w:p>
        </w:tc>
        <w:tc>
          <w:tcPr>
            <w:tcW w:w="2340" w:type="dxa"/>
            <w:vAlign w:val="bottom"/>
          </w:tcPr>
          <w:p>
            <w:pPr>
              <w:jc w:val="right"/>
              <w:spacing w:after="0"/>
              <w:rPr>
                <w:sz w:val="20"/>
                <w:szCs w:val="20"/>
                <w:color w:val="auto"/>
              </w:rPr>
            </w:pPr>
            <w:r>
              <w:rPr>
                <w:rFonts w:ascii="Arial" w:cs="Arial" w:eastAsia="Arial" w:hAnsi="Arial"/>
                <w:sz w:val="14"/>
                <w:szCs w:val="14"/>
                <w:color w:val="0E1020"/>
              </w:rPr>
              <w:t>13,003</w:t>
            </w:r>
          </w:p>
        </w:tc>
        <w:tc>
          <w:tcPr>
            <w:tcW w:w="2480" w:type="dxa"/>
            <w:vAlign w:val="bottom"/>
          </w:tcPr>
          <w:p>
            <w:pPr>
              <w:jc w:val="right"/>
              <w:ind w:right="89"/>
              <w:spacing w:after="0"/>
              <w:rPr>
                <w:sz w:val="20"/>
                <w:szCs w:val="20"/>
                <w:color w:val="auto"/>
              </w:rPr>
            </w:pPr>
            <w:r>
              <w:rPr>
                <w:rFonts w:ascii="Arial" w:cs="Arial" w:eastAsia="Arial" w:hAnsi="Arial"/>
                <w:sz w:val="14"/>
                <w:szCs w:val="14"/>
                <w:color w:val="0E1020"/>
              </w:rPr>
              <w:t>53,000</w:t>
            </w:r>
          </w:p>
        </w:tc>
      </w:tr>
      <w:tr>
        <w:trPr>
          <w:trHeight w:val="21"/>
        </w:trPr>
        <w:tc>
          <w:tcPr>
            <w:tcW w:w="64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80" w:type="dxa"/>
            <w:vAlign w:val="bottom"/>
            <w:tcBorders>
              <w:bottom w:val="single" w:sz="8" w:color="CFCFD2"/>
            </w:tcBorders>
          </w:tcPr>
          <w:p>
            <w:pPr>
              <w:spacing w:after="0" w:line="20" w:lineRule="exact"/>
              <w:rPr>
                <w:sz w:val="1"/>
                <w:szCs w:val="1"/>
                <w:color w:val="auto"/>
              </w:rPr>
            </w:pPr>
          </w:p>
        </w:tc>
      </w:tr>
      <w:tr>
        <w:trPr>
          <w:trHeight w:val="200"/>
        </w:trPr>
        <w:tc>
          <w:tcPr>
            <w:tcW w:w="6420" w:type="dxa"/>
            <w:vAlign w:val="bottom"/>
          </w:tcPr>
          <w:p>
            <w:pPr>
              <w:ind w:left="100"/>
              <w:spacing w:after="0"/>
              <w:rPr>
                <w:sz w:val="20"/>
                <w:szCs w:val="20"/>
                <w:color w:val="auto"/>
              </w:rPr>
            </w:pPr>
            <w:r>
              <w:rPr>
                <w:rFonts w:ascii="Arial" w:cs="Arial" w:eastAsia="Arial" w:hAnsi="Arial"/>
                <w:sz w:val="14"/>
                <w:szCs w:val="14"/>
                <w:color w:val="0E1020"/>
              </w:rPr>
              <w:t>Willis Towers Watson Public Limited Company</w:t>
            </w:r>
          </w:p>
        </w:tc>
        <w:tc>
          <w:tcPr>
            <w:tcW w:w="2340" w:type="dxa"/>
            <w:vAlign w:val="bottom"/>
          </w:tcPr>
          <w:p>
            <w:pPr>
              <w:jc w:val="right"/>
              <w:spacing w:after="0"/>
              <w:rPr>
                <w:sz w:val="20"/>
                <w:szCs w:val="20"/>
                <w:color w:val="auto"/>
              </w:rPr>
            </w:pPr>
            <w:r>
              <w:rPr>
                <w:rFonts w:ascii="Arial" w:cs="Arial" w:eastAsia="Arial" w:hAnsi="Arial"/>
                <w:sz w:val="14"/>
                <w:szCs w:val="14"/>
                <w:color w:val="0E1020"/>
              </w:rPr>
              <w:t>9,483</w:t>
            </w:r>
          </w:p>
        </w:tc>
        <w:tc>
          <w:tcPr>
            <w:tcW w:w="2480" w:type="dxa"/>
            <w:vAlign w:val="bottom"/>
          </w:tcPr>
          <w:p>
            <w:pPr>
              <w:jc w:val="right"/>
              <w:ind w:right="89"/>
              <w:spacing w:after="0"/>
              <w:rPr>
                <w:sz w:val="20"/>
                <w:szCs w:val="20"/>
                <w:color w:val="auto"/>
              </w:rPr>
            </w:pPr>
            <w:r>
              <w:rPr>
                <w:rFonts w:ascii="Arial" w:cs="Arial" w:eastAsia="Arial" w:hAnsi="Arial"/>
                <w:sz w:val="14"/>
                <w:szCs w:val="14"/>
                <w:color w:val="0E1020"/>
              </w:rPr>
              <w:t>48,000</w:t>
            </w:r>
          </w:p>
        </w:tc>
      </w:tr>
      <w:tr>
        <w:trPr>
          <w:trHeight w:val="21"/>
        </w:trPr>
        <w:tc>
          <w:tcPr>
            <w:tcW w:w="64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80" w:type="dxa"/>
            <w:vAlign w:val="bottom"/>
            <w:tcBorders>
              <w:bottom w:val="single" w:sz="8" w:color="CFCFD2"/>
            </w:tcBorders>
          </w:tcPr>
          <w:p>
            <w:pPr>
              <w:spacing w:after="0" w:line="20" w:lineRule="exact"/>
              <w:rPr>
                <w:sz w:val="1"/>
                <w:szCs w:val="1"/>
                <w:color w:val="auto"/>
              </w:rPr>
            </w:pPr>
          </w:p>
        </w:tc>
      </w:tr>
      <w:tr>
        <w:trPr>
          <w:trHeight w:val="200"/>
        </w:trPr>
        <w:tc>
          <w:tcPr>
            <w:tcW w:w="6420" w:type="dxa"/>
            <w:vAlign w:val="bottom"/>
          </w:tcPr>
          <w:p>
            <w:pPr>
              <w:ind w:left="100"/>
              <w:spacing w:after="0"/>
              <w:rPr>
                <w:sz w:val="20"/>
                <w:szCs w:val="20"/>
                <w:color w:val="auto"/>
              </w:rPr>
            </w:pPr>
            <w:r>
              <w:rPr>
                <w:rFonts w:ascii="Arial" w:cs="Arial" w:eastAsia="Arial" w:hAnsi="Arial"/>
                <w:sz w:val="14"/>
                <w:szCs w:val="14"/>
                <w:color w:val="0E1020"/>
              </w:rPr>
              <w:t>Xerox Holdings Corporation</w:t>
            </w:r>
          </w:p>
        </w:tc>
        <w:tc>
          <w:tcPr>
            <w:tcW w:w="2340" w:type="dxa"/>
            <w:vAlign w:val="bottom"/>
          </w:tcPr>
          <w:p>
            <w:pPr>
              <w:jc w:val="right"/>
              <w:spacing w:after="0"/>
              <w:rPr>
                <w:sz w:val="20"/>
                <w:szCs w:val="20"/>
                <w:color w:val="auto"/>
              </w:rPr>
            </w:pPr>
            <w:r>
              <w:rPr>
                <w:rFonts w:ascii="Arial" w:cs="Arial" w:eastAsia="Arial" w:hAnsi="Arial"/>
                <w:sz w:val="14"/>
                <w:szCs w:val="14"/>
                <w:color w:val="0E1020"/>
              </w:rPr>
              <w:t>6,886</w:t>
            </w:r>
          </w:p>
        </w:tc>
        <w:tc>
          <w:tcPr>
            <w:tcW w:w="2480" w:type="dxa"/>
            <w:vAlign w:val="bottom"/>
          </w:tcPr>
          <w:p>
            <w:pPr>
              <w:jc w:val="right"/>
              <w:ind w:right="89"/>
              <w:spacing w:after="0"/>
              <w:rPr>
                <w:sz w:val="20"/>
                <w:szCs w:val="20"/>
                <w:color w:val="auto"/>
              </w:rPr>
            </w:pPr>
            <w:r>
              <w:rPr>
                <w:rFonts w:ascii="Arial" w:cs="Arial" w:eastAsia="Arial" w:hAnsi="Arial"/>
                <w:sz w:val="14"/>
                <w:szCs w:val="14"/>
                <w:color w:val="0E1020"/>
              </w:rPr>
              <w:t>20,100</w:t>
            </w:r>
          </w:p>
        </w:tc>
      </w:tr>
      <w:tr>
        <w:trPr>
          <w:trHeight w:val="21"/>
        </w:trPr>
        <w:tc>
          <w:tcPr>
            <w:tcW w:w="64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80" w:type="dxa"/>
            <w:vAlign w:val="bottom"/>
            <w:tcBorders>
              <w:bottom w:val="single" w:sz="8" w:color="CFCFD2"/>
            </w:tcBorders>
          </w:tcPr>
          <w:p>
            <w:pPr>
              <w:spacing w:after="0" w:line="20" w:lineRule="exact"/>
              <w:rPr>
                <w:sz w:val="1"/>
                <w:szCs w:val="1"/>
                <w:color w:val="auto"/>
              </w:rPr>
            </w:pPr>
          </w:p>
        </w:tc>
      </w:tr>
      <w:tr>
        <w:trPr>
          <w:trHeight w:val="200"/>
        </w:trPr>
        <w:tc>
          <w:tcPr>
            <w:tcW w:w="6420" w:type="dxa"/>
            <w:vAlign w:val="bottom"/>
          </w:tcPr>
          <w:p>
            <w:pPr>
              <w:ind w:left="100"/>
              <w:spacing w:after="0"/>
              <w:rPr>
                <w:sz w:val="20"/>
                <w:szCs w:val="20"/>
                <w:color w:val="auto"/>
              </w:rPr>
            </w:pPr>
            <w:r>
              <w:rPr>
                <w:rFonts w:ascii="Arial" w:cs="Arial" w:eastAsia="Arial" w:hAnsi="Arial"/>
                <w:sz w:val="14"/>
                <w:szCs w:val="14"/>
                <w:i w:val="1"/>
                <w:iCs w:val="1"/>
                <w:color w:val="0E1020"/>
              </w:rPr>
              <w:t>25th Percentile</w:t>
            </w:r>
          </w:p>
        </w:tc>
        <w:tc>
          <w:tcPr>
            <w:tcW w:w="2340" w:type="dxa"/>
            <w:vAlign w:val="bottom"/>
          </w:tcPr>
          <w:p>
            <w:pPr>
              <w:jc w:val="right"/>
              <w:spacing w:after="0"/>
              <w:rPr>
                <w:sz w:val="20"/>
                <w:szCs w:val="20"/>
                <w:color w:val="auto"/>
              </w:rPr>
            </w:pPr>
            <w:r>
              <w:rPr>
                <w:rFonts w:ascii="Arial" w:cs="Arial" w:eastAsia="Arial" w:hAnsi="Arial"/>
                <w:sz w:val="14"/>
                <w:szCs w:val="14"/>
                <w:i w:val="1"/>
                <w:iCs w:val="1"/>
                <w:color w:val="0E1020"/>
              </w:rPr>
              <w:t>10,452</w:t>
            </w:r>
          </w:p>
        </w:tc>
        <w:tc>
          <w:tcPr>
            <w:tcW w:w="2480" w:type="dxa"/>
            <w:vAlign w:val="bottom"/>
          </w:tcPr>
          <w:p>
            <w:pPr>
              <w:jc w:val="right"/>
              <w:ind w:right="89"/>
              <w:spacing w:after="0"/>
              <w:rPr>
                <w:sz w:val="20"/>
                <w:szCs w:val="20"/>
                <w:color w:val="auto"/>
              </w:rPr>
            </w:pPr>
            <w:r>
              <w:rPr>
                <w:rFonts w:ascii="Arial" w:cs="Arial" w:eastAsia="Arial" w:hAnsi="Arial"/>
                <w:sz w:val="14"/>
                <w:szCs w:val="14"/>
                <w:i w:val="1"/>
                <w:iCs w:val="1"/>
                <w:color w:val="0E1020"/>
              </w:rPr>
              <w:t>47,750</w:t>
            </w:r>
          </w:p>
        </w:tc>
      </w:tr>
      <w:tr>
        <w:trPr>
          <w:trHeight w:val="21"/>
        </w:trPr>
        <w:tc>
          <w:tcPr>
            <w:tcW w:w="64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80" w:type="dxa"/>
            <w:vAlign w:val="bottom"/>
            <w:tcBorders>
              <w:bottom w:val="single" w:sz="8" w:color="CFCFD2"/>
            </w:tcBorders>
          </w:tcPr>
          <w:p>
            <w:pPr>
              <w:spacing w:after="0" w:line="20" w:lineRule="exact"/>
              <w:rPr>
                <w:sz w:val="1"/>
                <w:szCs w:val="1"/>
                <w:color w:val="auto"/>
              </w:rPr>
            </w:pPr>
          </w:p>
        </w:tc>
      </w:tr>
      <w:tr>
        <w:trPr>
          <w:trHeight w:val="200"/>
        </w:trPr>
        <w:tc>
          <w:tcPr>
            <w:tcW w:w="6420" w:type="dxa"/>
            <w:vAlign w:val="bottom"/>
          </w:tcPr>
          <w:p>
            <w:pPr>
              <w:ind w:left="100"/>
              <w:spacing w:after="0"/>
              <w:rPr>
                <w:sz w:val="20"/>
                <w:szCs w:val="20"/>
                <w:color w:val="auto"/>
              </w:rPr>
            </w:pPr>
            <w:r>
              <w:rPr>
                <w:rFonts w:ascii="Arial" w:cs="Arial" w:eastAsia="Arial" w:hAnsi="Arial"/>
                <w:sz w:val="14"/>
                <w:szCs w:val="14"/>
                <w:i w:val="1"/>
                <w:iCs w:val="1"/>
                <w:color w:val="0E1020"/>
              </w:rPr>
              <w:t>Median</w:t>
            </w:r>
          </w:p>
        </w:tc>
        <w:tc>
          <w:tcPr>
            <w:tcW w:w="2340" w:type="dxa"/>
            <w:vAlign w:val="bottom"/>
          </w:tcPr>
          <w:p>
            <w:pPr>
              <w:jc w:val="right"/>
              <w:spacing w:after="0"/>
              <w:rPr>
                <w:sz w:val="20"/>
                <w:szCs w:val="20"/>
                <w:color w:val="auto"/>
              </w:rPr>
            </w:pPr>
            <w:r>
              <w:rPr>
                <w:rFonts w:ascii="Arial" w:cs="Arial" w:eastAsia="Arial" w:hAnsi="Arial"/>
                <w:sz w:val="14"/>
                <w:szCs w:val="14"/>
                <w:i w:val="1"/>
                <w:iCs w:val="1"/>
                <w:color w:val="0E1020"/>
              </w:rPr>
              <w:t>15,745</w:t>
            </w:r>
          </w:p>
        </w:tc>
        <w:tc>
          <w:tcPr>
            <w:tcW w:w="2480" w:type="dxa"/>
            <w:vAlign w:val="bottom"/>
          </w:tcPr>
          <w:p>
            <w:pPr>
              <w:jc w:val="right"/>
              <w:ind w:right="89"/>
              <w:spacing w:after="0"/>
              <w:rPr>
                <w:sz w:val="20"/>
                <w:szCs w:val="20"/>
                <w:color w:val="auto"/>
              </w:rPr>
            </w:pPr>
            <w:r>
              <w:rPr>
                <w:rFonts w:ascii="Arial" w:cs="Arial" w:eastAsia="Arial" w:hAnsi="Arial"/>
                <w:sz w:val="14"/>
                <w:szCs w:val="14"/>
                <w:i w:val="1"/>
                <w:iCs w:val="1"/>
                <w:color w:val="0E1020"/>
              </w:rPr>
              <w:t>56,575</w:t>
            </w:r>
          </w:p>
        </w:tc>
      </w:tr>
      <w:tr>
        <w:trPr>
          <w:trHeight w:val="21"/>
        </w:trPr>
        <w:tc>
          <w:tcPr>
            <w:tcW w:w="64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80" w:type="dxa"/>
            <w:vAlign w:val="bottom"/>
            <w:tcBorders>
              <w:bottom w:val="single" w:sz="8" w:color="CFCFD2"/>
            </w:tcBorders>
          </w:tcPr>
          <w:p>
            <w:pPr>
              <w:spacing w:after="0" w:line="20" w:lineRule="exact"/>
              <w:rPr>
                <w:sz w:val="1"/>
                <w:szCs w:val="1"/>
                <w:color w:val="auto"/>
              </w:rPr>
            </w:pPr>
          </w:p>
        </w:tc>
      </w:tr>
      <w:tr>
        <w:trPr>
          <w:trHeight w:val="200"/>
        </w:trPr>
        <w:tc>
          <w:tcPr>
            <w:tcW w:w="6420" w:type="dxa"/>
            <w:vAlign w:val="bottom"/>
          </w:tcPr>
          <w:p>
            <w:pPr>
              <w:ind w:left="100"/>
              <w:spacing w:after="0"/>
              <w:rPr>
                <w:sz w:val="20"/>
                <w:szCs w:val="20"/>
                <w:color w:val="auto"/>
              </w:rPr>
            </w:pPr>
            <w:r>
              <w:rPr>
                <w:rFonts w:ascii="Arial" w:cs="Arial" w:eastAsia="Arial" w:hAnsi="Arial"/>
                <w:sz w:val="14"/>
                <w:szCs w:val="14"/>
                <w:i w:val="1"/>
                <w:iCs w:val="1"/>
                <w:color w:val="0E1020"/>
              </w:rPr>
              <w:t>75th Percentile</w:t>
            </w:r>
          </w:p>
        </w:tc>
        <w:tc>
          <w:tcPr>
            <w:tcW w:w="2340" w:type="dxa"/>
            <w:vAlign w:val="bottom"/>
          </w:tcPr>
          <w:p>
            <w:pPr>
              <w:jc w:val="right"/>
              <w:spacing w:after="0"/>
              <w:rPr>
                <w:sz w:val="20"/>
                <w:szCs w:val="20"/>
                <w:color w:val="auto"/>
              </w:rPr>
            </w:pPr>
            <w:r>
              <w:rPr>
                <w:rFonts w:ascii="Arial" w:cs="Arial" w:eastAsia="Arial" w:hAnsi="Arial"/>
                <w:sz w:val="14"/>
                <w:szCs w:val="14"/>
                <w:i w:val="1"/>
                <w:iCs w:val="1"/>
                <w:color w:val="0E1020"/>
              </w:rPr>
              <w:t>20,199</w:t>
            </w:r>
          </w:p>
        </w:tc>
        <w:tc>
          <w:tcPr>
            <w:tcW w:w="2480" w:type="dxa"/>
            <w:vAlign w:val="bottom"/>
          </w:tcPr>
          <w:p>
            <w:pPr>
              <w:jc w:val="right"/>
              <w:ind w:right="89"/>
              <w:spacing w:after="0"/>
              <w:rPr>
                <w:sz w:val="20"/>
                <w:szCs w:val="20"/>
                <w:color w:val="auto"/>
              </w:rPr>
            </w:pPr>
            <w:r>
              <w:rPr>
                <w:rFonts w:ascii="Arial" w:cs="Arial" w:eastAsia="Arial" w:hAnsi="Arial"/>
                <w:sz w:val="14"/>
                <w:szCs w:val="14"/>
                <w:i w:val="1"/>
                <w:iCs w:val="1"/>
                <w:color w:val="0E1020"/>
              </w:rPr>
              <w:t>86,250</w:t>
            </w:r>
          </w:p>
        </w:tc>
      </w:tr>
      <w:tr>
        <w:trPr>
          <w:trHeight w:val="21"/>
        </w:trPr>
        <w:tc>
          <w:tcPr>
            <w:tcW w:w="64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80" w:type="dxa"/>
            <w:vAlign w:val="bottom"/>
            <w:tcBorders>
              <w:bottom w:val="single" w:sz="8" w:color="CFCFD2"/>
            </w:tcBorders>
          </w:tcPr>
          <w:p>
            <w:pPr>
              <w:spacing w:after="0" w:line="20" w:lineRule="exact"/>
              <w:rPr>
                <w:sz w:val="1"/>
                <w:szCs w:val="1"/>
                <w:color w:val="auto"/>
              </w:rPr>
            </w:pPr>
          </w:p>
        </w:tc>
      </w:tr>
      <w:tr>
        <w:trPr>
          <w:trHeight w:val="253"/>
        </w:trPr>
        <w:tc>
          <w:tcPr>
            <w:tcW w:w="6420" w:type="dxa"/>
            <w:vAlign w:val="bottom"/>
            <w:tcBorders>
              <w:bottom w:val="single" w:sz="8" w:color="F6F3F0"/>
            </w:tcBorders>
            <w:shd w:val="clear" w:color="auto" w:fill="F6F3F0"/>
          </w:tcPr>
          <w:p>
            <w:pPr>
              <w:ind w:left="100"/>
              <w:spacing w:after="0"/>
              <w:rPr>
                <w:sz w:val="20"/>
                <w:szCs w:val="20"/>
                <w:color w:val="auto"/>
              </w:rPr>
            </w:pPr>
            <w:r>
              <w:rPr>
                <w:rFonts w:ascii="Arial" w:cs="Arial" w:eastAsia="Arial" w:hAnsi="Arial"/>
                <w:sz w:val="14"/>
                <w:szCs w:val="14"/>
                <w:b w:val="1"/>
                <w:bCs w:val="1"/>
                <w:color w:val="004AAC"/>
              </w:rPr>
              <w:t>DXC Technology Company</w:t>
            </w:r>
          </w:p>
        </w:tc>
        <w:tc>
          <w:tcPr>
            <w:tcW w:w="234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4"/>
                <w:szCs w:val="14"/>
                <w:b w:val="1"/>
                <w:bCs w:val="1"/>
                <w:color w:val="0E1020"/>
              </w:rPr>
              <w:t>13,667</w:t>
            </w:r>
          </w:p>
        </w:tc>
        <w:tc>
          <w:tcPr>
            <w:tcW w:w="2480" w:type="dxa"/>
            <w:vAlign w:val="bottom"/>
            <w:tcBorders>
              <w:bottom w:val="single" w:sz="8" w:color="F6F3F0"/>
            </w:tcBorders>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130,000</w:t>
            </w:r>
          </w:p>
        </w:tc>
      </w:tr>
      <w:tr>
        <w:trPr>
          <w:trHeight w:val="200"/>
        </w:trPr>
        <w:tc>
          <w:tcPr>
            <w:tcW w:w="6420" w:type="dxa"/>
            <w:vAlign w:val="bottom"/>
            <w:tcBorders>
              <w:top w:val="single" w:sz="8" w:color="CFCFD2"/>
            </w:tcBorders>
          </w:tcPr>
          <w:p>
            <w:pPr>
              <w:ind w:left="100"/>
              <w:spacing w:after="0"/>
              <w:rPr>
                <w:sz w:val="20"/>
                <w:szCs w:val="20"/>
                <w:color w:val="auto"/>
              </w:rPr>
            </w:pPr>
            <w:r>
              <w:rPr>
                <w:rFonts w:ascii="Arial" w:cs="Arial" w:eastAsia="Arial" w:hAnsi="Arial"/>
                <w:sz w:val="14"/>
                <w:szCs w:val="14"/>
                <w:i w:val="1"/>
                <w:iCs w:val="1"/>
                <w:color w:val="0E1020"/>
              </w:rPr>
              <w:t>Percentile Rank</w:t>
            </w:r>
          </w:p>
        </w:tc>
        <w:tc>
          <w:tcPr>
            <w:tcW w:w="2340" w:type="dxa"/>
            <w:vAlign w:val="bottom"/>
            <w:tcBorders>
              <w:top w:val="single" w:sz="8" w:color="CFCFD2"/>
            </w:tcBorders>
          </w:tcPr>
          <w:p>
            <w:pPr>
              <w:jc w:val="right"/>
              <w:spacing w:after="0"/>
              <w:rPr>
                <w:sz w:val="20"/>
                <w:szCs w:val="20"/>
                <w:color w:val="auto"/>
              </w:rPr>
            </w:pPr>
            <w:r>
              <w:rPr>
                <w:rFonts w:ascii="Arial" w:cs="Arial" w:eastAsia="Arial" w:hAnsi="Arial"/>
                <w:sz w:val="14"/>
                <w:szCs w:val="14"/>
                <w:i w:val="1"/>
                <w:iCs w:val="1"/>
                <w:color w:val="0E1020"/>
              </w:rPr>
              <w:t>41st</w:t>
            </w:r>
          </w:p>
        </w:tc>
        <w:tc>
          <w:tcPr>
            <w:tcW w:w="2480" w:type="dxa"/>
            <w:vAlign w:val="bottom"/>
            <w:tcBorders>
              <w:top w:val="single" w:sz="8" w:color="CFCFD2"/>
            </w:tcBorders>
          </w:tcPr>
          <w:p>
            <w:pPr>
              <w:jc w:val="right"/>
              <w:ind w:right="89"/>
              <w:spacing w:after="0"/>
              <w:rPr>
                <w:sz w:val="20"/>
                <w:szCs w:val="20"/>
                <w:color w:val="auto"/>
              </w:rPr>
            </w:pPr>
            <w:r>
              <w:rPr>
                <w:rFonts w:ascii="Arial" w:cs="Arial" w:eastAsia="Arial" w:hAnsi="Arial"/>
                <w:sz w:val="14"/>
                <w:szCs w:val="14"/>
                <w:i w:val="1"/>
                <w:iCs w:val="1"/>
                <w:color w:val="0E1020"/>
              </w:rPr>
              <w:t>81st</w:t>
            </w:r>
          </w:p>
        </w:tc>
      </w:tr>
      <w:tr>
        <w:trPr>
          <w:trHeight w:val="21"/>
        </w:trPr>
        <w:tc>
          <w:tcPr>
            <w:tcW w:w="64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80" w:type="dxa"/>
            <w:vAlign w:val="bottom"/>
            <w:tcBorders>
              <w:bottom w:val="single" w:sz="8" w:color="CFCFD2"/>
            </w:tcBorders>
          </w:tcPr>
          <w:p>
            <w:pPr>
              <w:spacing w:after="0" w:line="20" w:lineRule="exact"/>
              <w:rPr>
                <w:sz w:val="1"/>
                <w:szCs w:val="1"/>
                <w:color w:val="auto"/>
              </w:rPr>
            </w:pPr>
          </w:p>
        </w:tc>
      </w:tr>
    </w:tbl>
    <w:p>
      <w:pPr>
        <w:spacing w:after="0" w:line="192" w:lineRule="exact"/>
        <w:rPr>
          <w:sz w:val="20"/>
          <w:szCs w:val="20"/>
          <w:color w:val="auto"/>
        </w:rPr>
      </w:pPr>
    </w:p>
    <w:p>
      <w:pPr>
        <w:ind w:left="480" w:right="140" w:hanging="312"/>
        <w:spacing w:after="0" w:line="299" w:lineRule="auto"/>
        <w:tabs>
          <w:tab w:leader="none" w:pos="480" w:val="left"/>
        </w:tabs>
        <w:numPr>
          <w:ilvl w:val="0"/>
          <w:numId w:val="67"/>
        </w:numPr>
        <w:rPr>
          <w:rFonts w:ascii="Arial" w:cs="Arial" w:eastAsia="Arial" w:hAnsi="Arial"/>
          <w:sz w:val="14"/>
          <w:szCs w:val="14"/>
          <w:color w:val="0E1020"/>
        </w:rPr>
      </w:pPr>
      <w:r>
        <w:rPr>
          <w:rFonts w:ascii="Arial" w:cs="Arial" w:eastAsia="Arial" w:hAnsi="Arial"/>
          <w:sz w:val="14"/>
          <w:szCs w:val="14"/>
          <w:color w:val="0E1020"/>
        </w:rPr>
        <w:t>The Compensation Committee considered the revenue information that was available at the time of review, including the latest fiscal year end revenue data available for the peer group and for DXC, as of August 31, 2024.</w:t>
      </w:r>
    </w:p>
    <w:p>
      <w:pPr>
        <w:spacing w:after="0" w:line="1" w:lineRule="exact"/>
        <w:rPr>
          <w:rFonts w:ascii="Arial" w:cs="Arial" w:eastAsia="Arial" w:hAnsi="Arial"/>
          <w:sz w:val="14"/>
          <w:szCs w:val="14"/>
          <w:color w:val="0E1020"/>
        </w:rPr>
      </w:pPr>
    </w:p>
    <w:p>
      <w:pPr>
        <w:ind w:left="460" w:hanging="292"/>
        <w:spacing w:after="0"/>
        <w:tabs>
          <w:tab w:leader="none" w:pos="460" w:val="left"/>
        </w:tabs>
        <w:numPr>
          <w:ilvl w:val="0"/>
          <w:numId w:val="67"/>
        </w:numPr>
        <w:rPr>
          <w:rFonts w:ascii="Arial" w:cs="Arial" w:eastAsia="Arial" w:hAnsi="Arial"/>
          <w:sz w:val="14"/>
          <w:szCs w:val="14"/>
          <w:color w:val="0E1020"/>
        </w:rPr>
      </w:pPr>
      <w:r>
        <w:rPr>
          <w:rFonts w:ascii="Arial" w:cs="Arial" w:eastAsia="Arial" w:hAnsi="Arial"/>
          <w:sz w:val="14"/>
          <w:szCs w:val="14"/>
          <w:color w:val="0E1020"/>
        </w:rPr>
        <w:t>New peers that were added in fiscal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67</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75" w:name="page76"/>
    <w:bookmarkEnd w:id="75"/>
    <w:p>
      <w:pPr>
        <w:ind w:left="20"/>
        <w:spacing w:after="0"/>
        <w:tabs>
          <w:tab w:leader="none" w:pos="10100" w:val="left"/>
        </w:tabs>
        <w:rPr>
          <w:sz w:val="20"/>
          <w:szCs w:val="20"/>
          <w:color w:val="auto"/>
        </w:rPr>
      </w:pPr>
      <w:r>
        <w:rPr>
          <w:rFonts w:ascii="Arial" w:cs="Arial" w:eastAsia="Arial" w:hAnsi="Arial"/>
          <w:sz w:val="14"/>
          <w:szCs w:val="14"/>
          <w:color w:val="auto"/>
        </w:rPr>
        <w:t>Executive Compensation</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0E1020"/>
        </w:rPr>
        <w:t>The CEO’s fiscal 2026 annualized total target compensation was set at approximately the 50th percentile of our executive compensation peer group. For other named executive officers, we do not formally set total compensation, or any specific element of compensation, at a specific percentile of the peer group for each position. Instead, the peer group and market data are used as a reference point to provide information on the range of competitive pay levels and current compensation practices in our industry. In addition to the selected peer group, the Compensation Committee also references general and specific industry surveys from other sources.</w:t>
      </w:r>
    </w:p>
    <w:p>
      <w:pPr>
        <w:spacing w:after="0" w:line="142"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Components of Our Compensation Program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Fiscal 2026 Executive Compensation Program Overview</w:t>
      </w:r>
    </w:p>
    <w:p>
      <w:pPr>
        <w:spacing w:after="0" w:line="133"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0E1020"/>
        </w:rPr>
        <w:t>DXC’s executive compensation program aligns with our business strategy and aligns with our pay for performance philosophy. The program for our NEOs for fiscal 2026 is outlined in the table below. Our program was structured with a mix of variable and fixed compensation that incentivizes achievement of short-term financial objectives and long-term stockholder value creation and appropriately considers the objectives and measures of success entailed in our strategic priorities.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Fiscal 2026 Pay Components</w:t>
      </w:r>
    </w:p>
    <w:p>
      <w:pPr>
        <w:spacing w:after="0" w:line="9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0E1020"/>
        </w:rPr>
        <w:t>The Compensation Committee uses the components of compensation outlined in the chart below in order to achieve its executive compensation program objectives. The Compensation Committee has developed a balanced program, but also focuses on metrics that can be measured in the near-term that drive value for our stockholders. To verify that each executive officer’s total compensation is consistent with the Compensation Committee’s compensation philosophy and objectives and that the component is serving a purpose in supporting the execution of our strategy, the Compensation Committee regularly reviews all components of the program.</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320" w:type="dxa"/>
            <w:vAlign w:val="bottom"/>
            <w:shd w:val="clear" w:color="auto" w:fill="F6F3F0"/>
          </w:tcPr>
          <w:p>
            <w:pPr>
              <w:ind w:left="100"/>
              <w:spacing w:after="0"/>
              <w:rPr>
                <w:sz w:val="20"/>
                <w:szCs w:val="20"/>
                <w:color w:val="auto"/>
              </w:rPr>
            </w:pPr>
            <w:r>
              <w:rPr>
                <w:rFonts w:ascii="Arial" w:cs="Arial" w:eastAsia="Arial" w:hAnsi="Arial"/>
                <w:sz w:val="14"/>
                <w:szCs w:val="14"/>
                <w:b w:val="1"/>
                <w:bCs w:val="1"/>
                <w:color w:val="0E1020"/>
              </w:rPr>
              <w:t>Type of Pay</w:t>
            </w:r>
          </w:p>
        </w:tc>
        <w:tc>
          <w:tcPr>
            <w:tcW w:w="2420" w:type="dxa"/>
            <w:vAlign w:val="bottom"/>
            <w:shd w:val="clear" w:color="auto" w:fill="F6F3F0"/>
          </w:tcPr>
          <w:p>
            <w:pPr>
              <w:ind w:left="140"/>
              <w:spacing w:after="0"/>
              <w:rPr>
                <w:sz w:val="20"/>
                <w:szCs w:val="20"/>
                <w:color w:val="auto"/>
              </w:rPr>
            </w:pPr>
            <w:r>
              <w:rPr>
                <w:rFonts w:ascii="Arial" w:cs="Arial" w:eastAsia="Arial" w:hAnsi="Arial"/>
                <w:sz w:val="14"/>
                <w:szCs w:val="14"/>
                <w:b w:val="1"/>
                <w:bCs w:val="1"/>
                <w:color w:val="0E1020"/>
              </w:rPr>
              <w:t>Purpose</w:t>
            </w:r>
          </w:p>
        </w:tc>
        <w:tc>
          <w:tcPr>
            <w:tcW w:w="5480" w:type="dxa"/>
            <w:vAlign w:val="bottom"/>
            <w:shd w:val="clear" w:color="auto" w:fill="F6F3F0"/>
          </w:tcPr>
          <w:p>
            <w:pPr>
              <w:ind w:left="1720"/>
              <w:spacing w:after="0"/>
              <w:rPr>
                <w:sz w:val="20"/>
                <w:szCs w:val="20"/>
                <w:color w:val="auto"/>
              </w:rPr>
            </w:pPr>
            <w:r>
              <w:rPr>
                <w:rFonts w:ascii="Arial" w:cs="Arial" w:eastAsia="Arial" w:hAnsi="Arial"/>
                <w:sz w:val="14"/>
                <w:szCs w:val="14"/>
                <w:b w:val="1"/>
                <w:bCs w:val="1"/>
                <w:color w:val="0E1020"/>
              </w:rPr>
              <w:t>Key Characteristics</w:t>
            </w:r>
          </w:p>
        </w:tc>
      </w:tr>
      <w:tr>
        <w:trPr>
          <w:trHeight w:val="69"/>
        </w:trPr>
        <w:tc>
          <w:tcPr>
            <w:tcW w:w="3320" w:type="dxa"/>
            <w:vAlign w:val="bottom"/>
            <w:shd w:val="clear" w:color="auto" w:fill="F6F3F0"/>
          </w:tcPr>
          <w:p>
            <w:pPr>
              <w:spacing w:after="0"/>
              <w:rPr>
                <w:sz w:val="5"/>
                <w:szCs w:val="5"/>
                <w:color w:val="auto"/>
              </w:rPr>
            </w:pPr>
          </w:p>
        </w:tc>
        <w:tc>
          <w:tcPr>
            <w:tcW w:w="2420" w:type="dxa"/>
            <w:vAlign w:val="bottom"/>
            <w:shd w:val="clear" w:color="auto" w:fill="F6F3F0"/>
          </w:tcPr>
          <w:p>
            <w:pPr>
              <w:spacing w:after="0"/>
              <w:rPr>
                <w:sz w:val="5"/>
                <w:szCs w:val="5"/>
                <w:color w:val="auto"/>
              </w:rPr>
            </w:pPr>
          </w:p>
        </w:tc>
        <w:tc>
          <w:tcPr>
            <w:tcW w:w="5480" w:type="dxa"/>
            <w:vAlign w:val="bottom"/>
            <w:shd w:val="clear" w:color="auto" w:fill="F6F3F0"/>
          </w:tcPr>
          <w:p>
            <w:pPr>
              <w:spacing w:after="0"/>
              <w:rPr>
                <w:sz w:val="5"/>
                <w:szCs w:val="5"/>
                <w:color w:val="auto"/>
              </w:rPr>
            </w:pPr>
          </w:p>
        </w:tc>
      </w:tr>
    </w:tbl>
    <w:p>
      <w:pPr>
        <w:spacing w:after="0" w:line="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0E1020"/>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711644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16445" cy="825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p>
      <w:pPr>
        <w:spacing w:after="0" w:line="198" w:lineRule="exact"/>
        <w:rPr>
          <w:sz w:val="20"/>
          <w:szCs w:val="20"/>
          <w:color w:val="auto"/>
        </w:rPr>
      </w:pPr>
    </w:p>
    <w:p>
      <w:pPr>
        <w:ind w:left="100"/>
        <w:spacing w:after="0"/>
        <w:tabs>
          <w:tab w:leader="none" w:pos="3440" w:val="left"/>
        </w:tabs>
        <w:rPr>
          <w:sz w:val="20"/>
          <w:szCs w:val="20"/>
          <w:color w:val="auto"/>
        </w:rPr>
      </w:pPr>
      <w:r>
        <w:rPr>
          <w:rFonts w:ascii="Arial" w:cs="Arial" w:eastAsia="Arial" w:hAnsi="Arial"/>
          <w:sz w:val="14"/>
          <w:szCs w:val="14"/>
          <w:b w:val="1"/>
          <w:bCs w:val="1"/>
          <w:color w:val="0E1020"/>
        </w:rPr>
        <w:t>Fixed</w:t>
      </w:r>
      <w:r>
        <w:rPr>
          <w:sz w:val="20"/>
          <w:szCs w:val="20"/>
          <w:color w:val="auto"/>
        </w:rPr>
        <w:tab/>
      </w:r>
      <w:r>
        <w:rPr>
          <w:rFonts w:ascii="Arial" w:cs="Arial" w:eastAsia="Arial" w:hAnsi="Arial"/>
          <w:sz w:val="14"/>
          <w:szCs w:val="14"/>
          <w:color w:val="0E1020"/>
        </w:rPr>
        <w:t>• Fixed cash compensation based on the individual’s</w:t>
      </w:r>
    </w:p>
    <w:p>
      <w:pPr>
        <w:spacing w:after="0" w:line="14" w:lineRule="exact"/>
        <w:rPr>
          <w:sz w:val="20"/>
          <w:szCs w:val="20"/>
          <w:color w:val="auto"/>
        </w:rPr>
      </w:pPr>
    </w:p>
    <w:p>
      <w:pPr>
        <w:ind w:left="3620"/>
        <w:spacing w:after="0"/>
        <w:rPr>
          <w:sz w:val="20"/>
          <w:szCs w:val="20"/>
          <w:color w:val="auto"/>
        </w:rPr>
      </w:pPr>
      <w:r>
        <w:rPr>
          <w:rFonts w:ascii="Arial" w:cs="Arial" w:eastAsia="Arial" w:hAnsi="Arial"/>
          <w:sz w:val="14"/>
          <w:szCs w:val="14"/>
          <w:color w:val="0E1020"/>
        </w:rPr>
        <w:t>experience, skills, and competencies, relative to the</w:t>
      </w:r>
    </w:p>
    <w:p>
      <w:pPr>
        <w:spacing w:after="0" w:line="13" w:lineRule="exact"/>
        <w:rPr>
          <w:sz w:val="20"/>
          <w:szCs w:val="20"/>
          <w:color w:val="auto"/>
        </w:rPr>
      </w:pPr>
    </w:p>
    <w:p>
      <w:pPr>
        <w:ind w:left="3620"/>
        <w:spacing w:after="0"/>
        <w:rPr>
          <w:sz w:val="20"/>
          <w:szCs w:val="20"/>
          <w:color w:val="auto"/>
        </w:rPr>
      </w:pPr>
      <w:r>
        <w:rPr>
          <w:rFonts w:ascii="Arial" w:cs="Arial" w:eastAsia="Arial" w:hAnsi="Arial"/>
          <w:sz w:val="14"/>
          <w:szCs w:val="14"/>
          <w:color w:val="0E1020"/>
        </w:rPr>
        <w:t>competitive market value of the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311785</wp:posOffset>
            </wp:positionV>
            <wp:extent cx="711644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164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155" w:right="280" w:hanging="155"/>
        <w:spacing w:after="0" w:line="282" w:lineRule="auto"/>
        <w:tabs>
          <w:tab w:leader="none" w:pos="124" w:val="left"/>
        </w:tabs>
        <w:numPr>
          <w:ilvl w:val="0"/>
          <w:numId w:val="68"/>
        </w:numPr>
        <w:rPr>
          <w:rFonts w:ascii="Arial" w:cs="Arial" w:eastAsia="Arial" w:hAnsi="Arial"/>
          <w:sz w:val="14"/>
          <w:szCs w:val="14"/>
          <w:color w:val="0E1020"/>
        </w:rPr>
      </w:pPr>
      <w:r>
        <w:rPr>
          <w:rFonts w:ascii="Arial" w:cs="Arial" w:eastAsia="Arial" w:hAnsi="Arial"/>
          <w:sz w:val="14"/>
          <w:szCs w:val="14"/>
          <w:color w:val="0E1020"/>
        </w:rPr>
        <w:t>Reflects competitive market conditions and individual experience and performance</w:t>
      </w:r>
    </w:p>
    <w:p>
      <w:pPr>
        <w:spacing w:after="0" w:line="10" w:lineRule="exact"/>
        <w:rPr>
          <w:rFonts w:ascii="Arial" w:cs="Arial" w:eastAsia="Arial" w:hAnsi="Arial"/>
          <w:sz w:val="14"/>
          <w:szCs w:val="14"/>
          <w:color w:val="0E1020"/>
        </w:rPr>
      </w:pPr>
    </w:p>
    <w:p>
      <w:pPr>
        <w:ind w:left="155" w:right="100" w:hanging="155"/>
        <w:spacing w:after="0" w:line="280" w:lineRule="auto"/>
        <w:tabs>
          <w:tab w:leader="none" w:pos="124" w:val="left"/>
        </w:tabs>
        <w:numPr>
          <w:ilvl w:val="0"/>
          <w:numId w:val="68"/>
        </w:numPr>
        <w:rPr>
          <w:rFonts w:ascii="Arial" w:cs="Arial" w:eastAsia="Arial" w:hAnsi="Arial"/>
          <w:sz w:val="14"/>
          <w:szCs w:val="14"/>
          <w:color w:val="0E1020"/>
        </w:rPr>
      </w:pPr>
      <w:r>
        <w:rPr>
          <w:rFonts w:ascii="Arial" w:cs="Arial" w:eastAsia="Arial" w:hAnsi="Arial"/>
          <w:sz w:val="14"/>
          <w:szCs w:val="14"/>
          <w:color w:val="0E1020"/>
        </w:rPr>
        <w:t>Commensurate with scope of responsibility, experience, internal value of the position and impact to the Company, reflecting internal pay equity</w:t>
      </w:r>
    </w:p>
    <w:p>
      <w:pPr>
        <w:spacing w:after="0" w:line="127" w:lineRule="exact"/>
        <w:rPr>
          <w:sz w:val="20"/>
          <w:szCs w:val="20"/>
          <w:color w:val="auto"/>
        </w:rPr>
      </w:pPr>
    </w:p>
    <w:p>
      <w:pPr>
        <w:sectPr>
          <w:pgSz w:w="11900" w:h="16838" w:orient="portrait"/>
          <w:cols w:equalWidth="0" w:num="2">
            <w:col w:w="6880" w:space="585"/>
            <w:col w:w="3755"/>
          </w:cols>
          <w:pgMar w:left="320" w:top="224" w:right="35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6"/>
          <w:szCs w:val="16"/>
          <w:b w:val="1"/>
          <w:bCs w:val="1"/>
          <w:color w:val="0E1020"/>
        </w:rPr>
        <w:t>ANNUAL CASH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711644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1644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ind w:left="100"/>
              <w:spacing w:after="0"/>
              <w:rPr>
                <w:sz w:val="20"/>
                <w:szCs w:val="20"/>
                <w:color w:val="auto"/>
              </w:rPr>
            </w:pPr>
            <w:r>
              <w:rPr>
                <w:rFonts w:ascii="Arial" w:cs="Arial" w:eastAsia="Arial" w:hAnsi="Arial"/>
                <w:sz w:val="14"/>
                <w:szCs w:val="14"/>
                <w:b w:val="1"/>
                <w:bCs w:val="1"/>
                <w:color w:val="0E1020"/>
              </w:rPr>
              <w:t>Performance-Based</w:t>
            </w:r>
          </w:p>
        </w:tc>
        <w:tc>
          <w:tcPr>
            <w:tcW w:w="1080" w:type="dxa"/>
            <w:vAlign w:val="bottom"/>
          </w:tcPr>
          <w:p>
            <w:pPr>
              <w:ind w:left="1000"/>
              <w:spacing w:after="0"/>
              <w:rPr>
                <w:sz w:val="20"/>
                <w:szCs w:val="20"/>
                <w:color w:val="auto"/>
              </w:rPr>
            </w:pPr>
            <w:r>
              <w:rPr>
                <w:rFonts w:ascii="Arial" w:cs="Arial" w:eastAsia="Arial" w:hAnsi="Arial"/>
                <w:sz w:val="14"/>
                <w:szCs w:val="14"/>
                <w:color w:val="0E1020"/>
              </w:rPr>
              <w:t>•</w:t>
            </w:r>
          </w:p>
        </w:tc>
        <w:tc>
          <w:tcPr>
            <w:tcW w:w="3720" w:type="dxa"/>
            <w:vAlign w:val="bottom"/>
          </w:tcPr>
          <w:p>
            <w:pPr>
              <w:ind w:left="40"/>
              <w:spacing w:after="0"/>
              <w:rPr>
                <w:sz w:val="20"/>
                <w:szCs w:val="20"/>
                <w:color w:val="auto"/>
              </w:rPr>
            </w:pPr>
            <w:r>
              <w:rPr>
                <w:rFonts w:ascii="Arial" w:cs="Arial" w:eastAsia="Arial" w:hAnsi="Arial"/>
                <w:sz w:val="14"/>
                <w:szCs w:val="14"/>
                <w:color w:val="0E1020"/>
              </w:rPr>
              <w:t>Variable cash compensation motivates achievement of</w:t>
            </w:r>
          </w:p>
        </w:tc>
        <w:tc>
          <w:tcPr>
            <w:tcW w:w="300" w:type="dxa"/>
            <w:vAlign w:val="bottom"/>
          </w:tcPr>
          <w:p>
            <w:pPr>
              <w:ind w:left="200"/>
              <w:spacing w:after="0"/>
              <w:rPr>
                <w:sz w:val="20"/>
                <w:szCs w:val="20"/>
                <w:color w:val="auto"/>
              </w:rPr>
            </w:pPr>
            <w:r>
              <w:rPr>
                <w:rFonts w:ascii="Arial" w:cs="Arial" w:eastAsia="Arial" w:hAnsi="Arial"/>
                <w:sz w:val="14"/>
                <w:szCs w:val="14"/>
                <w:color w:val="0E1020"/>
              </w:rPr>
              <w:t>•</w:t>
            </w:r>
          </w:p>
        </w:tc>
        <w:tc>
          <w:tcPr>
            <w:tcW w:w="3660" w:type="dxa"/>
            <w:vAlign w:val="bottom"/>
          </w:tcPr>
          <w:p>
            <w:pPr>
              <w:ind w:left="40"/>
              <w:spacing w:after="0"/>
              <w:rPr>
                <w:sz w:val="20"/>
                <w:szCs w:val="20"/>
                <w:color w:val="auto"/>
              </w:rPr>
            </w:pPr>
            <w:r>
              <w:rPr>
                <w:rFonts w:ascii="Arial" w:cs="Arial" w:eastAsia="Arial" w:hAnsi="Arial"/>
                <w:sz w:val="14"/>
                <w:szCs w:val="14"/>
                <w:color w:val="0E1020"/>
              </w:rPr>
              <w:t>Target opportunities are based both on market data and</w:t>
            </w:r>
          </w:p>
        </w:tc>
      </w:tr>
      <w:tr>
        <w:trPr>
          <w:trHeight w:val="174"/>
        </w:trPr>
        <w:tc>
          <w:tcPr>
            <w:tcW w:w="2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720" w:type="dxa"/>
            <w:vAlign w:val="bottom"/>
          </w:tcPr>
          <w:p>
            <w:pPr>
              <w:ind w:left="80"/>
              <w:spacing w:after="0"/>
              <w:rPr>
                <w:sz w:val="20"/>
                <w:szCs w:val="20"/>
                <w:color w:val="auto"/>
              </w:rPr>
            </w:pPr>
            <w:r>
              <w:rPr>
                <w:rFonts w:ascii="Arial" w:cs="Arial" w:eastAsia="Arial" w:hAnsi="Arial"/>
                <w:sz w:val="14"/>
                <w:szCs w:val="14"/>
                <w:color w:val="0E1020"/>
              </w:rPr>
              <w:t>annual strategic goals, as measured by objective, pre-</w:t>
            </w:r>
          </w:p>
        </w:tc>
        <w:tc>
          <w:tcPr>
            <w:tcW w:w="300" w:type="dxa"/>
            <w:vAlign w:val="bottom"/>
          </w:tcPr>
          <w:p>
            <w:pPr>
              <w:spacing w:after="0"/>
              <w:rPr>
                <w:sz w:val="15"/>
                <w:szCs w:val="15"/>
                <w:color w:val="auto"/>
              </w:rPr>
            </w:pPr>
          </w:p>
        </w:tc>
        <w:tc>
          <w:tcPr>
            <w:tcW w:w="3660" w:type="dxa"/>
            <w:vAlign w:val="bottom"/>
          </w:tcPr>
          <w:p>
            <w:pPr>
              <w:ind w:left="60"/>
              <w:spacing w:after="0"/>
              <w:rPr>
                <w:sz w:val="20"/>
                <w:szCs w:val="20"/>
                <w:color w:val="auto"/>
              </w:rPr>
            </w:pPr>
            <w:r>
              <w:rPr>
                <w:rFonts w:ascii="Arial" w:cs="Arial" w:eastAsia="Arial" w:hAnsi="Arial"/>
                <w:sz w:val="14"/>
                <w:szCs w:val="14"/>
                <w:color w:val="0E1020"/>
              </w:rPr>
              <w:t>internal value of position that reflect the impact</w:t>
            </w:r>
          </w:p>
        </w:tc>
      </w:tr>
      <w:tr>
        <w:trPr>
          <w:trHeight w:val="189"/>
        </w:trPr>
        <w:tc>
          <w:tcPr>
            <w:tcW w:w="2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720" w:type="dxa"/>
            <w:vAlign w:val="bottom"/>
          </w:tcPr>
          <w:p>
            <w:pPr>
              <w:ind w:left="80"/>
              <w:spacing w:after="0"/>
              <w:rPr>
                <w:sz w:val="20"/>
                <w:szCs w:val="20"/>
                <w:color w:val="auto"/>
              </w:rPr>
            </w:pPr>
            <w:r>
              <w:rPr>
                <w:rFonts w:ascii="Arial" w:cs="Arial" w:eastAsia="Arial" w:hAnsi="Arial"/>
                <w:sz w:val="14"/>
                <w:szCs w:val="14"/>
                <w:color w:val="0E1020"/>
              </w:rPr>
              <w:t>established financial metrics</w:t>
            </w:r>
          </w:p>
        </w:tc>
        <w:tc>
          <w:tcPr>
            <w:tcW w:w="300" w:type="dxa"/>
            <w:vAlign w:val="bottom"/>
          </w:tcPr>
          <w:p>
            <w:pPr>
              <w:spacing w:after="0"/>
              <w:rPr>
                <w:sz w:val="16"/>
                <w:szCs w:val="16"/>
                <w:color w:val="auto"/>
              </w:rPr>
            </w:pPr>
          </w:p>
        </w:tc>
        <w:tc>
          <w:tcPr>
            <w:tcW w:w="3660" w:type="dxa"/>
            <w:vAlign w:val="bottom"/>
          </w:tcPr>
          <w:p>
            <w:pPr>
              <w:ind w:left="60"/>
              <w:spacing w:after="0"/>
              <w:rPr>
                <w:sz w:val="20"/>
                <w:szCs w:val="20"/>
                <w:color w:val="auto"/>
              </w:rPr>
            </w:pPr>
            <w:r>
              <w:rPr>
                <w:rFonts w:ascii="Arial" w:cs="Arial" w:eastAsia="Arial" w:hAnsi="Arial"/>
                <w:sz w:val="14"/>
                <w:szCs w:val="14"/>
                <w:color w:val="0E1020"/>
              </w:rPr>
              <w:t>to the Company of the executive role</w:t>
            </w:r>
          </w:p>
        </w:tc>
      </w:tr>
      <w:tr>
        <w:trPr>
          <w:trHeight w:val="213"/>
        </w:trPr>
        <w:tc>
          <w:tcPr>
            <w:tcW w:w="2460" w:type="dxa"/>
            <w:vAlign w:val="bottom"/>
          </w:tcPr>
          <w:p>
            <w:pPr>
              <w:spacing w:after="0"/>
              <w:rPr>
                <w:sz w:val="18"/>
                <w:szCs w:val="18"/>
                <w:color w:val="auto"/>
              </w:rPr>
            </w:pPr>
          </w:p>
        </w:tc>
        <w:tc>
          <w:tcPr>
            <w:tcW w:w="1080" w:type="dxa"/>
            <w:vAlign w:val="bottom"/>
          </w:tcPr>
          <w:p>
            <w:pPr>
              <w:ind w:left="1000"/>
              <w:spacing w:after="0"/>
              <w:rPr>
                <w:sz w:val="20"/>
                <w:szCs w:val="20"/>
                <w:color w:val="auto"/>
              </w:rPr>
            </w:pPr>
            <w:r>
              <w:rPr>
                <w:rFonts w:ascii="Arial" w:cs="Arial" w:eastAsia="Arial" w:hAnsi="Arial"/>
                <w:sz w:val="14"/>
                <w:szCs w:val="14"/>
                <w:color w:val="0E1020"/>
              </w:rPr>
              <w:t>•</w:t>
            </w:r>
          </w:p>
        </w:tc>
        <w:tc>
          <w:tcPr>
            <w:tcW w:w="3720" w:type="dxa"/>
            <w:vAlign w:val="bottom"/>
          </w:tcPr>
          <w:p>
            <w:pPr>
              <w:ind w:left="40"/>
              <w:spacing w:after="0"/>
              <w:rPr>
                <w:sz w:val="20"/>
                <w:szCs w:val="20"/>
                <w:color w:val="auto"/>
              </w:rPr>
            </w:pPr>
            <w:r>
              <w:rPr>
                <w:rFonts w:ascii="Arial" w:cs="Arial" w:eastAsia="Arial" w:hAnsi="Arial"/>
                <w:sz w:val="14"/>
                <w:szCs w:val="14"/>
                <w:color w:val="0E1020"/>
              </w:rPr>
              <w:t>Metrics are intended to drive consistent growth and</w:t>
            </w:r>
          </w:p>
        </w:tc>
        <w:tc>
          <w:tcPr>
            <w:tcW w:w="300" w:type="dxa"/>
            <w:vAlign w:val="bottom"/>
          </w:tcPr>
          <w:p>
            <w:pPr>
              <w:ind w:left="200"/>
              <w:spacing w:after="0"/>
              <w:rPr>
                <w:sz w:val="20"/>
                <w:szCs w:val="20"/>
                <w:color w:val="auto"/>
              </w:rPr>
            </w:pPr>
            <w:r>
              <w:rPr>
                <w:rFonts w:ascii="Arial" w:cs="Arial" w:eastAsia="Arial" w:hAnsi="Arial"/>
                <w:sz w:val="14"/>
                <w:szCs w:val="14"/>
                <w:color w:val="0E1020"/>
              </w:rPr>
              <w:t>•</w:t>
            </w:r>
          </w:p>
        </w:tc>
        <w:tc>
          <w:tcPr>
            <w:tcW w:w="3660" w:type="dxa"/>
            <w:vAlign w:val="bottom"/>
          </w:tcPr>
          <w:p>
            <w:pPr>
              <w:ind w:left="40"/>
              <w:spacing w:after="0"/>
              <w:rPr>
                <w:sz w:val="20"/>
                <w:szCs w:val="20"/>
                <w:color w:val="auto"/>
              </w:rPr>
            </w:pPr>
            <w:r>
              <w:rPr>
                <w:rFonts w:ascii="Arial" w:cs="Arial" w:eastAsia="Arial" w:hAnsi="Arial"/>
                <w:sz w:val="14"/>
                <w:szCs w:val="14"/>
                <w:color w:val="0E1020"/>
              </w:rPr>
              <w:t>Actual payouts are based on achievement of</w:t>
            </w:r>
          </w:p>
        </w:tc>
      </w:tr>
      <w:tr>
        <w:trPr>
          <w:trHeight w:val="174"/>
        </w:trPr>
        <w:tc>
          <w:tcPr>
            <w:tcW w:w="2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720" w:type="dxa"/>
            <w:vAlign w:val="bottom"/>
          </w:tcPr>
          <w:p>
            <w:pPr>
              <w:ind w:left="80"/>
              <w:spacing w:after="0"/>
              <w:rPr>
                <w:sz w:val="20"/>
                <w:szCs w:val="20"/>
                <w:color w:val="auto"/>
              </w:rPr>
            </w:pPr>
            <w:r>
              <w:rPr>
                <w:rFonts w:ascii="Arial" w:cs="Arial" w:eastAsia="Arial" w:hAnsi="Arial"/>
                <w:sz w:val="14"/>
                <w:szCs w:val="14"/>
                <w:color w:val="0E1020"/>
              </w:rPr>
              <w:t>stockholder value creation by measuring successful</w:t>
            </w:r>
          </w:p>
        </w:tc>
        <w:tc>
          <w:tcPr>
            <w:tcW w:w="300" w:type="dxa"/>
            <w:vAlign w:val="bottom"/>
          </w:tcPr>
          <w:p>
            <w:pPr>
              <w:spacing w:after="0"/>
              <w:rPr>
                <w:sz w:val="15"/>
                <w:szCs w:val="15"/>
                <w:color w:val="auto"/>
              </w:rPr>
            </w:pPr>
          </w:p>
        </w:tc>
        <w:tc>
          <w:tcPr>
            <w:tcW w:w="3660" w:type="dxa"/>
            <w:vAlign w:val="bottom"/>
          </w:tcPr>
          <w:p>
            <w:pPr>
              <w:ind w:left="60"/>
              <w:spacing w:after="0"/>
              <w:rPr>
                <w:sz w:val="20"/>
                <w:szCs w:val="20"/>
                <w:color w:val="auto"/>
              </w:rPr>
            </w:pPr>
            <w:r>
              <w:rPr>
                <w:rFonts w:ascii="Arial" w:cs="Arial" w:eastAsia="Arial" w:hAnsi="Arial"/>
                <w:sz w:val="14"/>
                <w:szCs w:val="14"/>
                <w:color w:val="0E1020"/>
              </w:rPr>
              <w:t>measurable Company performance and individual or</w:t>
            </w:r>
          </w:p>
        </w:tc>
      </w:tr>
      <w:tr>
        <w:trPr>
          <w:trHeight w:val="189"/>
        </w:trPr>
        <w:tc>
          <w:tcPr>
            <w:tcW w:w="2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720" w:type="dxa"/>
            <w:vAlign w:val="bottom"/>
          </w:tcPr>
          <w:p>
            <w:pPr>
              <w:ind w:left="80"/>
              <w:spacing w:after="0"/>
              <w:rPr>
                <w:sz w:val="20"/>
                <w:szCs w:val="20"/>
                <w:color w:val="auto"/>
              </w:rPr>
            </w:pPr>
            <w:r>
              <w:rPr>
                <w:rFonts w:ascii="Arial" w:cs="Arial" w:eastAsia="Arial" w:hAnsi="Arial"/>
                <w:sz w:val="14"/>
                <w:szCs w:val="14"/>
                <w:color w:val="0E1020"/>
              </w:rPr>
              <w:t>execution of our current strategy</w:t>
            </w:r>
          </w:p>
        </w:tc>
        <w:tc>
          <w:tcPr>
            <w:tcW w:w="300" w:type="dxa"/>
            <w:vAlign w:val="bottom"/>
          </w:tcPr>
          <w:p>
            <w:pPr>
              <w:spacing w:after="0"/>
              <w:rPr>
                <w:sz w:val="16"/>
                <w:szCs w:val="16"/>
                <w:color w:val="auto"/>
              </w:rPr>
            </w:pPr>
          </w:p>
        </w:tc>
        <w:tc>
          <w:tcPr>
            <w:tcW w:w="3660" w:type="dxa"/>
            <w:vAlign w:val="bottom"/>
          </w:tcPr>
          <w:p>
            <w:pPr>
              <w:ind w:left="60"/>
              <w:spacing w:after="0"/>
              <w:rPr>
                <w:sz w:val="20"/>
                <w:szCs w:val="20"/>
                <w:color w:val="auto"/>
              </w:rPr>
            </w:pPr>
            <w:r>
              <w:rPr>
                <w:rFonts w:ascii="Arial" w:cs="Arial" w:eastAsia="Arial" w:hAnsi="Arial"/>
                <w:sz w:val="14"/>
                <w:szCs w:val="14"/>
                <w:color w:val="0E1020"/>
              </w:rPr>
              <w:t>team performance</w:t>
            </w:r>
          </w:p>
        </w:tc>
      </w:tr>
      <w:tr>
        <w:trPr>
          <w:trHeight w:val="75"/>
        </w:trPr>
        <w:tc>
          <w:tcPr>
            <w:tcW w:w="2460" w:type="dxa"/>
            <w:vAlign w:val="bottom"/>
            <w:tcBorders>
              <w:bottom w:val="single" w:sz="8" w:color="CFCFD2"/>
            </w:tcBorders>
          </w:tcPr>
          <w:p>
            <w:pPr>
              <w:spacing w:after="0"/>
              <w:rPr>
                <w:sz w:val="6"/>
                <w:szCs w:val="6"/>
                <w:color w:val="auto"/>
              </w:rPr>
            </w:pPr>
          </w:p>
        </w:tc>
        <w:tc>
          <w:tcPr>
            <w:tcW w:w="1080" w:type="dxa"/>
            <w:vAlign w:val="bottom"/>
            <w:tcBorders>
              <w:bottom w:val="single" w:sz="8" w:color="CFCFD2"/>
            </w:tcBorders>
          </w:tcPr>
          <w:p>
            <w:pPr>
              <w:spacing w:after="0"/>
              <w:rPr>
                <w:sz w:val="6"/>
                <w:szCs w:val="6"/>
                <w:color w:val="auto"/>
              </w:rPr>
            </w:pPr>
          </w:p>
        </w:tc>
        <w:tc>
          <w:tcPr>
            <w:tcW w:w="3720" w:type="dxa"/>
            <w:vAlign w:val="bottom"/>
            <w:tcBorders>
              <w:bottom w:val="single" w:sz="8" w:color="CFCFD2"/>
            </w:tcBorders>
          </w:tcPr>
          <w:p>
            <w:pPr>
              <w:spacing w:after="0"/>
              <w:rPr>
                <w:sz w:val="6"/>
                <w:szCs w:val="6"/>
                <w:color w:val="auto"/>
              </w:rPr>
            </w:pPr>
          </w:p>
        </w:tc>
        <w:tc>
          <w:tcPr>
            <w:tcW w:w="300" w:type="dxa"/>
            <w:vAlign w:val="bottom"/>
            <w:tcBorders>
              <w:bottom w:val="single" w:sz="8" w:color="CFCFD2"/>
            </w:tcBorders>
          </w:tcPr>
          <w:p>
            <w:pPr>
              <w:spacing w:after="0"/>
              <w:rPr>
                <w:sz w:val="6"/>
                <w:szCs w:val="6"/>
                <w:color w:val="auto"/>
              </w:rPr>
            </w:pPr>
          </w:p>
        </w:tc>
        <w:tc>
          <w:tcPr>
            <w:tcW w:w="3660" w:type="dxa"/>
            <w:vAlign w:val="bottom"/>
            <w:tcBorders>
              <w:bottom w:val="single" w:sz="8" w:color="CFCFD2"/>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68</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99"/>
              </w:rPr>
              <w:t>Table of Contents</w:t>
            </w: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00" w:type="dxa"/>
            <w:vAlign w:val="bottom"/>
          </w:tcPr>
          <w:p>
            <w:pPr>
              <w:ind w:left="1920"/>
              <w:spacing w:after="0"/>
              <w:rPr>
                <w:sz w:val="20"/>
                <w:szCs w:val="20"/>
                <w:color w:val="auto"/>
              </w:rPr>
            </w:pPr>
            <w:r>
              <w:rPr>
                <w:rFonts w:ascii="Arial" w:cs="Arial" w:eastAsia="Arial" w:hAnsi="Arial"/>
                <w:sz w:val="14"/>
                <w:szCs w:val="14"/>
                <w:color w:val="auto"/>
              </w:rPr>
              <w:t>Executive Compensation</w:t>
            </w:r>
          </w:p>
        </w:tc>
        <w:tc>
          <w:tcPr>
            <w:tcW w:w="0" w:type="dxa"/>
            <w:vAlign w:val="bottom"/>
          </w:tcPr>
          <w:p>
            <w:pPr>
              <w:spacing w:after="0"/>
              <w:rPr>
                <w:sz w:val="1"/>
                <w:szCs w:val="1"/>
                <w:color w:val="auto"/>
              </w:rPr>
            </w:pPr>
          </w:p>
        </w:tc>
      </w:tr>
      <w:tr>
        <w:trPr>
          <w:trHeight w:val="570"/>
        </w:trPr>
        <w:tc>
          <w:tcPr>
            <w:tcW w:w="20" w:type="dxa"/>
            <w:vAlign w:val="bottom"/>
          </w:tcPr>
          <w:p>
            <w:pPr>
              <w:spacing w:after="0"/>
              <w:rPr>
                <w:sz w:val="24"/>
                <w:szCs w:val="24"/>
                <w:color w:val="auto"/>
              </w:rPr>
            </w:pPr>
          </w:p>
        </w:tc>
        <w:tc>
          <w:tcPr>
            <w:tcW w:w="3440" w:type="dxa"/>
            <w:vAlign w:val="bottom"/>
            <w:gridSpan w:val="2"/>
          </w:tcPr>
          <w:p>
            <w:pPr>
              <w:spacing w:after="0"/>
              <w:rPr>
                <w:sz w:val="24"/>
                <w:szCs w:val="24"/>
                <w:color w:val="auto"/>
              </w:rPr>
            </w:pPr>
          </w:p>
        </w:tc>
        <w:tc>
          <w:tcPr>
            <w:tcW w:w="3800" w:type="dxa"/>
            <w:vAlign w:val="bottom"/>
            <w:gridSpan w:val="2"/>
          </w:tcPr>
          <w:p>
            <w:pPr>
              <w:spacing w:after="0"/>
              <w:rPr>
                <w:sz w:val="24"/>
                <w:szCs w:val="24"/>
                <w:color w:val="auto"/>
              </w:rPr>
            </w:pPr>
          </w:p>
        </w:tc>
        <w:tc>
          <w:tcPr>
            <w:tcW w:w="39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shd w:val="clear" w:color="auto" w:fill="F6F3F0"/>
          </w:tcPr>
          <w:p>
            <w:pPr>
              <w:spacing w:after="0"/>
              <w:rPr>
                <w:sz w:val="23"/>
                <w:szCs w:val="23"/>
                <w:color w:val="auto"/>
              </w:rPr>
            </w:pPr>
          </w:p>
        </w:tc>
        <w:tc>
          <w:tcPr>
            <w:tcW w:w="3440" w:type="dxa"/>
            <w:vAlign w:val="bottom"/>
            <w:gridSpan w:val="2"/>
            <w:shd w:val="clear" w:color="auto" w:fill="F6F3F0"/>
          </w:tcPr>
          <w:p>
            <w:pPr>
              <w:ind w:left="80"/>
              <w:spacing w:after="0"/>
              <w:rPr>
                <w:sz w:val="20"/>
                <w:szCs w:val="20"/>
                <w:color w:val="auto"/>
              </w:rPr>
            </w:pPr>
            <w:r>
              <w:rPr>
                <w:rFonts w:ascii="Arial" w:cs="Arial" w:eastAsia="Arial" w:hAnsi="Arial"/>
                <w:sz w:val="14"/>
                <w:szCs w:val="14"/>
                <w:b w:val="1"/>
                <w:bCs w:val="1"/>
                <w:color w:val="0E1020"/>
              </w:rPr>
              <w:t>Type of Pay</w:t>
            </w:r>
          </w:p>
        </w:tc>
        <w:tc>
          <w:tcPr>
            <w:tcW w:w="3800" w:type="dxa"/>
            <w:vAlign w:val="bottom"/>
            <w:gridSpan w:val="2"/>
            <w:shd w:val="clear" w:color="auto" w:fill="F6F3F0"/>
          </w:tcPr>
          <w:p>
            <w:pPr>
              <w:ind w:left="20"/>
              <w:spacing w:after="0"/>
              <w:rPr>
                <w:sz w:val="20"/>
                <w:szCs w:val="20"/>
                <w:color w:val="auto"/>
              </w:rPr>
            </w:pPr>
            <w:r>
              <w:rPr>
                <w:rFonts w:ascii="Arial" w:cs="Arial" w:eastAsia="Arial" w:hAnsi="Arial"/>
                <w:sz w:val="14"/>
                <w:szCs w:val="14"/>
                <w:b w:val="1"/>
                <w:bCs w:val="1"/>
                <w:color w:val="0E1020"/>
              </w:rPr>
              <w:t>Purpose</w:t>
            </w:r>
          </w:p>
        </w:tc>
        <w:tc>
          <w:tcPr>
            <w:tcW w:w="3960" w:type="dxa"/>
            <w:vAlign w:val="bottom"/>
            <w:gridSpan w:val="3"/>
            <w:shd w:val="clear" w:color="auto" w:fill="F6F3F0"/>
          </w:tcPr>
          <w:p>
            <w:pPr>
              <w:ind w:left="200"/>
              <w:spacing w:after="0"/>
              <w:rPr>
                <w:sz w:val="20"/>
                <w:szCs w:val="20"/>
                <w:color w:val="auto"/>
              </w:rPr>
            </w:pPr>
            <w:r>
              <w:rPr>
                <w:rFonts w:ascii="Arial" w:cs="Arial" w:eastAsia="Arial" w:hAnsi="Arial"/>
                <w:sz w:val="14"/>
                <w:szCs w:val="14"/>
                <w:b w:val="1"/>
                <w:bCs w:val="1"/>
                <w:color w:val="0E1020"/>
              </w:rPr>
              <w:t>Key Characteristics</w:t>
            </w:r>
          </w:p>
        </w:tc>
        <w:tc>
          <w:tcPr>
            <w:tcW w:w="0" w:type="dxa"/>
            <w:vAlign w:val="bottom"/>
          </w:tcPr>
          <w:p>
            <w:pPr>
              <w:spacing w:after="0"/>
              <w:rPr>
                <w:sz w:val="1"/>
                <w:szCs w:val="1"/>
                <w:color w:val="auto"/>
              </w:rPr>
            </w:pPr>
          </w:p>
        </w:tc>
      </w:tr>
      <w:tr>
        <w:trPr>
          <w:trHeight w:val="69"/>
        </w:trPr>
        <w:tc>
          <w:tcPr>
            <w:tcW w:w="20" w:type="dxa"/>
            <w:vAlign w:val="bottom"/>
            <w:shd w:val="clear" w:color="auto" w:fill="F6F3F0"/>
          </w:tcPr>
          <w:p>
            <w:pPr>
              <w:spacing w:after="0"/>
              <w:rPr>
                <w:sz w:val="5"/>
                <w:szCs w:val="5"/>
                <w:color w:val="auto"/>
              </w:rPr>
            </w:pPr>
          </w:p>
        </w:tc>
        <w:tc>
          <w:tcPr>
            <w:tcW w:w="3440" w:type="dxa"/>
            <w:vAlign w:val="bottom"/>
            <w:gridSpan w:val="2"/>
            <w:shd w:val="clear" w:color="auto" w:fill="F6F3F0"/>
          </w:tcPr>
          <w:p>
            <w:pPr>
              <w:spacing w:after="0"/>
              <w:rPr>
                <w:sz w:val="5"/>
                <w:szCs w:val="5"/>
                <w:color w:val="auto"/>
              </w:rPr>
            </w:pPr>
          </w:p>
        </w:tc>
        <w:tc>
          <w:tcPr>
            <w:tcW w:w="100" w:type="dxa"/>
            <w:vAlign w:val="bottom"/>
            <w:shd w:val="clear" w:color="auto" w:fill="F6F3F0"/>
          </w:tcPr>
          <w:p>
            <w:pPr>
              <w:spacing w:after="0"/>
              <w:rPr>
                <w:sz w:val="5"/>
                <w:szCs w:val="5"/>
                <w:color w:val="auto"/>
              </w:rPr>
            </w:pPr>
          </w:p>
        </w:tc>
        <w:tc>
          <w:tcPr>
            <w:tcW w:w="3700" w:type="dxa"/>
            <w:vAlign w:val="bottom"/>
            <w:shd w:val="clear" w:color="auto" w:fill="F6F3F0"/>
          </w:tcPr>
          <w:p>
            <w:pPr>
              <w:spacing w:after="0"/>
              <w:rPr>
                <w:sz w:val="5"/>
                <w:szCs w:val="5"/>
                <w:color w:val="auto"/>
              </w:rPr>
            </w:pPr>
          </w:p>
        </w:tc>
        <w:tc>
          <w:tcPr>
            <w:tcW w:w="300" w:type="dxa"/>
            <w:vAlign w:val="bottom"/>
            <w:shd w:val="clear" w:color="auto" w:fill="F6F3F0"/>
          </w:tcPr>
          <w:p>
            <w:pPr>
              <w:spacing w:after="0"/>
              <w:rPr>
                <w:sz w:val="5"/>
                <w:szCs w:val="5"/>
                <w:color w:val="auto"/>
              </w:rPr>
            </w:pPr>
          </w:p>
        </w:tc>
        <w:tc>
          <w:tcPr>
            <w:tcW w:w="160" w:type="dxa"/>
            <w:vAlign w:val="bottom"/>
            <w:shd w:val="clear" w:color="auto" w:fill="F6F3F0"/>
          </w:tcPr>
          <w:p>
            <w:pPr>
              <w:spacing w:after="0"/>
              <w:rPr>
                <w:sz w:val="5"/>
                <w:szCs w:val="5"/>
                <w:color w:val="auto"/>
              </w:rPr>
            </w:pPr>
          </w:p>
        </w:tc>
        <w:tc>
          <w:tcPr>
            <w:tcW w:w="3500" w:type="dxa"/>
            <w:vAlign w:val="bottom"/>
            <w:shd w:val="clear" w:color="auto" w:fill="F6F3F0"/>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0E1020"/>
              </w:rPr>
              <w:t>LONG-TERM INCENTIVE</w:t>
            </w: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CFCFD2"/>
            </w:tcBorders>
          </w:tcPr>
          <w:p>
            <w:pPr>
              <w:spacing w:after="0"/>
              <w:rPr>
                <w:sz w:val="8"/>
                <w:szCs w:val="8"/>
                <w:color w:val="auto"/>
              </w:rPr>
            </w:pPr>
          </w:p>
        </w:tc>
        <w:tc>
          <w:tcPr>
            <w:tcW w:w="3440" w:type="dxa"/>
            <w:vAlign w:val="bottom"/>
            <w:tcBorders>
              <w:bottom w:val="single" w:sz="8" w:color="CFCFD2"/>
            </w:tcBorders>
            <w:gridSpan w:val="2"/>
          </w:tcPr>
          <w:p>
            <w:pPr>
              <w:spacing w:after="0"/>
              <w:rPr>
                <w:sz w:val="8"/>
                <w:szCs w:val="8"/>
                <w:color w:val="auto"/>
              </w:rPr>
            </w:pPr>
          </w:p>
        </w:tc>
        <w:tc>
          <w:tcPr>
            <w:tcW w:w="100" w:type="dxa"/>
            <w:vAlign w:val="bottom"/>
            <w:tcBorders>
              <w:bottom w:val="single" w:sz="8" w:color="CFCFD2"/>
            </w:tcBorders>
          </w:tcPr>
          <w:p>
            <w:pPr>
              <w:spacing w:after="0"/>
              <w:rPr>
                <w:sz w:val="8"/>
                <w:szCs w:val="8"/>
                <w:color w:val="auto"/>
              </w:rPr>
            </w:pPr>
          </w:p>
        </w:tc>
        <w:tc>
          <w:tcPr>
            <w:tcW w:w="3700" w:type="dxa"/>
            <w:vAlign w:val="bottom"/>
            <w:tcBorders>
              <w:bottom w:val="single" w:sz="8" w:color="CFCFD2"/>
            </w:tcBorders>
          </w:tcPr>
          <w:p>
            <w:pPr>
              <w:spacing w:after="0"/>
              <w:rPr>
                <w:sz w:val="8"/>
                <w:szCs w:val="8"/>
                <w:color w:val="auto"/>
              </w:rPr>
            </w:pPr>
          </w:p>
        </w:tc>
        <w:tc>
          <w:tcPr>
            <w:tcW w:w="300" w:type="dxa"/>
            <w:vAlign w:val="bottom"/>
            <w:tcBorders>
              <w:bottom w:val="single" w:sz="8" w:color="CFCFD2"/>
            </w:tcBorders>
          </w:tcPr>
          <w:p>
            <w:pPr>
              <w:spacing w:after="0"/>
              <w:rPr>
                <w:sz w:val="8"/>
                <w:szCs w:val="8"/>
                <w:color w:val="auto"/>
              </w:rPr>
            </w:pPr>
          </w:p>
        </w:tc>
        <w:tc>
          <w:tcPr>
            <w:tcW w:w="3660" w:type="dxa"/>
            <w:vAlign w:val="bottom"/>
            <w:tcBorders>
              <w:bottom w:val="single" w:sz="8" w:color="CFCFD2"/>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40" w:type="dxa"/>
            <w:vAlign w:val="bottom"/>
            <w:gridSpan w:val="2"/>
          </w:tcPr>
          <w:p>
            <w:pPr>
              <w:ind w:left="80"/>
              <w:spacing w:after="0"/>
              <w:rPr>
                <w:sz w:val="20"/>
                <w:szCs w:val="20"/>
                <w:color w:val="auto"/>
              </w:rPr>
            </w:pPr>
            <w:r>
              <w:rPr>
                <w:rFonts w:ascii="Arial" w:cs="Arial" w:eastAsia="Arial" w:hAnsi="Arial"/>
                <w:sz w:val="14"/>
                <w:szCs w:val="14"/>
                <w:b w:val="1"/>
                <w:bCs w:val="1"/>
                <w:color w:val="0E1020"/>
              </w:rPr>
              <w:t>Performance-Based</w:t>
            </w:r>
          </w:p>
        </w:tc>
        <w:tc>
          <w:tcPr>
            <w:tcW w:w="100" w:type="dxa"/>
            <w:vAlign w:val="bottom"/>
          </w:tcPr>
          <w:p>
            <w:pPr>
              <w:ind w:left="20"/>
              <w:spacing w:after="0"/>
              <w:rPr>
                <w:sz w:val="20"/>
                <w:szCs w:val="20"/>
                <w:color w:val="auto"/>
              </w:rPr>
            </w:pPr>
            <w:r>
              <w:rPr>
                <w:rFonts w:ascii="Arial" w:cs="Arial" w:eastAsia="Arial" w:hAnsi="Arial"/>
                <w:sz w:val="14"/>
                <w:szCs w:val="14"/>
                <w:color w:val="0E1020"/>
              </w:rPr>
              <w:t>•</w:t>
            </w:r>
          </w:p>
        </w:tc>
        <w:tc>
          <w:tcPr>
            <w:tcW w:w="3700" w:type="dxa"/>
            <w:vAlign w:val="bottom"/>
          </w:tcPr>
          <w:p>
            <w:pPr>
              <w:ind w:left="40"/>
              <w:spacing w:after="0"/>
              <w:rPr>
                <w:sz w:val="20"/>
                <w:szCs w:val="20"/>
                <w:color w:val="auto"/>
              </w:rPr>
            </w:pPr>
            <w:r>
              <w:rPr>
                <w:rFonts w:ascii="Arial" w:cs="Arial" w:eastAsia="Arial" w:hAnsi="Arial"/>
                <w:sz w:val="14"/>
                <w:szCs w:val="14"/>
                <w:color w:val="0E1020"/>
              </w:rPr>
              <w:t>Encourage focus on long-term stockholder value</w:t>
            </w:r>
          </w:p>
        </w:tc>
        <w:tc>
          <w:tcPr>
            <w:tcW w:w="300" w:type="dxa"/>
            <w:vAlign w:val="bottom"/>
          </w:tcPr>
          <w:p>
            <w:pPr>
              <w:ind w:left="200"/>
              <w:spacing w:after="0"/>
              <w:rPr>
                <w:sz w:val="20"/>
                <w:szCs w:val="20"/>
                <w:color w:val="auto"/>
              </w:rPr>
            </w:pPr>
            <w:r>
              <w:rPr>
                <w:rFonts w:ascii="Arial" w:cs="Arial" w:eastAsia="Arial" w:hAnsi="Arial"/>
                <w:sz w:val="14"/>
                <w:szCs w:val="14"/>
                <w:color w:val="0E1020"/>
              </w:rPr>
              <w:t>•</w:t>
            </w:r>
          </w:p>
        </w:tc>
        <w:tc>
          <w:tcPr>
            <w:tcW w:w="3660" w:type="dxa"/>
            <w:vAlign w:val="bottom"/>
            <w:gridSpan w:val="2"/>
          </w:tcPr>
          <w:p>
            <w:pPr>
              <w:ind w:left="40"/>
              <w:spacing w:after="0"/>
              <w:rPr>
                <w:sz w:val="20"/>
                <w:szCs w:val="20"/>
                <w:color w:val="auto"/>
              </w:rPr>
            </w:pPr>
            <w:r>
              <w:rPr>
                <w:rFonts w:ascii="Arial" w:cs="Arial" w:eastAsia="Arial" w:hAnsi="Arial"/>
                <w:sz w:val="14"/>
                <w:szCs w:val="14"/>
                <w:color w:val="0E1020"/>
              </w:rPr>
              <w:t>85% long-term incentive (“LTI”) weighting of annual grant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40" w:type="dxa"/>
            <w:vAlign w:val="bottom"/>
            <w:gridSpan w:val="2"/>
          </w:tcPr>
          <w:p>
            <w:pPr>
              <w:ind w:left="80"/>
              <w:spacing w:after="0"/>
              <w:rPr>
                <w:sz w:val="20"/>
                <w:szCs w:val="20"/>
                <w:color w:val="auto"/>
              </w:rPr>
            </w:pPr>
            <w:r>
              <w:rPr>
                <w:rFonts w:ascii="Arial" w:cs="Arial" w:eastAsia="Arial" w:hAnsi="Arial"/>
                <w:sz w:val="14"/>
                <w:szCs w:val="14"/>
                <w:b w:val="1"/>
                <w:bCs w:val="1"/>
                <w:color w:val="0E1020"/>
              </w:rPr>
              <w:t>Restricted Stock</w:t>
            </w:r>
          </w:p>
        </w:tc>
        <w:tc>
          <w:tcPr>
            <w:tcW w:w="100" w:type="dxa"/>
            <w:vAlign w:val="bottom"/>
          </w:tcPr>
          <w:p>
            <w:pPr>
              <w:spacing w:after="0"/>
              <w:rPr>
                <w:sz w:val="15"/>
                <w:szCs w:val="15"/>
                <w:color w:val="auto"/>
              </w:rPr>
            </w:pPr>
          </w:p>
        </w:tc>
        <w:tc>
          <w:tcPr>
            <w:tcW w:w="3700" w:type="dxa"/>
            <w:vAlign w:val="bottom"/>
          </w:tcPr>
          <w:p>
            <w:pPr>
              <w:ind w:left="80"/>
              <w:spacing w:after="0"/>
              <w:rPr>
                <w:sz w:val="20"/>
                <w:szCs w:val="20"/>
                <w:color w:val="auto"/>
              </w:rPr>
            </w:pPr>
            <w:r>
              <w:rPr>
                <w:rFonts w:ascii="Arial" w:cs="Arial" w:eastAsia="Arial" w:hAnsi="Arial"/>
                <w:sz w:val="14"/>
                <w:szCs w:val="14"/>
                <w:color w:val="0E1020"/>
              </w:rPr>
              <w:t>creation through profitable growth and increase</w:t>
            </w:r>
          </w:p>
        </w:tc>
        <w:tc>
          <w:tcPr>
            <w:tcW w:w="300" w:type="dxa"/>
            <w:vAlign w:val="bottom"/>
          </w:tcPr>
          <w:p>
            <w:pPr>
              <w:spacing w:after="0"/>
              <w:rPr>
                <w:sz w:val="15"/>
                <w:szCs w:val="15"/>
                <w:color w:val="auto"/>
              </w:rPr>
            </w:pPr>
          </w:p>
        </w:tc>
        <w:tc>
          <w:tcPr>
            <w:tcW w:w="3660" w:type="dxa"/>
            <w:vAlign w:val="bottom"/>
            <w:gridSpan w:val="2"/>
          </w:tcPr>
          <w:p>
            <w:pPr>
              <w:ind w:left="60"/>
              <w:spacing w:after="0"/>
              <w:rPr>
                <w:sz w:val="20"/>
                <w:szCs w:val="20"/>
                <w:color w:val="auto"/>
              </w:rPr>
            </w:pPr>
            <w:r>
              <w:rPr>
                <w:rFonts w:ascii="Arial" w:cs="Arial" w:eastAsia="Arial" w:hAnsi="Arial"/>
                <w:sz w:val="14"/>
                <w:szCs w:val="14"/>
                <w:color w:val="0E1020"/>
              </w:rPr>
              <w:t>in PSUs for the CEO and CFO (60% for other NEOs)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440" w:type="dxa"/>
            <w:vAlign w:val="bottom"/>
            <w:gridSpan w:val="2"/>
          </w:tcPr>
          <w:p>
            <w:pPr>
              <w:ind w:left="80"/>
              <w:spacing w:after="0"/>
              <w:rPr>
                <w:sz w:val="20"/>
                <w:szCs w:val="20"/>
                <w:color w:val="auto"/>
              </w:rPr>
            </w:pPr>
            <w:r>
              <w:rPr>
                <w:rFonts w:ascii="Arial" w:cs="Arial" w:eastAsia="Arial" w:hAnsi="Arial"/>
                <w:sz w:val="14"/>
                <w:szCs w:val="14"/>
                <w:b w:val="1"/>
                <w:bCs w:val="1"/>
                <w:color w:val="0E1020"/>
              </w:rPr>
              <w:t>Units (PSUs)*</w:t>
            </w:r>
          </w:p>
        </w:tc>
        <w:tc>
          <w:tcPr>
            <w:tcW w:w="100" w:type="dxa"/>
            <w:vAlign w:val="bottom"/>
          </w:tcPr>
          <w:p>
            <w:pPr>
              <w:spacing w:after="0"/>
              <w:rPr>
                <w:sz w:val="13"/>
                <w:szCs w:val="13"/>
                <w:color w:val="auto"/>
              </w:rPr>
            </w:pPr>
          </w:p>
        </w:tc>
        <w:tc>
          <w:tcPr>
            <w:tcW w:w="3700" w:type="dxa"/>
            <w:vAlign w:val="bottom"/>
          </w:tcPr>
          <w:p>
            <w:pPr>
              <w:ind w:left="80"/>
              <w:spacing w:after="0"/>
              <w:rPr>
                <w:sz w:val="20"/>
                <w:szCs w:val="20"/>
                <w:color w:val="auto"/>
              </w:rPr>
            </w:pPr>
            <w:r>
              <w:rPr>
                <w:rFonts w:ascii="Arial" w:cs="Arial" w:eastAsia="Arial" w:hAnsi="Arial"/>
                <w:sz w:val="14"/>
                <w:szCs w:val="14"/>
                <w:color w:val="0E1020"/>
              </w:rPr>
              <w:t>in stock price over time</w:t>
            </w:r>
          </w:p>
        </w:tc>
        <w:tc>
          <w:tcPr>
            <w:tcW w:w="300" w:type="dxa"/>
            <w:vAlign w:val="bottom"/>
          </w:tcPr>
          <w:p>
            <w:pPr>
              <w:spacing w:after="0"/>
              <w:rPr>
                <w:sz w:val="13"/>
                <w:szCs w:val="13"/>
                <w:color w:val="auto"/>
              </w:rPr>
            </w:pPr>
          </w:p>
        </w:tc>
        <w:tc>
          <w:tcPr>
            <w:tcW w:w="3660" w:type="dxa"/>
            <w:vAlign w:val="bottom"/>
            <w:gridSpan w:val="2"/>
          </w:tcPr>
          <w:p>
            <w:pPr>
              <w:ind w:left="60"/>
              <w:spacing w:after="0"/>
              <w:rPr>
                <w:sz w:val="20"/>
                <w:szCs w:val="20"/>
                <w:color w:val="auto"/>
              </w:rPr>
            </w:pPr>
            <w:r>
              <w:rPr>
                <w:rFonts w:ascii="Arial" w:cs="Arial" w:eastAsia="Arial" w:hAnsi="Arial"/>
                <w:sz w:val="14"/>
                <w:szCs w:val="14"/>
                <w:color w:val="0E1020"/>
              </w:rPr>
              <w:t>ensures a substantial proportion of equity and overall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0E1020"/>
              </w:rPr>
              <w:t>•</w:t>
            </w:r>
          </w:p>
        </w:tc>
        <w:tc>
          <w:tcPr>
            <w:tcW w:w="3700" w:type="dxa"/>
            <w:vAlign w:val="bottom"/>
            <w:vMerge w:val="restart"/>
          </w:tcPr>
          <w:p>
            <w:pPr>
              <w:ind w:left="40"/>
              <w:spacing w:after="0"/>
              <w:rPr>
                <w:sz w:val="20"/>
                <w:szCs w:val="20"/>
                <w:color w:val="auto"/>
              </w:rPr>
            </w:pPr>
            <w:r>
              <w:rPr>
                <w:rFonts w:ascii="Arial" w:cs="Arial" w:eastAsia="Arial" w:hAnsi="Arial"/>
                <w:sz w:val="14"/>
                <w:szCs w:val="14"/>
                <w:color w:val="0E1020"/>
              </w:rPr>
              <w:t>Aligns compensation with key indicators of success of</w:t>
            </w:r>
          </w:p>
        </w:tc>
        <w:tc>
          <w:tcPr>
            <w:tcW w:w="300" w:type="dxa"/>
            <w:vAlign w:val="bottom"/>
          </w:tcPr>
          <w:p>
            <w:pPr>
              <w:spacing w:after="0"/>
              <w:rPr>
                <w:sz w:val="16"/>
                <w:szCs w:val="16"/>
                <w:color w:val="auto"/>
              </w:rPr>
            </w:pPr>
          </w:p>
        </w:tc>
        <w:tc>
          <w:tcPr>
            <w:tcW w:w="3660" w:type="dxa"/>
            <w:vAlign w:val="bottom"/>
            <w:gridSpan w:val="2"/>
          </w:tcPr>
          <w:p>
            <w:pPr>
              <w:ind w:left="60"/>
              <w:spacing w:after="0"/>
              <w:rPr>
                <w:sz w:val="20"/>
                <w:szCs w:val="20"/>
                <w:color w:val="auto"/>
              </w:rPr>
            </w:pPr>
            <w:r>
              <w:rPr>
                <w:rFonts w:ascii="Arial" w:cs="Arial" w:eastAsia="Arial" w:hAnsi="Arial"/>
                <w:sz w:val="14"/>
                <w:szCs w:val="14"/>
                <w:color w:val="0E1020"/>
              </w:rPr>
              <w:t>compensation is performance-based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37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tcPr>
          <w:p>
            <w:pPr>
              <w:ind w:left="80"/>
              <w:spacing w:after="0"/>
              <w:rPr>
                <w:sz w:val="20"/>
                <w:szCs w:val="20"/>
                <w:color w:val="auto"/>
              </w:rPr>
            </w:pPr>
            <w:r>
              <w:rPr>
                <w:rFonts w:ascii="Arial" w:cs="Arial" w:eastAsia="Arial" w:hAnsi="Arial"/>
                <w:sz w:val="14"/>
                <w:szCs w:val="14"/>
                <w:color w:val="0E1020"/>
              </w:rPr>
              <w:t>our strategy</w:t>
            </w:r>
          </w:p>
        </w:tc>
        <w:tc>
          <w:tcPr>
            <w:tcW w:w="300" w:type="dxa"/>
            <w:vAlign w:val="bottom"/>
          </w:tcPr>
          <w:p>
            <w:pPr>
              <w:ind w:left="200"/>
              <w:spacing w:after="0"/>
              <w:rPr>
                <w:sz w:val="20"/>
                <w:szCs w:val="20"/>
                <w:color w:val="auto"/>
              </w:rPr>
            </w:pPr>
            <w:r>
              <w:rPr>
                <w:rFonts w:ascii="Arial" w:cs="Arial" w:eastAsia="Arial" w:hAnsi="Arial"/>
                <w:sz w:val="14"/>
                <w:szCs w:val="14"/>
                <w:color w:val="0E1020"/>
              </w:rPr>
              <w:t>•</w:t>
            </w:r>
          </w:p>
        </w:tc>
        <w:tc>
          <w:tcPr>
            <w:tcW w:w="3660" w:type="dxa"/>
            <w:vAlign w:val="bottom"/>
            <w:gridSpan w:val="2"/>
          </w:tcPr>
          <w:p>
            <w:pPr>
              <w:ind w:left="40"/>
              <w:spacing w:after="0"/>
              <w:rPr>
                <w:sz w:val="20"/>
                <w:szCs w:val="20"/>
                <w:color w:val="auto"/>
              </w:rPr>
            </w:pPr>
            <w:r>
              <w:rPr>
                <w:rFonts w:ascii="Arial" w:cs="Arial" w:eastAsia="Arial" w:hAnsi="Arial"/>
                <w:sz w:val="14"/>
                <w:szCs w:val="14"/>
                <w:color w:val="0E1020"/>
              </w:rPr>
              <w:t>Payouts based 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0E1020"/>
              </w:rPr>
              <w:t>•</w:t>
            </w:r>
          </w:p>
        </w:tc>
        <w:tc>
          <w:tcPr>
            <w:tcW w:w="3700" w:type="dxa"/>
            <w:vAlign w:val="bottom"/>
          </w:tcPr>
          <w:p>
            <w:pPr>
              <w:ind w:left="40"/>
              <w:spacing w:after="0"/>
              <w:rPr>
                <w:sz w:val="20"/>
                <w:szCs w:val="20"/>
                <w:color w:val="auto"/>
              </w:rPr>
            </w:pPr>
            <w:r>
              <w:rPr>
                <w:rFonts w:ascii="Arial" w:cs="Arial" w:eastAsia="Arial" w:hAnsi="Arial"/>
                <w:sz w:val="14"/>
                <w:szCs w:val="14"/>
                <w:color w:val="0E1020"/>
              </w:rPr>
              <w:t>Promotes retention through long-term performance</w:t>
            </w:r>
          </w:p>
        </w:tc>
        <w:tc>
          <w:tcPr>
            <w:tcW w:w="30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0E1020"/>
              </w:rPr>
              <w:t>•</w:t>
            </w:r>
          </w:p>
        </w:tc>
        <w:tc>
          <w:tcPr>
            <w:tcW w:w="3500" w:type="dxa"/>
            <w:vAlign w:val="bottom"/>
          </w:tcPr>
          <w:p>
            <w:pPr>
              <w:ind w:left="40"/>
              <w:spacing w:after="0"/>
              <w:rPr>
                <w:sz w:val="20"/>
                <w:szCs w:val="20"/>
                <w:color w:val="auto"/>
              </w:rPr>
            </w:pPr>
            <w:r>
              <w:rPr>
                <w:rFonts w:ascii="Arial" w:cs="Arial" w:eastAsia="Arial" w:hAnsi="Arial"/>
                <w:sz w:val="14"/>
                <w:szCs w:val="14"/>
                <w:color w:val="0E1020"/>
              </w:rPr>
              <w:t>80% weighted metric of cumulative Free Cash Flow</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tcPr>
          <w:p>
            <w:pPr>
              <w:ind w:left="80"/>
              <w:spacing w:after="0"/>
              <w:rPr>
                <w:sz w:val="20"/>
                <w:szCs w:val="20"/>
                <w:color w:val="auto"/>
              </w:rPr>
            </w:pPr>
            <w:r>
              <w:rPr>
                <w:rFonts w:ascii="Arial" w:cs="Arial" w:eastAsia="Arial" w:hAnsi="Arial"/>
                <w:sz w:val="14"/>
                <w:szCs w:val="14"/>
                <w:color w:val="0E1020"/>
              </w:rPr>
              <w:t>achievement and vesting requirements</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tcPr>
          <w:p>
            <w:pPr>
              <w:ind w:left="60"/>
              <w:spacing w:after="0"/>
              <w:rPr>
                <w:sz w:val="20"/>
                <w:szCs w:val="20"/>
                <w:color w:val="auto"/>
              </w:rPr>
            </w:pPr>
            <w:r>
              <w:rPr>
                <w:rFonts w:ascii="Arial" w:cs="Arial" w:eastAsia="Arial" w:hAnsi="Arial"/>
                <w:sz w:val="14"/>
                <w:szCs w:val="14"/>
                <w:color w:val="0E1020"/>
              </w:rPr>
              <w:t>achievement and 20% weighted metric of cumulative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4"/>
                <w:szCs w:val="14"/>
                <w:color w:val="0E1020"/>
              </w:rPr>
              <w:t>Revenue, both over the three-year performance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tcPr>
          <w:p>
            <w:pPr>
              <w:ind w:left="60"/>
              <w:spacing w:after="0"/>
              <w:rPr>
                <w:sz w:val="20"/>
                <w:szCs w:val="20"/>
                <w:color w:val="auto"/>
              </w:rPr>
            </w:pPr>
            <w:r>
              <w:rPr>
                <w:rFonts w:ascii="Arial" w:cs="Arial" w:eastAsia="Arial" w:hAnsi="Arial"/>
                <w:sz w:val="14"/>
                <w:szCs w:val="14"/>
                <w:color w:val="0E1020"/>
              </w:rPr>
              <w:t>period against meaningful target goals, aligning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tcPr>
          <w:p>
            <w:pPr>
              <w:ind w:left="60"/>
              <w:spacing w:after="0"/>
              <w:rPr>
                <w:sz w:val="20"/>
                <w:szCs w:val="20"/>
                <w:color w:val="auto"/>
              </w:rPr>
            </w:pPr>
            <w:r>
              <w:rPr>
                <w:rFonts w:ascii="Arial" w:cs="Arial" w:eastAsia="Arial" w:hAnsi="Arial"/>
                <w:sz w:val="14"/>
                <w:szCs w:val="14"/>
                <w:color w:val="0E1020"/>
              </w:rPr>
              <w:t>executive pay with long-term financial growth, and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0E1020"/>
              </w:rPr>
              <w:t>•</w:t>
            </w:r>
          </w:p>
        </w:tc>
        <w:tc>
          <w:tcPr>
            <w:tcW w:w="3500" w:type="dxa"/>
            <w:vAlign w:val="bottom"/>
          </w:tcPr>
          <w:p>
            <w:pPr>
              <w:ind w:left="40"/>
              <w:spacing w:after="0"/>
              <w:rPr>
                <w:sz w:val="20"/>
                <w:szCs w:val="20"/>
                <w:color w:val="auto"/>
              </w:rPr>
            </w:pPr>
            <w:r>
              <w:rPr>
                <w:rFonts w:ascii="Arial" w:cs="Arial" w:eastAsia="Arial" w:hAnsi="Arial"/>
                <w:sz w:val="14"/>
                <w:szCs w:val="14"/>
                <w:color w:val="0E1020"/>
              </w:rPr>
              <w:t>+/-20% modifier of relative Total Shareholder Return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tcPr>
          <w:p>
            <w:pPr>
              <w:ind w:left="60"/>
              <w:spacing w:after="0"/>
              <w:rPr>
                <w:sz w:val="20"/>
                <w:szCs w:val="20"/>
                <w:color w:val="auto"/>
              </w:rPr>
            </w:pPr>
            <w:r>
              <w:rPr>
                <w:rFonts w:ascii="Arial" w:cs="Arial" w:eastAsia="Arial" w:hAnsi="Arial"/>
                <w:sz w:val="14"/>
                <w:szCs w:val="14"/>
                <w:color w:val="0E1020"/>
              </w:rPr>
              <w:t>(“rTSR”) achievement against a custom comparator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4"/>
                <w:szCs w:val="14"/>
                <w:color w:val="0E1020"/>
              </w:rPr>
              <w:t>group over the three-year performance period,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tcPr>
          <w:p>
            <w:pPr>
              <w:ind w:left="60"/>
              <w:spacing w:after="0"/>
              <w:rPr>
                <w:sz w:val="20"/>
                <w:szCs w:val="20"/>
                <w:color w:val="auto"/>
              </w:rPr>
            </w:pPr>
            <w:r>
              <w:rPr>
                <w:rFonts w:ascii="Arial" w:cs="Arial" w:eastAsia="Arial" w:hAnsi="Arial"/>
                <w:sz w:val="14"/>
                <w:szCs w:val="14"/>
                <w:color w:val="0E1020"/>
              </w:rPr>
              <w:t>aligning executive pay with the creation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tcPr>
          <w:p>
            <w:pPr>
              <w:ind w:left="60"/>
              <w:spacing w:after="0"/>
              <w:rPr>
                <w:sz w:val="20"/>
                <w:szCs w:val="20"/>
                <w:color w:val="auto"/>
              </w:rPr>
            </w:pPr>
            <w:r>
              <w:rPr>
                <w:rFonts w:ascii="Arial" w:cs="Arial" w:eastAsia="Arial" w:hAnsi="Arial"/>
                <w:sz w:val="14"/>
                <w:szCs w:val="14"/>
                <w:color w:val="0E1020"/>
              </w:rPr>
              <w:t>of stockholder value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0E1020"/>
              </w:rPr>
              <w:t>•</w:t>
            </w:r>
          </w:p>
        </w:tc>
        <w:tc>
          <w:tcPr>
            <w:tcW w:w="3500" w:type="dxa"/>
            <w:vAlign w:val="bottom"/>
          </w:tcPr>
          <w:p>
            <w:pPr>
              <w:ind w:left="40"/>
              <w:spacing w:after="0"/>
              <w:rPr>
                <w:sz w:val="20"/>
                <w:szCs w:val="20"/>
                <w:color w:val="auto"/>
              </w:rPr>
            </w:pPr>
            <w:r>
              <w:rPr>
                <w:rFonts w:ascii="Arial" w:cs="Arial" w:eastAsia="Arial" w:hAnsi="Arial"/>
                <w:sz w:val="14"/>
                <w:szCs w:val="14"/>
                <w:color w:val="0E1020"/>
              </w:rPr>
              <w:t>Cliff vesting feature generally requires continued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tcPr>
          <w:p>
            <w:pPr>
              <w:ind w:left="60"/>
              <w:spacing w:after="0"/>
              <w:rPr>
                <w:sz w:val="20"/>
                <w:szCs w:val="20"/>
                <w:color w:val="auto"/>
              </w:rPr>
            </w:pPr>
            <w:r>
              <w:rPr>
                <w:rFonts w:ascii="Arial" w:cs="Arial" w:eastAsia="Arial" w:hAnsi="Arial"/>
                <w:sz w:val="14"/>
                <w:szCs w:val="14"/>
                <w:color w:val="0E1020"/>
              </w:rPr>
              <w:t>employment through the end of the three-year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tcPr>
          <w:p>
            <w:pPr>
              <w:ind w:left="60"/>
              <w:spacing w:after="0"/>
              <w:rPr>
                <w:sz w:val="20"/>
                <w:szCs w:val="20"/>
                <w:color w:val="auto"/>
              </w:rPr>
            </w:pPr>
            <w:r>
              <w:rPr>
                <w:rFonts w:ascii="Arial" w:cs="Arial" w:eastAsia="Arial" w:hAnsi="Arial"/>
                <w:sz w:val="14"/>
                <w:szCs w:val="14"/>
                <w:color w:val="0E1020"/>
              </w:rPr>
              <w:t>performance period</w:t>
            </w:r>
          </w:p>
        </w:tc>
        <w:tc>
          <w:tcPr>
            <w:tcW w:w="0" w:type="dxa"/>
            <w:vAlign w:val="bottom"/>
          </w:tcPr>
          <w:p>
            <w:pPr>
              <w:spacing w:after="0"/>
              <w:rPr>
                <w:sz w:val="1"/>
                <w:szCs w:val="1"/>
                <w:color w:val="auto"/>
              </w:rPr>
            </w:pPr>
          </w:p>
        </w:tc>
      </w:tr>
      <w:tr>
        <w:trPr>
          <w:trHeight w:val="61"/>
        </w:trPr>
        <w:tc>
          <w:tcPr>
            <w:tcW w:w="20" w:type="dxa"/>
            <w:vAlign w:val="bottom"/>
            <w:tcBorders>
              <w:bottom w:val="single" w:sz="8" w:color="969696"/>
            </w:tcBorders>
          </w:tcPr>
          <w:p>
            <w:pPr>
              <w:spacing w:after="0"/>
              <w:rPr>
                <w:sz w:val="5"/>
                <w:szCs w:val="5"/>
                <w:color w:val="auto"/>
              </w:rPr>
            </w:pPr>
          </w:p>
        </w:tc>
        <w:tc>
          <w:tcPr>
            <w:tcW w:w="3440" w:type="dxa"/>
            <w:vAlign w:val="bottom"/>
            <w:tcBorders>
              <w:bottom w:val="single" w:sz="8" w:color="969696"/>
            </w:tcBorders>
            <w:gridSpan w:val="2"/>
          </w:tcPr>
          <w:p>
            <w:pPr>
              <w:spacing w:after="0"/>
              <w:rPr>
                <w:sz w:val="5"/>
                <w:szCs w:val="5"/>
                <w:color w:val="auto"/>
              </w:rPr>
            </w:pPr>
          </w:p>
        </w:tc>
        <w:tc>
          <w:tcPr>
            <w:tcW w:w="100" w:type="dxa"/>
            <w:vAlign w:val="bottom"/>
            <w:tcBorders>
              <w:bottom w:val="single" w:sz="8" w:color="969696"/>
            </w:tcBorders>
          </w:tcPr>
          <w:p>
            <w:pPr>
              <w:spacing w:after="0"/>
              <w:rPr>
                <w:sz w:val="5"/>
                <w:szCs w:val="5"/>
                <w:color w:val="auto"/>
              </w:rPr>
            </w:pPr>
          </w:p>
        </w:tc>
        <w:tc>
          <w:tcPr>
            <w:tcW w:w="3700" w:type="dxa"/>
            <w:vAlign w:val="bottom"/>
            <w:tcBorders>
              <w:bottom w:val="single" w:sz="8" w:color="969696"/>
            </w:tcBorders>
          </w:tcPr>
          <w:p>
            <w:pPr>
              <w:spacing w:after="0"/>
              <w:rPr>
                <w:sz w:val="5"/>
                <w:szCs w:val="5"/>
                <w:color w:val="auto"/>
              </w:rPr>
            </w:pPr>
          </w:p>
        </w:tc>
        <w:tc>
          <w:tcPr>
            <w:tcW w:w="300" w:type="dxa"/>
            <w:vAlign w:val="bottom"/>
            <w:tcBorders>
              <w:bottom w:val="single" w:sz="8" w:color="969696"/>
            </w:tcBorders>
          </w:tcPr>
          <w:p>
            <w:pPr>
              <w:spacing w:after="0"/>
              <w:rPr>
                <w:sz w:val="5"/>
                <w:szCs w:val="5"/>
                <w:color w:val="auto"/>
              </w:rPr>
            </w:pPr>
          </w:p>
        </w:tc>
        <w:tc>
          <w:tcPr>
            <w:tcW w:w="3660" w:type="dxa"/>
            <w:vAlign w:val="bottom"/>
            <w:tcBorders>
              <w:bottom w:val="single" w:sz="8" w:color="96969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40" w:type="dxa"/>
            <w:vAlign w:val="bottom"/>
            <w:gridSpan w:val="2"/>
          </w:tcPr>
          <w:p>
            <w:pPr>
              <w:ind w:left="80"/>
              <w:spacing w:after="0"/>
              <w:rPr>
                <w:sz w:val="20"/>
                <w:szCs w:val="20"/>
                <w:color w:val="auto"/>
              </w:rPr>
            </w:pPr>
            <w:r>
              <w:rPr>
                <w:rFonts w:ascii="Arial" w:cs="Arial" w:eastAsia="Arial" w:hAnsi="Arial"/>
                <w:sz w:val="14"/>
                <w:szCs w:val="14"/>
                <w:b w:val="1"/>
                <w:bCs w:val="1"/>
                <w:color w:val="0E1020"/>
              </w:rPr>
              <w:t>Time-Based Restricted</w:t>
            </w:r>
          </w:p>
        </w:tc>
        <w:tc>
          <w:tcPr>
            <w:tcW w:w="100" w:type="dxa"/>
            <w:vAlign w:val="bottom"/>
          </w:tcPr>
          <w:p>
            <w:pPr>
              <w:ind w:left="20"/>
              <w:spacing w:after="0"/>
              <w:rPr>
                <w:sz w:val="20"/>
                <w:szCs w:val="20"/>
                <w:color w:val="auto"/>
              </w:rPr>
            </w:pPr>
            <w:r>
              <w:rPr>
                <w:rFonts w:ascii="Arial" w:cs="Arial" w:eastAsia="Arial" w:hAnsi="Arial"/>
                <w:sz w:val="14"/>
                <w:szCs w:val="14"/>
                <w:color w:val="0E1020"/>
              </w:rPr>
              <w:t>•</w:t>
            </w:r>
          </w:p>
        </w:tc>
        <w:tc>
          <w:tcPr>
            <w:tcW w:w="3700" w:type="dxa"/>
            <w:vAlign w:val="bottom"/>
          </w:tcPr>
          <w:p>
            <w:pPr>
              <w:ind w:left="40"/>
              <w:spacing w:after="0"/>
              <w:rPr>
                <w:sz w:val="20"/>
                <w:szCs w:val="20"/>
                <w:color w:val="auto"/>
              </w:rPr>
            </w:pPr>
            <w:r>
              <w:rPr>
                <w:rFonts w:ascii="Arial" w:cs="Arial" w:eastAsia="Arial" w:hAnsi="Arial"/>
                <w:sz w:val="14"/>
                <w:szCs w:val="14"/>
                <w:color w:val="0E1020"/>
              </w:rPr>
              <w:t>Aligns with stockholder interests and incentivizes long-</w:t>
            </w:r>
          </w:p>
        </w:tc>
        <w:tc>
          <w:tcPr>
            <w:tcW w:w="300" w:type="dxa"/>
            <w:vAlign w:val="bottom"/>
          </w:tcPr>
          <w:p>
            <w:pPr>
              <w:ind w:left="200"/>
              <w:spacing w:after="0"/>
              <w:rPr>
                <w:sz w:val="20"/>
                <w:szCs w:val="20"/>
                <w:color w:val="auto"/>
              </w:rPr>
            </w:pPr>
            <w:r>
              <w:rPr>
                <w:rFonts w:ascii="Arial" w:cs="Arial" w:eastAsia="Arial" w:hAnsi="Arial"/>
                <w:sz w:val="14"/>
                <w:szCs w:val="14"/>
                <w:color w:val="0E1020"/>
              </w:rPr>
              <w:t>•</w:t>
            </w:r>
          </w:p>
        </w:tc>
        <w:tc>
          <w:tcPr>
            <w:tcW w:w="3660" w:type="dxa"/>
            <w:vAlign w:val="bottom"/>
            <w:gridSpan w:val="2"/>
          </w:tcPr>
          <w:p>
            <w:pPr>
              <w:ind w:left="40"/>
              <w:spacing w:after="0"/>
              <w:rPr>
                <w:sz w:val="20"/>
                <w:szCs w:val="20"/>
                <w:color w:val="auto"/>
              </w:rPr>
            </w:pPr>
            <w:r>
              <w:rPr>
                <w:rFonts w:ascii="Arial" w:cs="Arial" w:eastAsia="Arial" w:hAnsi="Arial"/>
                <w:sz w:val="14"/>
                <w:szCs w:val="14"/>
                <w:color w:val="0E1020"/>
              </w:rPr>
              <w:t>15% LTI weighting of annual grant in RSUs for the CEO</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40" w:type="dxa"/>
            <w:vAlign w:val="bottom"/>
            <w:gridSpan w:val="2"/>
          </w:tcPr>
          <w:p>
            <w:pPr>
              <w:ind w:left="80"/>
              <w:spacing w:after="0"/>
              <w:rPr>
                <w:sz w:val="20"/>
                <w:szCs w:val="20"/>
                <w:color w:val="auto"/>
              </w:rPr>
            </w:pPr>
            <w:r>
              <w:rPr>
                <w:rFonts w:ascii="Arial" w:cs="Arial" w:eastAsia="Arial" w:hAnsi="Arial"/>
                <w:sz w:val="14"/>
                <w:szCs w:val="14"/>
                <w:b w:val="1"/>
                <w:bCs w:val="1"/>
                <w:color w:val="0E1020"/>
              </w:rPr>
              <w:t>Stock Units (RSUs)*</w:t>
            </w:r>
          </w:p>
        </w:tc>
        <w:tc>
          <w:tcPr>
            <w:tcW w:w="100" w:type="dxa"/>
            <w:vAlign w:val="bottom"/>
          </w:tcPr>
          <w:p>
            <w:pPr>
              <w:spacing w:after="0"/>
              <w:rPr>
                <w:sz w:val="16"/>
                <w:szCs w:val="16"/>
                <w:color w:val="auto"/>
              </w:rPr>
            </w:pPr>
          </w:p>
        </w:tc>
        <w:tc>
          <w:tcPr>
            <w:tcW w:w="3700" w:type="dxa"/>
            <w:vAlign w:val="bottom"/>
          </w:tcPr>
          <w:p>
            <w:pPr>
              <w:ind w:left="80"/>
              <w:spacing w:after="0"/>
              <w:rPr>
                <w:sz w:val="20"/>
                <w:szCs w:val="20"/>
                <w:color w:val="auto"/>
              </w:rPr>
            </w:pPr>
            <w:r>
              <w:rPr>
                <w:rFonts w:ascii="Arial" w:cs="Arial" w:eastAsia="Arial" w:hAnsi="Arial"/>
                <w:sz w:val="14"/>
                <w:szCs w:val="14"/>
                <w:color w:val="0E1020"/>
              </w:rPr>
              <w:t>term value creation and retention</w:t>
            </w:r>
          </w:p>
        </w:tc>
        <w:tc>
          <w:tcPr>
            <w:tcW w:w="300" w:type="dxa"/>
            <w:vAlign w:val="bottom"/>
          </w:tcPr>
          <w:p>
            <w:pPr>
              <w:spacing w:after="0"/>
              <w:rPr>
                <w:sz w:val="16"/>
                <w:szCs w:val="16"/>
                <w:color w:val="auto"/>
              </w:rPr>
            </w:pPr>
          </w:p>
        </w:tc>
        <w:tc>
          <w:tcPr>
            <w:tcW w:w="3660" w:type="dxa"/>
            <w:vAlign w:val="bottom"/>
            <w:gridSpan w:val="2"/>
          </w:tcPr>
          <w:p>
            <w:pPr>
              <w:ind w:left="60"/>
              <w:spacing w:after="0"/>
              <w:rPr>
                <w:sz w:val="20"/>
                <w:szCs w:val="20"/>
                <w:color w:val="auto"/>
              </w:rPr>
            </w:pPr>
            <w:r>
              <w:rPr>
                <w:rFonts w:ascii="Arial" w:cs="Arial" w:eastAsia="Arial" w:hAnsi="Arial"/>
                <w:sz w:val="14"/>
                <w:szCs w:val="14"/>
                <w:color w:val="0E1020"/>
              </w:rPr>
              <w:t>and CFO (40% for other NEOs)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00" w:type="dxa"/>
            <w:vAlign w:val="bottom"/>
          </w:tcPr>
          <w:p>
            <w:pPr>
              <w:ind w:left="200"/>
              <w:spacing w:after="0"/>
              <w:rPr>
                <w:sz w:val="20"/>
                <w:szCs w:val="20"/>
                <w:color w:val="auto"/>
              </w:rPr>
            </w:pPr>
            <w:r>
              <w:rPr>
                <w:rFonts w:ascii="Arial" w:cs="Arial" w:eastAsia="Arial" w:hAnsi="Arial"/>
                <w:sz w:val="14"/>
                <w:szCs w:val="14"/>
                <w:color w:val="0E1020"/>
              </w:rPr>
              <w:t>•</w:t>
            </w:r>
          </w:p>
        </w:tc>
        <w:tc>
          <w:tcPr>
            <w:tcW w:w="3660" w:type="dxa"/>
            <w:vAlign w:val="bottom"/>
            <w:gridSpan w:val="2"/>
          </w:tcPr>
          <w:p>
            <w:pPr>
              <w:ind w:left="40"/>
              <w:spacing w:after="0"/>
              <w:rPr>
                <w:sz w:val="20"/>
                <w:szCs w:val="20"/>
                <w:color w:val="auto"/>
              </w:rPr>
            </w:pPr>
            <w:r>
              <w:rPr>
                <w:rFonts w:ascii="Arial" w:cs="Arial" w:eastAsia="Arial" w:hAnsi="Arial"/>
                <w:sz w:val="14"/>
                <w:szCs w:val="14"/>
                <w:color w:val="0E1020"/>
              </w:rPr>
              <w:t>Vests in increments over a three-year period</w:t>
            </w:r>
          </w:p>
        </w:tc>
        <w:tc>
          <w:tcPr>
            <w:tcW w:w="0" w:type="dxa"/>
            <w:vAlign w:val="bottom"/>
          </w:tcPr>
          <w:p>
            <w:pPr>
              <w:spacing w:after="0"/>
              <w:rPr>
                <w:sz w:val="1"/>
                <w:szCs w:val="1"/>
                <w:color w:val="auto"/>
              </w:rPr>
            </w:pPr>
          </w:p>
        </w:tc>
      </w:tr>
      <w:tr>
        <w:trPr>
          <w:trHeight w:val="61"/>
        </w:trPr>
        <w:tc>
          <w:tcPr>
            <w:tcW w:w="20" w:type="dxa"/>
            <w:vAlign w:val="bottom"/>
            <w:tcBorders>
              <w:bottom w:val="single" w:sz="8" w:color="CFCFD2"/>
            </w:tcBorders>
          </w:tcPr>
          <w:p>
            <w:pPr>
              <w:spacing w:after="0"/>
              <w:rPr>
                <w:sz w:val="5"/>
                <w:szCs w:val="5"/>
                <w:color w:val="auto"/>
              </w:rPr>
            </w:pPr>
          </w:p>
        </w:tc>
        <w:tc>
          <w:tcPr>
            <w:tcW w:w="1120" w:type="dxa"/>
            <w:vAlign w:val="bottom"/>
            <w:tcBorders>
              <w:bottom w:val="single" w:sz="8" w:color="CFCFD2"/>
            </w:tcBorders>
          </w:tcPr>
          <w:p>
            <w:pPr>
              <w:spacing w:after="0"/>
              <w:rPr>
                <w:sz w:val="5"/>
                <w:szCs w:val="5"/>
                <w:color w:val="auto"/>
              </w:rPr>
            </w:pPr>
          </w:p>
        </w:tc>
        <w:tc>
          <w:tcPr>
            <w:tcW w:w="2320" w:type="dxa"/>
            <w:vAlign w:val="bottom"/>
            <w:tcBorders>
              <w:bottom w:val="single" w:sz="8" w:color="CFCFD2"/>
            </w:tcBorders>
          </w:tcPr>
          <w:p>
            <w:pPr>
              <w:spacing w:after="0"/>
              <w:rPr>
                <w:sz w:val="5"/>
                <w:szCs w:val="5"/>
                <w:color w:val="auto"/>
              </w:rPr>
            </w:pPr>
          </w:p>
        </w:tc>
        <w:tc>
          <w:tcPr>
            <w:tcW w:w="100" w:type="dxa"/>
            <w:vAlign w:val="bottom"/>
            <w:tcBorders>
              <w:bottom w:val="single" w:sz="8" w:color="CFCFD2"/>
            </w:tcBorders>
          </w:tcPr>
          <w:p>
            <w:pPr>
              <w:spacing w:after="0"/>
              <w:rPr>
                <w:sz w:val="5"/>
                <w:szCs w:val="5"/>
                <w:color w:val="auto"/>
              </w:rPr>
            </w:pPr>
          </w:p>
        </w:tc>
        <w:tc>
          <w:tcPr>
            <w:tcW w:w="3700" w:type="dxa"/>
            <w:vAlign w:val="bottom"/>
            <w:tcBorders>
              <w:bottom w:val="single" w:sz="8" w:color="CFCFD2"/>
            </w:tcBorders>
          </w:tcPr>
          <w:p>
            <w:pPr>
              <w:spacing w:after="0"/>
              <w:rPr>
                <w:sz w:val="5"/>
                <w:szCs w:val="5"/>
                <w:color w:val="auto"/>
              </w:rPr>
            </w:pPr>
          </w:p>
        </w:tc>
        <w:tc>
          <w:tcPr>
            <w:tcW w:w="300" w:type="dxa"/>
            <w:vAlign w:val="bottom"/>
            <w:tcBorders>
              <w:bottom w:val="single" w:sz="8" w:color="CFCFD2"/>
            </w:tcBorders>
          </w:tcPr>
          <w:p>
            <w:pPr>
              <w:spacing w:after="0"/>
              <w:rPr>
                <w:sz w:val="5"/>
                <w:szCs w:val="5"/>
                <w:color w:val="auto"/>
              </w:rPr>
            </w:pPr>
          </w:p>
        </w:tc>
        <w:tc>
          <w:tcPr>
            <w:tcW w:w="160" w:type="dxa"/>
            <w:vAlign w:val="bottom"/>
            <w:tcBorders>
              <w:bottom w:val="single" w:sz="8" w:color="CFCFD2"/>
            </w:tcBorders>
          </w:tcPr>
          <w:p>
            <w:pPr>
              <w:spacing w:after="0"/>
              <w:rPr>
                <w:sz w:val="5"/>
                <w:szCs w:val="5"/>
                <w:color w:val="auto"/>
              </w:rPr>
            </w:pPr>
          </w:p>
        </w:tc>
        <w:tc>
          <w:tcPr>
            <w:tcW w:w="3500" w:type="dxa"/>
            <w:vAlign w:val="bottom"/>
            <w:tcBorders>
              <w:bottom w:val="single" w:sz="8" w:color="CFCFD2"/>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60" w:hanging="292"/>
        <w:spacing w:after="0"/>
        <w:tabs>
          <w:tab w:leader="none" w:pos="460" w:val="left"/>
        </w:tabs>
        <w:numPr>
          <w:ilvl w:val="0"/>
          <w:numId w:val="69"/>
        </w:numPr>
        <w:rPr>
          <w:rFonts w:ascii="Arial" w:cs="Arial" w:eastAsia="Arial" w:hAnsi="Arial"/>
          <w:sz w:val="14"/>
          <w:szCs w:val="14"/>
          <w:color w:val="0E1020"/>
        </w:rPr>
      </w:pPr>
      <w:r>
        <w:rPr>
          <w:rFonts w:ascii="Arial" w:cs="Arial" w:eastAsia="Arial" w:hAnsi="Arial"/>
          <w:sz w:val="14"/>
          <w:szCs w:val="14"/>
          <w:color w:val="0E1020"/>
        </w:rPr>
        <w:t>As discussed below, our executive officers are subject to rigorous stock ownership guidelines in order to further align their interests with the interests of our stockholders.</w:t>
      </w:r>
    </w:p>
    <w:p>
      <w:pPr>
        <w:spacing w:after="0" w:line="196" w:lineRule="exact"/>
        <w:rPr>
          <w:sz w:val="20"/>
          <w:szCs w:val="20"/>
          <w:color w:val="auto"/>
        </w:rPr>
      </w:pPr>
    </w:p>
    <w:p>
      <w:pPr>
        <w:ind w:right="260"/>
        <w:spacing w:after="0" w:line="335" w:lineRule="auto"/>
        <w:rPr>
          <w:sz w:val="20"/>
          <w:szCs w:val="20"/>
          <w:color w:val="auto"/>
        </w:rPr>
      </w:pPr>
      <w:r>
        <w:rPr>
          <w:rFonts w:ascii="Arial" w:cs="Arial" w:eastAsia="Arial" w:hAnsi="Arial"/>
          <w:sz w:val="16"/>
          <w:szCs w:val="16"/>
          <w:color w:val="0E1020"/>
        </w:rPr>
        <w:t>The graphics below illustrate the fiscal 2026 mix of fixed, target short-term incentive, and target long-term incentive compensation we provided to our CEO and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1758315</wp:posOffset>
            </wp:positionH>
            <wp:positionV relativeFrom="paragraph">
              <wp:posOffset>14605</wp:posOffset>
            </wp:positionV>
            <wp:extent cx="3626485" cy="211963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626485" cy="2119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0" w:right="160" w:hanging="312"/>
        <w:spacing w:after="0" w:line="302" w:lineRule="auto"/>
        <w:tabs>
          <w:tab w:leader="none" w:pos="455" w:val="left"/>
        </w:tabs>
        <w:numPr>
          <w:ilvl w:val="0"/>
          <w:numId w:val="70"/>
        </w:numPr>
        <w:rPr>
          <w:rFonts w:ascii="Arial" w:cs="Arial" w:eastAsia="Arial" w:hAnsi="Arial"/>
          <w:sz w:val="14"/>
          <w:szCs w:val="14"/>
          <w:color w:val="0E1020"/>
        </w:rPr>
      </w:pPr>
      <w:r>
        <w:rPr>
          <w:rFonts w:ascii="Arial" w:cs="Arial" w:eastAsia="Arial" w:hAnsi="Arial"/>
          <w:sz w:val="14"/>
          <w:szCs w:val="14"/>
          <w:color w:val="0E1020"/>
        </w:rPr>
        <w:t>The above pay mix percentages reflected are rounded to the nearest whole percentage number and represent annualized long-term incentive equity for the fiscal 2026 CEO and CFO front-loaded annual equity grants that were forwardly disclosed in the fiscal 2025 Proxy Statement and discussed further below in this fiscal 2026 CD&amp;A.</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69</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77" w:name="page78"/>
    <w:bookmarkEnd w:id="77"/>
    <w:p>
      <w:pPr>
        <w:ind w:left="20"/>
        <w:spacing w:after="0"/>
        <w:tabs>
          <w:tab w:leader="none" w:pos="10100" w:val="left"/>
        </w:tabs>
        <w:rPr>
          <w:sz w:val="20"/>
          <w:szCs w:val="20"/>
          <w:color w:val="auto"/>
        </w:rPr>
      </w:pPr>
      <w:r>
        <w:rPr>
          <w:rFonts w:ascii="Arial" w:cs="Arial" w:eastAsia="Arial" w:hAnsi="Arial"/>
          <w:sz w:val="14"/>
          <w:szCs w:val="14"/>
          <w:color w:val="auto"/>
        </w:rPr>
        <w:t>Executive Compensation</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Total Target Direct Compensation Decisions – Predominantly in long term component:</w:t>
      </w:r>
    </w:p>
    <w:p>
      <w:pPr>
        <w:spacing w:after="0" w:line="14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0E1020"/>
        </w:rPr>
        <w:t>After Mr. Fernandez completed his first full fiscal year as full-time President and CEO in fiscal 2025, the Compensation Committee, in consultation with Pay Governance, considered his proven experience and executive leadership and, as part of the overall retention strategy for key executives, aligned his fiscal 2026 total annualized target compensation with the peer median total target compensation of approximately $20,912,000. Further, in accordance with our pay for performance and stockholder alignment philosophy, the vast majority (93%) of the annualized target total direct compensation opportunity in fiscal 2026 was variable and at-risk, with a majority (82%) being subject to rigorous short- and long-term performance conditions.</w:t>
      </w:r>
    </w:p>
    <w:p>
      <w:pPr>
        <w:spacing w:after="0" w:line="4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0E1020"/>
        </w:rPr>
        <w:t>Also, consistent with our pay for performance model, during fiscal 2026, the Compensation Committee increased the target total annualized compensation of Mr. Del Bene, to provide a competitive total compensation opportunity relative to peer CFOs as part of the overall retention strategy for key executives, and Mr. Fawcett due to his proven results in a critical corporate leadership position of the Company in fiscal 2026. The vast majority (84% for Mr. Del Bene and 90% for Mr. Fawcett) of the target compensation increases were allocated to the long-term incentive component to further align their compensation to stockholders’ interests. No other fiscal 2026 NEOs received any adjustments.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Base Salary</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0E1020"/>
        </w:rPr>
        <w:t>Base salary is designed to compensate executives for normal day-to-day responsibilities and represents the fixed component of annual total pay.</w:t>
      </w:r>
    </w:p>
    <w:p>
      <w:pPr>
        <w:spacing w:after="0" w:line="124" w:lineRule="exact"/>
        <w:rPr>
          <w:sz w:val="20"/>
          <w:szCs w:val="20"/>
          <w:color w:val="auto"/>
        </w:rPr>
      </w:pPr>
    </w:p>
    <w:p>
      <w:pPr>
        <w:ind w:right="280"/>
        <w:spacing w:after="0" w:line="335" w:lineRule="auto"/>
        <w:rPr>
          <w:sz w:val="20"/>
          <w:szCs w:val="20"/>
          <w:color w:val="auto"/>
        </w:rPr>
      </w:pPr>
      <w:r>
        <w:rPr>
          <w:rFonts w:ascii="Arial" w:cs="Arial" w:eastAsia="Arial" w:hAnsi="Arial"/>
          <w:sz w:val="16"/>
          <w:szCs w:val="16"/>
          <w:color w:val="0E1020"/>
        </w:rPr>
        <w:t>Base salaries are individually determined based on a variety of considerations, including individual and Company performance, responsibilities associated with the role, skills, experience, achievements, and the competitive market for the position.</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20" w:type="dxa"/>
            <w:vAlign w:val="bottom"/>
            <w:shd w:val="clear" w:color="auto" w:fill="F6F3F0"/>
          </w:tcPr>
          <w:p>
            <w:pPr>
              <w:spacing w:after="0"/>
              <w:rPr>
                <w:sz w:val="20"/>
                <w:szCs w:val="20"/>
                <w:color w:val="auto"/>
              </w:rPr>
            </w:pPr>
          </w:p>
        </w:tc>
        <w:tc>
          <w:tcPr>
            <w:tcW w:w="22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Fiscal 2025</w:t>
            </w:r>
          </w:p>
        </w:tc>
        <w:tc>
          <w:tcPr>
            <w:tcW w:w="3140" w:type="dxa"/>
            <w:vAlign w:val="bottom"/>
            <w:shd w:val="clear" w:color="auto" w:fill="F6F3F0"/>
          </w:tcPr>
          <w:p>
            <w:pPr>
              <w:jc w:val="right"/>
              <w:ind w:right="809"/>
              <w:spacing w:after="0"/>
              <w:rPr>
                <w:sz w:val="20"/>
                <w:szCs w:val="20"/>
                <w:color w:val="auto"/>
              </w:rPr>
            </w:pPr>
            <w:r>
              <w:rPr>
                <w:rFonts w:ascii="Arial" w:cs="Arial" w:eastAsia="Arial" w:hAnsi="Arial"/>
                <w:sz w:val="14"/>
                <w:szCs w:val="14"/>
                <w:b w:val="1"/>
                <w:bCs w:val="1"/>
                <w:color w:val="0E1020"/>
              </w:rPr>
              <w:t>Fiscal 2026</w:t>
            </w:r>
          </w:p>
        </w:tc>
        <w:tc>
          <w:tcPr>
            <w:tcW w:w="1560" w:type="dxa"/>
            <w:vAlign w:val="bottom"/>
            <w:shd w:val="clear" w:color="auto" w:fill="F6F3F0"/>
          </w:tcPr>
          <w:p>
            <w:pPr>
              <w:spacing w:after="0"/>
              <w:rPr>
                <w:sz w:val="20"/>
                <w:szCs w:val="20"/>
                <w:color w:val="auto"/>
              </w:rPr>
            </w:pPr>
          </w:p>
        </w:tc>
      </w:tr>
      <w:tr>
        <w:trPr>
          <w:trHeight w:val="161"/>
        </w:trPr>
        <w:tc>
          <w:tcPr>
            <w:tcW w:w="4220" w:type="dxa"/>
            <w:vAlign w:val="bottom"/>
            <w:shd w:val="clear" w:color="auto" w:fill="F6F3F0"/>
          </w:tcPr>
          <w:p>
            <w:pPr>
              <w:spacing w:after="0"/>
              <w:rPr>
                <w:sz w:val="13"/>
                <w:szCs w:val="13"/>
                <w:color w:val="auto"/>
              </w:rPr>
            </w:pPr>
          </w:p>
        </w:tc>
        <w:tc>
          <w:tcPr>
            <w:tcW w:w="22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Base Salary</w:t>
            </w:r>
          </w:p>
        </w:tc>
        <w:tc>
          <w:tcPr>
            <w:tcW w:w="3140" w:type="dxa"/>
            <w:vAlign w:val="bottom"/>
            <w:shd w:val="clear" w:color="auto" w:fill="F6F3F0"/>
          </w:tcPr>
          <w:p>
            <w:pPr>
              <w:jc w:val="right"/>
              <w:ind w:right="809"/>
              <w:spacing w:after="0"/>
              <w:rPr>
                <w:sz w:val="20"/>
                <w:szCs w:val="20"/>
                <w:color w:val="auto"/>
              </w:rPr>
            </w:pPr>
            <w:r>
              <w:rPr>
                <w:rFonts w:ascii="Arial" w:cs="Arial" w:eastAsia="Arial" w:hAnsi="Arial"/>
                <w:sz w:val="14"/>
                <w:szCs w:val="14"/>
                <w:b w:val="1"/>
                <w:bCs w:val="1"/>
                <w:color w:val="0E1020"/>
              </w:rPr>
              <w:t>Base Salary</w:t>
            </w:r>
          </w:p>
        </w:tc>
        <w:tc>
          <w:tcPr>
            <w:tcW w:w="1560" w:type="dxa"/>
            <w:vAlign w:val="bottom"/>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Change</w:t>
            </w:r>
          </w:p>
        </w:tc>
      </w:tr>
      <w:tr>
        <w:trPr>
          <w:trHeight w:val="209"/>
        </w:trPr>
        <w:tc>
          <w:tcPr>
            <w:tcW w:w="4220" w:type="dxa"/>
            <w:vAlign w:val="bottom"/>
            <w:shd w:val="clear" w:color="auto" w:fill="F6F3F0"/>
          </w:tcPr>
          <w:p>
            <w:pPr>
              <w:ind w:left="100"/>
              <w:spacing w:after="0"/>
              <w:rPr>
                <w:sz w:val="20"/>
                <w:szCs w:val="20"/>
                <w:color w:val="auto"/>
              </w:rPr>
            </w:pPr>
            <w:r>
              <w:rPr>
                <w:rFonts w:ascii="Arial" w:cs="Arial" w:eastAsia="Arial" w:hAnsi="Arial"/>
                <w:sz w:val="14"/>
                <w:szCs w:val="14"/>
                <w:b w:val="1"/>
                <w:bCs w:val="1"/>
                <w:color w:val="0E1020"/>
              </w:rPr>
              <w:t>NEO</w:t>
            </w:r>
          </w:p>
        </w:tc>
        <w:tc>
          <w:tcPr>
            <w:tcW w:w="22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3140" w:type="dxa"/>
            <w:vAlign w:val="bottom"/>
            <w:shd w:val="clear" w:color="auto" w:fill="F6F3F0"/>
          </w:tcPr>
          <w:p>
            <w:pPr>
              <w:jc w:val="right"/>
              <w:ind w:right="809"/>
              <w:spacing w:after="0"/>
              <w:rPr>
                <w:sz w:val="20"/>
                <w:szCs w:val="20"/>
                <w:color w:val="auto"/>
              </w:rPr>
            </w:pPr>
            <w:r>
              <w:rPr>
                <w:rFonts w:ascii="Arial" w:cs="Arial" w:eastAsia="Arial" w:hAnsi="Arial"/>
                <w:sz w:val="14"/>
                <w:szCs w:val="14"/>
                <w:b w:val="1"/>
                <w:bCs w:val="1"/>
                <w:color w:val="0E1020"/>
              </w:rPr>
              <w:t>($)</w:t>
            </w:r>
          </w:p>
        </w:tc>
        <w:tc>
          <w:tcPr>
            <w:tcW w:w="1560" w:type="dxa"/>
            <w:vAlign w:val="bottom"/>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w:t>
            </w:r>
          </w:p>
        </w:tc>
      </w:tr>
      <w:tr>
        <w:trPr>
          <w:trHeight w:val="69"/>
        </w:trPr>
        <w:tc>
          <w:tcPr>
            <w:tcW w:w="4220" w:type="dxa"/>
            <w:vAlign w:val="bottom"/>
            <w:tcBorders>
              <w:bottom w:val="single" w:sz="8" w:color="CFCFD2"/>
            </w:tcBorders>
            <w:shd w:val="clear" w:color="auto" w:fill="F6F3F0"/>
          </w:tcPr>
          <w:p>
            <w:pPr>
              <w:spacing w:after="0"/>
              <w:rPr>
                <w:sz w:val="5"/>
                <w:szCs w:val="5"/>
                <w:color w:val="auto"/>
              </w:rPr>
            </w:pPr>
          </w:p>
        </w:tc>
        <w:tc>
          <w:tcPr>
            <w:tcW w:w="2280" w:type="dxa"/>
            <w:vAlign w:val="bottom"/>
            <w:tcBorders>
              <w:bottom w:val="single" w:sz="8" w:color="CFCFD2"/>
            </w:tcBorders>
            <w:shd w:val="clear" w:color="auto" w:fill="F6F3F0"/>
          </w:tcPr>
          <w:p>
            <w:pPr>
              <w:spacing w:after="0"/>
              <w:rPr>
                <w:sz w:val="5"/>
                <w:szCs w:val="5"/>
                <w:color w:val="auto"/>
              </w:rPr>
            </w:pPr>
          </w:p>
        </w:tc>
        <w:tc>
          <w:tcPr>
            <w:tcW w:w="3140" w:type="dxa"/>
            <w:vAlign w:val="bottom"/>
            <w:tcBorders>
              <w:bottom w:val="single" w:sz="8" w:color="CFCFD2"/>
            </w:tcBorders>
            <w:shd w:val="clear" w:color="auto" w:fill="F6F3F0"/>
          </w:tcPr>
          <w:p>
            <w:pPr>
              <w:spacing w:after="0"/>
              <w:rPr>
                <w:sz w:val="5"/>
                <w:szCs w:val="5"/>
                <w:color w:val="auto"/>
              </w:rPr>
            </w:pPr>
          </w:p>
        </w:tc>
        <w:tc>
          <w:tcPr>
            <w:tcW w:w="1560" w:type="dxa"/>
            <w:vAlign w:val="bottom"/>
            <w:tcBorders>
              <w:bottom w:val="single" w:sz="8" w:color="CFCFD2"/>
            </w:tcBorders>
            <w:shd w:val="clear" w:color="auto" w:fill="F6F3F0"/>
          </w:tcPr>
          <w:p>
            <w:pPr>
              <w:spacing w:after="0"/>
              <w:rPr>
                <w:sz w:val="5"/>
                <w:szCs w:val="5"/>
                <w:color w:val="auto"/>
              </w:rPr>
            </w:pPr>
          </w:p>
        </w:tc>
      </w:tr>
      <w:tr>
        <w:trPr>
          <w:trHeight w:val="215"/>
        </w:trPr>
        <w:tc>
          <w:tcPr>
            <w:tcW w:w="422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Raul J. Fernandez</w:t>
            </w:r>
          </w:p>
        </w:tc>
        <w:tc>
          <w:tcPr>
            <w:tcW w:w="228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1,380,000</w:t>
            </w:r>
          </w:p>
        </w:tc>
        <w:tc>
          <w:tcPr>
            <w:tcW w:w="3140" w:type="dxa"/>
            <w:vAlign w:val="bottom"/>
            <w:tcBorders>
              <w:bottom w:val="single" w:sz="8" w:color="CFCFD2"/>
            </w:tcBorders>
          </w:tcPr>
          <w:p>
            <w:pPr>
              <w:jc w:val="right"/>
              <w:ind w:right="809"/>
              <w:spacing w:after="0"/>
              <w:rPr>
                <w:sz w:val="20"/>
                <w:szCs w:val="20"/>
                <w:color w:val="auto"/>
              </w:rPr>
            </w:pPr>
            <w:r>
              <w:rPr>
                <w:rFonts w:ascii="Arial" w:cs="Arial" w:eastAsia="Arial" w:hAnsi="Arial"/>
                <w:sz w:val="14"/>
                <w:szCs w:val="14"/>
                <w:color w:val="0E1020"/>
              </w:rPr>
              <w:t>1,500,000</w:t>
            </w:r>
          </w:p>
        </w:tc>
        <w:tc>
          <w:tcPr>
            <w:tcW w:w="1560" w:type="dxa"/>
            <w:vAlign w:val="bottom"/>
            <w:tcBorders>
              <w:bottom w:val="single" w:sz="8" w:color="CFCFD2"/>
            </w:tcBorders>
          </w:tcPr>
          <w:p>
            <w:pPr>
              <w:jc w:val="right"/>
              <w:ind w:right="89"/>
              <w:spacing w:after="0"/>
              <w:rPr>
                <w:sz w:val="20"/>
                <w:szCs w:val="20"/>
                <w:color w:val="auto"/>
              </w:rPr>
            </w:pPr>
            <w:r>
              <w:rPr>
                <w:rFonts w:ascii="Arial" w:cs="Arial" w:eastAsia="Arial" w:hAnsi="Arial"/>
                <w:sz w:val="14"/>
                <w:szCs w:val="14"/>
                <w:color w:val="0E1020"/>
              </w:rPr>
              <w:t>9%</w:t>
            </w:r>
          </w:p>
        </w:tc>
      </w:tr>
      <w:tr>
        <w:trPr>
          <w:trHeight w:val="221"/>
        </w:trPr>
        <w:tc>
          <w:tcPr>
            <w:tcW w:w="422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Robert Del Bene</w:t>
            </w:r>
          </w:p>
        </w:tc>
        <w:tc>
          <w:tcPr>
            <w:tcW w:w="228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725,000</w:t>
            </w:r>
          </w:p>
        </w:tc>
        <w:tc>
          <w:tcPr>
            <w:tcW w:w="3140" w:type="dxa"/>
            <w:vAlign w:val="bottom"/>
            <w:tcBorders>
              <w:bottom w:val="single" w:sz="8" w:color="CFCFD2"/>
            </w:tcBorders>
          </w:tcPr>
          <w:p>
            <w:pPr>
              <w:jc w:val="right"/>
              <w:ind w:right="809"/>
              <w:spacing w:after="0"/>
              <w:rPr>
                <w:sz w:val="20"/>
                <w:szCs w:val="20"/>
                <w:color w:val="auto"/>
              </w:rPr>
            </w:pPr>
            <w:r>
              <w:rPr>
                <w:rFonts w:ascii="Arial" w:cs="Arial" w:eastAsia="Arial" w:hAnsi="Arial"/>
                <w:sz w:val="14"/>
                <w:szCs w:val="14"/>
                <w:color w:val="0E1020"/>
              </w:rPr>
              <w:t>800,000</w:t>
            </w:r>
          </w:p>
        </w:tc>
        <w:tc>
          <w:tcPr>
            <w:tcW w:w="1560" w:type="dxa"/>
            <w:vAlign w:val="bottom"/>
            <w:tcBorders>
              <w:bottom w:val="single" w:sz="8" w:color="CFCFD2"/>
            </w:tcBorders>
          </w:tcPr>
          <w:p>
            <w:pPr>
              <w:jc w:val="right"/>
              <w:ind w:right="89"/>
              <w:spacing w:after="0"/>
              <w:rPr>
                <w:sz w:val="20"/>
                <w:szCs w:val="20"/>
                <w:color w:val="auto"/>
              </w:rPr>
            </w:pPr>
            <w:r>
              <w:rPr>
                <w:rFonts w:ascii="Arial" w:cs="Arial" w:eastAsia="Arial" w:hAnsi="Arial"/>
                <w:sz w:val="14"/>
                <w:szCs w:val="14"/>
                <w:color w:val="0E1020"/>
              </w:rPr>
              <w:t>10%</w:t>
            </w:r>
          </w:p>
        </w:tc>
      </w:tr>
      <w:tr>
        <w:trPr>
          <w:trHeight w:val="221"/>
        </w:trPr>
        <w:tc>
          <w:tcPr>
            <w:tcW w:w="422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Christopher Drumgoole</w:t>
            </w:r>
          </w:p>
        </w:tc>
        <w:tc>
          <w:tcPr>
            <w:tcW w:w="228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800,000</w:t>
            </w:r>
          </w:p>
        </w:tc>
        <w:tc>
          <w:tcPr>
            <w:tcW w:w="3140" w:type="dxa"/>
            <w:vAlign w:val="bottom"/>
            <w:tcBorders>
              <w:bottom w:val="single" w:sz="8" w:color="CFCFD2"/>
            </w:tcBorders>
          </w:tcPr>
          <w:p>
            <w:pPr>
              <w:jc w:val="right"/>
              <w:ind w:right="809"/>
              <w:spacing w:after="0"/>
              <w:rPr>
                <w:sz w:val="20"/>
                <w:szCs w:val="20"/>
                <w:color w:val="auto"/>
              </w:rPr>
            </w:pPr>
            <w:r>
              <w:rPr>
                <w:rFonts w:ascii="Arial" w:cs="Arial" w:eastAsia="Arial" w:hAnsi="Arial"/>
                <w:sz w:val="14"/>
                <w:szCs w:val="14"/>
                <w:color w:val="0E1020"/>
              </w:rPr>
              <w:t>800,000</w:t>
            </w:r>
          </w:p>
        </w:tc>
        <w:tc>
          <w:tcPr>
            <w:tcW w:w="1560" w:type="dxa"/>
            <w:vAlign w:val="bottom"/>
            <w:tcBorders>
              <w:bottom w:val="single" w:sz="8" w:color="CFCFD2"/>
            </w:tcBorders>
          </w:tcPr>
          <w:p>
            <w:pPr>
              <w:jc w:val="right"/>
              <w:ind w:right="89"/>
              <w:spacing w:after="0"/>
              <w:rPr>
                <w:sz w:val="20"/>
                <w:szCs w:val="20"/>
                <w:color w:val="auto"/>
              </w:rPr>
            </w:pPr>
            <w:r>
              <w:rPr>
                <w:rFonts w:ascii="Arial" w:cs="Arial" w:eastAsia="Arial" w:hAnsi="Arial"/>
                <w:sz w:val="14"/>
                <w:szCs w:val="14"/>
                <w:color w:val="0E1020"/>
              </w:rPr>
              <w:t>0%</w:t>
            </w:r>
          </w:p>
        </w:tc>
      </w:tr>
      <w:tr>
        <w:trPr>
          <w:trHeight w:val="221"/>
        </w:trPr>
        <w:tc>
          <w:tcPr>
            <w:tcW w:w="422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Raymond A. August</w:t>
            </w:r>
          </w:p>
        </w:tc>
        <w:tc>
          <w:tcPr>
            <w:tcW w:w="228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700,000</w:t>
            </w:r>
          </w:p>
        </w:tc>
        <w:tc>
          <w:tcPr>
            <w:tcW w:w="3140" w:type="dxa"/>
            <w:vAlign w:val="bottom"/>
            <w:tcBorders>
              <w:bottom w:val="single" w:sz="8" w:color="CFCFD2"/>
            </w:tcBorders>
          </w:tcPr>
          <w:p>
            <w:pPr>
              <w:jc w:val="right"/>
              <w:ind w:right="809"/>
              <w:spacing w:after="0"/>
              <w:rPr>
                <w:sz w:val="20"/>
                <w:szCs w:val="20"/>
                <w:color w:val="auto"/>
              </w:rPr>
            </w:pPr>
            <w:r>
              <w:rPr>
                <w:rFonts w:ascii="Arial" w:cs="Arial" w:eastAsia="Arial" w:hAnsi="Arial"/>
                <w:sz w:val="14"/>
                <w:szCs w:val="14"/>
                <w:color w:val="0E1020"/>
              </w:rPr>
              <w:t>700,000</w:t>
            </w:r>
          </w:p>
        </w:tc>
        <w:tc>
          <w:tcPr>
            <w:tcW w:w="1560" w:type="dxa"/>
            <w:vAlign w:val="bottom"/>
            <w:tcBorders>
              <w:bottom w:val="single" w:sz="8" w:color="CFCFD2"/>
            </w:tcBorders>
          </w:tcPr>
          <w:p>
            <w:pPr>
              <w:jc w:val="right"/>
              <w:ind w:right="89"/>
              <w:spacing w:after="0"/>
              <w:rPr>
                <w:sz w:val="20"/>
                <w:szCs w:val="20"/>
                <w:color w:val="auto"/>
              </w:rPr>
            </w:pPr>
            <w:r>
              <w:rPr>
                <w:rFonts w:ascii="Arial" w:cs="Arial" w:eastAsia="Arial" w:hAnsi="Arial"/>
                <w:sz w:val="14"/>
                <w:szCs w:val="14"/>
                <w:color w:val="0E1020"/>
              </w:rPr>
              <w:t>0%</w:t>
            </w:r>
          </w:p>
        </w:tc>
      </w:tr>
      <w:tr>
        <w:trPr>
          <w:trHeight w:val="221"/>
        </w:trPr>
        <w:tc>
          <w:tcPr>
            <w:tcW w:w="422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Matthew K. Fawcett</w:t>
            </w:r>
          </w:p>
        </w:tc>
        <w:tc>
          <w:tcPr>
            <w:tcW w:w="228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650,000</w:t>
            </w:r>
          </w:p>
        </w:tc>
        <w:tc>
          <w:tcPr>
            <w:tcW w:w="3140" w:type="dxa"/>
            <w:vAlign w:val="bottom"/>
            <w:tcBorders>
              <w:bottom w:val="single" w:sz="8" w:color="CFCFD2"/>
            </w:tcBorders>
          </w:tcPr>
          <w:p>
            <w:pPr>
              <w:jc w:val="right"/>
              <w:ind w:right="809"/>
              <w:spacing w:after="0"/>
              <w:rPr>
                <w:sz w:val="20"/>
                <w:szCs w:val="20"/>
                <w:color w:val="auto"/>
              </w:rPr>
            </w:pPr>
            <w:r>
              <w:rPr>
                <w:rFonts w:ascii="Arial" w:cs="Arial" w:eastAsia="Arial" w:hAnsi="Arial"/>
                <w:sz w:val="14"/>
                <w:szCs w:val="14"/>
                <w:color w:val="0E1020"/>
              </w:rPr>
              <w:t>675,000</w:t>
            </w:r>
          </w:p>
        </w:tc>
        <w:tc>
          <w:tcPr>
            <w:tcW w:w="1560" w:type="dxa"/>
            <w:vAlign w:val="bottom"/>
            <w:tcBorders>
              <w:bottom w:val="single" w:sz="8" w:color="CFCFD2"/>
            </w:tcBorders>
          </w:tcPr>
          <w:p>
            <w:pPr>
              <w:jc w:val="right"/>
              <w:ind w:right="89"/>
              <w:spacing w:after="0"/>
              <w:rPr>
                <w:sz w:val="20"/>
                <w:szCs w:val="20"/>
                <w:color w:val="auto"/>
              </w:rPr>
            </w:pPr>
            <w:r>
              <w:rPr>
                <w:rFonts w:ascii="Arial" w:cs="Arial" w:eastAsia="Arial" w:hAnsi="Arial"/>
                <w:sz w:val="14"/>
                <w:szCs w:val="14"/>
                <w:color w:val="0E1020"/>
              </w:rPr>
              <w:t>4%</w:t>
            </w:r>
          </w:p>
        </w:tc>
      </w:tr>
      <w:tr>
        <w:trPr>
          <w:trHeight w:val="228"/>
        </w:trPr>
        <w:tc>
          <w:tcPr>
            <w:tcW w:w="422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Howard Boville</w:t>
            </w:r>
            <w:r>
              <w:rPr>
                <w:rFonts w:ascii="Arial" w:cs="Arial" w:eastAsia="Arial" w:hAnsi="Arial"/>
                <w:sz w:val="18"/>
                <w:szCs w:val="18"/>
                <w:b w:val="1"/>
                <w:bCs w:val="1"/>
                <w:color w:val="004AAC"/>
                <w:vertAlign w:val="superscript"/>
              </w:rPr>
              <w:t>(1)</w:t>
            </w:r>
          </w:p>
        </w:tc>
        <w:tc>
          <w:tcPr>
            <w:tcW w:w="228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1,000,000</w:t>
            </w:r>
          </w:p>
        </w:tc>
        <w:tc>
          <w:tcPr>
            <w:tcW w:w="3140" w:type="dxa"/>
            <w:vAlign w:val="bottom"/>
            <w:tcBorders>
              <w:bottom w:val="single" w:sz="8" w:color="CFCFD2"/>
            </w:tcBorders>
          </w:tcPr>
          <w:p>
            <w:pPr>
              <w:jc w:val="right"/>
              <w:ind w:right="869"/>
              <w:spacing w:after="0"/>
              <w:rPr>
                <w:sz w:val="20"/>
                <w:szCs w:val="20"/>
                <w:color w:val="auto"/>
              </w:rPr>
            </w:pPr>
            <w:r>
              <w:rPr>
                <w:rFonts w:ascii="Arial" w:cs="Arial" w:eastAsia="Arial" w:hAnsi="Arial"/>
                <w:sz w:val="14"/>
                <w:szCs w:val="14"/>
                <w:color w:val="0E1020"/>
              </w:rPr>
              <w:t>1,000,000</w:t>
            </w:r>
          </w:p>
        </w:tc>
        <w:tc>
          <w:tcPr>
            <w:tcW w:w="1560" w:type="dxa"/>
            <w:vAlign w:val="bottom"/>
            <w:tcBorders>
              <w:bottom w:val="single" w:sz="8" w:color="CFCFD2"/>
            </w:tcBorders>
          </w:tcPr>
          <w:p>
            <w:pPr>
              <w:jc w:val="right"/>
              <w:ind w:right="89"/>
              <w:spacing w:after="0"/>
              <w:rPr>
                <w:sz w:val="20"/>
                <w:szCs w:val="20"/>
                <w:color w:val="auto"/>
              </w:rPr>
            </w:pPr>
            <w:r>
              <w:rPr>
                <w:rFonts w:ascii="Arial" w:cs="Arial" w:eastAsia="Arial" w:hAnsi="Arial"/>
                <w:sz w:val="14"/>
                <w:szCs w:val="14"/>
                <w:color w:val="0E1020"/>
              </w:rPr>
              <w:t>0%</w:t>
            </w:r>
          </w:p>
        </w:tc>
      </w:tr>
    </w:tbl>
    <w:p>
      <w:pPr>
        <w:spacing w:after="0" w:line="178" w:lineRule="exact"/>
        <w:rPr>
          <w:sz w:val="20"/>
          <w:szCs w:val="20"/>
          <w:color w:val="auto"/>
        </w:rPr>
      </w:pPr>
    </w:p>
    <w:p>
      <w:pPr>
        <w:ind w:left="500" w:hanging="332"/>
        <w:spacing w:after="0"/>
        <w:tabs>
          <w:tab w:leader="none" w:pos="500" w:val="left"/>
        </w:tabs>
        <w:numPr>
          <w:ilvl w:val="0"/>
          <w:numId w:val="71"/>
        </w:numPr>
        <w:rPr>
          <w:rFonts w:ascii="Arial" w:cs="Arial" w:eastAsia="Arial" w:hAnsi="Arial"/>
          <w:sz w:val="14"/>
          <w:szCs w:val="14"/>
          <w:color w:val="0E1020"/>
        </w:rPr>
      </w:pPr>
      <w:r>
        <w:rPr>
          <w:rFonts w:ascii="Arial" w:cs="Arial" w:eastAsia="Arial" w:hAnsi="Arial"/>
          <w:sz w:val="14"/>
          <w:szCs w:val="14"/>
          <w:color w:val="0E1020"/>
        </w:rPr>
        <w:t>Mr. Boville left DXC during fiscal 2026 (July 2025).</w:t>
      </w:r>
    </w:p>
    <w:p>
      <w:pPr>
        <w:spacing w:after="0" w:line="196"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0E1020"/>
        </w:rPr>
        <w:t>In setting target base salaries, the Compensation Committee considers the position and the executive’s experience, qualifications, and proven results, as well as peer and market data. In keeping with this approach and as part of its overall retention strategy, effective April 1, 2025 (the first day of DXC’s fiscal 2026), the Compensation Committee approved increases to Mr. Fernandez’s annual base salary from $1,380,000 to $1,500,000 and to Mr. Del Bene’s salary from $725,000 to $800,000 and to Mr. Fawcett’s annual base salary from $650,000 to $675,000,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70</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78" w:name="page79"/>
    <w:bookmarkEnd w:id="78"/>
    <w:p>
      <w:pPr>
        <w:ind w:left="20"/>
        <w:spacing w:after="0"/>
        <w:tabs>
          <w:tab w:leader="none" w:pos="962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Annual Cash Incentive Plan</w:t>
      </w:r>
    </w:p>
    <w:p>
      <w:pPr>
        <w:spacing w:after="0" w:line="146" w:lineRule="exact"/>
        <w:rPr>
          <w:sz w:val="20"/>
          <w:szCs w:val="20"/>
          <w:color w:val="auto"/>
        </w:rPr>
      </w:pPr>
    </w:p>
    <w:p>
      <w:pPr>
        <w:jc w:val="both"/>
        <w:ind w:right="20"/>
        <w:spacing w:after="0" w:line="318" w:lineRule="auto"/>
        <w:rPr>
          <w:sz w:val="20"/>
          <w:szCs w:val="20"/>
          <w:color w:val="auto"/>
        </w:rPr>
      </w:pPr>
      <w:r>
        <w:rPr>
          <w:rFonts w:ascii="Arial" w:cs="Arial" w:eastAsia="Arial" w:hAnsi="Arial"/>
          <w:sz w:val="16"/>
          <w:szCs w:val="16"/>
          <w:color w:val="0E1020"/>
        </w:rPr>
        <w:t>The annual cash incentive plan for executive officers rewards NEOs for the achievement of key short-term financial and other objectives that the Compensation Committee views as important steps in the execution of our overall business strategy, with the intent ultimately of increasing stockholder value.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Overview</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0E1020"/>
        </w:rPr>
        <w:t>DXC’s fiscal 2026 annual cash incentive plan’s pool funding, subject to additional caps on payouts, is calculated based on the following formula:</w:t>
      </w:r>
    </w:p>
    <w:p>
      <w:pPr>
        <w:spacing w:after="0" w:line="169" w:lineRule="exact"/>
        <w:rPr>
          <w:sz w:val="20"/>
          <w:szCs w:val="20"/>
          <w:color w:val="auto"/>
        </w:rPr>
      </w:pPr>
    </w:p>
    <w:tbl>
      <w:tblPr>
        <w:tblLayout w:type="fixed"/>
        <w:tblInd w:w="1100" w:type="dxa"/>
        <w:tblCellMar>
          <w:top w:w="0" w:type="dxa"/>
          <w:left w:w="0" w:type="dxa"/>
          <w:bottom w:w="0" w:type="dxa"/>
          <w:right w:w="0" w:type="dxa"/>
        </w:tblCellMar>
      </w:tblPr>
      <w:tr>
        <w:trPr>
          <w:trHeight w:val="203"/>
        </w:trPr>
        <w:tc>
          <w:tcPr>
            <w:tcW w:w="5820" w:type="dxa"/>
            <w:vAlign w:val="bottom"/>
            <w:gridSpan w:val="3"/>
          </w:tcPr>
          <w:p>
            <w:pPr>
              <w:ind w:left="2120"/>
              <w:spacing w:after="0"/>
              <w:rPr>
                <w:sz w:val="20"/>
                <w:szCs w:val="20"/>
                <w:color w:val="auto"/>
              </w:rPr>
            </w:pPr>
            <w:r>
              <w:rPr>
                <w:rFonts w:ascii="Arial" w:cs="Arial" w:eastAsia="Arial" w:hAnsi="Arial"/>
                <w:sz w:val="14"/>
                <w:szCs w:val="14"/>
                <w:b w:val="1"/>
                <w:bCs w:val="1"/>
                <w:color w:val="0E1020"/>
              </w:rPr>
              <w:t>Financial Metrics 100%</w:t>
            </w:r>
          </w:p>
        </w:tc>
        <w:tc>
          <w:tcPr>
            <w:tcW w:w="80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4"/>
                <w:szCs w:val="14"/>
                <w:b w:val="1"/>
                <w:bCs w:val="1"/>
                <w:color w:val="0E1020"/>
                <w:w w:val="98"/>
              </w:rPr>
              <w:t>Total 100%</w:t>
            </w:r>
          </w:p>
        </w:tc>
        <w:tc>
          <w:tcPr>
            <w:tcW w:w="0" w:type="dxa"/>
            <w:vAlign w:val="bottom"/>
          </w:tcPr>
          <w:p>
            <w:pPr>
              <w:spacing w:after="0"/>
              <w:rPr>
                <w:sz w:val="1"/>
                <w:szCs w:val="1"/>
                <w:color w:val="auto"/>
              </w:rPr>
            </w:pPr>
          </w:p>
        </w:tc>
      </w:tr>
      <w:tr>
        <w:trPr>
          <w:trHeight w:val="444"/>
        </w:trPr>
        <w:tc>
          <w:tcPr>
            <w:tcW w:w="2560" w:type="dxa"/>
            <w:vAlign w:val="bottom"/>
            <w:shd w:val="clear" w:color="auto" w:fill="F6F3F0"/>
          </w:tcPr>
          <w:p>
            <w:pPr>
              <w:ind w:left="80"/>
              <w:spacing w:after="0"/>
              <w:rPr>
                <w:sz w:val="20"/>
                <w:szCs w:val="20"/>
                <w:color w:val="auto"/>
              </w:rPr>
            </w:pPr>
            <w:r>
              <w:rPr>
                <w:rFonts w:ascii="Times New Roman" w:cs="Times New Roman" w:eastAsia="Times New Roman" w:hAnsi="Times New Roman"/>
                <w:sz w:val="16"/>
                <w:szCs w:val="16"/>
                <w:b w:val="1"/>
                <w:bCs w:val="1"/>
                <w:color w:val="0E1020"/>
              </w:rPr>
              <w:t>ORGANIC REVENUE GROWTH</w:t>
            </w:r>
          </w:p>
        </w:tc>
        <w:tc>
          <w:tcPr>
            <w:tcW w:w="680" w:type="dxa"/>
            <w:vAlign w:val="bottom"/>
          </w:tcPr>
          <w:p>
            <w:pPr>
              <w:spacing w:after="0"/>
              <w:rPr>
                <w:sz w:val="24"/>
                <w:szCs w:val="24"/>
                <w:color w:val="auto"/>
              </w:rPr>
            </w:pPr>
          </w:p>
        </w:tc>
        <w:tc>
          <w:tcPr>
            <w:tcW w:w="2580" w:type="dxa"/>
            <w:vAlign w:val="bottom"/>
            <w:vMerge w:val="restart"/>
            <w:shd w:val="clear" w:color="auto" w:fill="F6F3F0"/>
          </w:tcPr>
          <w:p>
            <w:pPr>
              <w:jc w:val="center"/>
              <w:spacing w:after="0"/>
              <w:rPr>
                <w:sz w:val="20"/>
                <w:szCs w:val="20"/>
                <w:color w:val="auto"/>
              </w:rPr>
            </w:pPr>
            <w:r>
              <w:rPr>
                <w:rFonts w:ascii="Times New Roman" w:cs="Times New Roman" w:eastAsia="Times New Roman" w:hAnsi="Times New Roman"/>
                <w:sz w:val="16"/>
                <w:szCs w:val="16"/>
                <w:b w:val="1"/>
                <w:bCs w:val="1"/>
                <w:color w:val="0E1020"/>
              </w:rPr>
              <w:t>ADJUSTED EBIT MARGIN %</w:t>
            </w:r>
            <w:r>
              <w:rPr>
                <w:rFonts w:ascii="Times New Roman" w:cs="Times New Roman" w:eastAsia="Times New Roman" w:hAnsi="Times New Roman"/>
                <w:sz w:val="20"/>
                <w:szCs w:val="20"/>
                <w:b w:val="1"/>
                <w:bCs w:val="1"/>
                <w:color w:val="0E1020"/>
                <w:vertAlign w:val="superscript"/>
              </w:rPr>
              <w:t>2</w:t>
            </w:r>
          </w:p>
        </w:tc>
        <w:tc>
          <w:tcPr>
            <w:tcW w:w="800" w:type="dxa"/>
            <w:vAlign w:val="bottom"/>
          </w:tcPr>
          <w:p>
            <w:pPr>
              <w:spacing w:after="0"/>
              <w:rPr>
                <w:sz w:val="24"/>
                <w:szCs w:val="24"/>
                <w:color w:val="auto"/>
              </w:rPr>
            </w:pPr>
          </w:p>
        </w:tc>
        <w:tc>
          <w:tcPr>
            <w:tcW w:w="2440" w:type="dxa"/>
            <w:vAlign w:val="bottom"/>
            <w:shd w:val="clear" w:color="auto" w:fill="4995FF"/>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560" w:type="dxa"/>
            <w:vAlign w:val="bottom"/>
            <w:vMerge w:val="restart"/>
            <w:shd w:val="clear" w:color="auto" w:fill="F6F3F0"/>
          </w:tcPr>
          <w:p>
            <w:pPr>
              <w:jc w:val="center"/>
              <w:ind w:right="1082"/>
              <w:spacing w:after="0"/>
              <w:rPr>
                <w:sz w:val="20"/>
                <w:szCs w:val="20"/>
                <w:color w:val="auto"/>
              </w:rPr>
            </w:pPr>
            <w:r>
              <w:rPr>
                <w:rFonts w:ascii="Times New Roman" w:cs="Times New Roman" w:eastAsia="Times New Roman" w:hAnsi="Times New Roman"/>
                <w:sz w:val="16"/>
                <w:szCs w:val="16"/>
                <w:b w:val="1"/>
                <w:bCs w:val="1"/>
                <w:color w:val="0E1020"/>
              </w:rPr>
              <w:t>%</w:t>
            </w:r>
            <w:r>
              <w:rPr>
                <w:rFonts w:ascii="Times New Roman" w:cs="Times New Roman" w:eastAsia="Times New Roman" w:hAnsi="Times New Roman"/>
                <w:sz w:val="20"/>
                <w:szCs w:val="20"/>
                <w:b w:val="1"/>
                <w:bCs w:val="1"/>
                <w:color w:val="0E1020"/>
                <w:vertAlign w:val="superscript"/>
              </w:rPr>
              <w:t>1</w:t>
            </w:r>
          </w:p>
        </w:tc>
        <w:tc>
          <w:tcPr>
            <w:tcW w:w="680" w:type="dxa"/>
            <w:vAlign w:val="bottom"/>
          </w:tcPr>
          <w:p>
            <w:pPr>
              <w:spacing w:after="0"/>
              <w:rPr>
                <w:sz w:val="10"/>
                <w:szCs w:val="10"/>
                <w:color w:val="auto"/>
              </w:rPr>
            </w:pPr>
          </w:p>
        </w:tc>
        <w:tc>
          <w:tcPr>
            <w:tcW w:w="2580" w:type="dxa"/>
            <w:vAlign w:val="bottom"/>
            <w:vMerge w:val="continue"/>
            <w:shd w:val="clear" w:color="auto" w:fill="F6F3F0"/>
          </w:tcPr>
          <w:p>
            <w:pPr>
              <w:spacing w:after="0"/>
              <w:rPr>
                <w:sz w:val="10"/>
                <w:szCs w:val="10"/>
                <w:color w:val="auto"/>
              </w:rPr>
            </w:pPr>
          </w:p>
        </w:tc>
        <w:tc>
          <w:tcPr>
            <w:tcW w:w="800" w:type="dxa"/>
            <w:vAlign w:val="bottom"/>
          </w:tcPr>
          <w:p>
            <w:pPr>
              <w:spacing w:after="0"/>
              <w:rPr>
                <w:sz w:val="10"/>
                <w:szCs w:val="10"/>
                <w:color w:val="auto"/>
              </w:rPr>
            </w:pPr>
          </w:p>
        </w:tc>
        <w:tc>
          <w:tcPr>
            <w:tcW w:w="2440" w:type="dxa"/>
            <w:vAlign w:val="bottom"/>
            <w:vMerge w:val="restart"/>
            <w:shd w:val="clear" w:color="auto" w:fill="4995FF"/>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POOL FUNDING</w:t>
            </w:r>
          </w:p>
        </w:tc>
        <w:tc>
          <w:tcPr>
            <w:tcW w:w="0" w:type="dxa"/>
            <w:vAlign w:val="bottom"/>
          </w:tcPr>
          <w:p>
            <w:pPr>
              <w:spacing w:after="0"/>
              <w:rPr>
                <w:sz w:val="1"/>
                <w:szCs w:val="1"/>
                <w:color w:val="auto"/>
              </w:rPr>
            </w:pPr>
          </w:p>
        </w:tc>
      </w:tr>
      <w:tr>
        <w:trPr>
          <w:trHeight w:val="121"/>
        </w:trPr>
        <w:tc>
          <w:tcPr>
            <w:tcW w:w="2560" w:type="dxa"/>
            <w:vAlign w:val="bottom"/>
            <w:vMerge w:val="continue"/>
            <w:shd w:val="clear" w:color="auto" w:fill="F6F3F0"/>
          </w:tcPr>
          <w:p>
            <w:pPr>
              <w:spacing w:after="0"/>
              <w:rPr>
                <w:sz w:val="10"/>
                <w:szCs w:val="10"/>
                <w:color w:val="auto"/>
              </w:rPr>
            </w:pPr>
          </w:p>
        </w:tc>
        <w:tc>
          <w:tcPr>
            <w:tcW w:w="680" w:type="dxa"/>
            <w:vAlign w:val="bottom"/>
          </w:tcPr>
          <w:p>
            <w:pPr>
              <w:spacing w:after="0"/>
              <w:rPr>
                <w:sz w:val="10"/>
                <w:szCs w:val="10"/>
                <w:color w:val="auto"/>
              </w:rPr>
            </w:pPr>
          </w:p>
        </w:tc>
        <w:tc>
          <w:tcPr>
            <w:tcW w:w="2580" w:type="dxa"/>
            <w:vAlign w:val="bottom"/>
            <w:vMerge w:val="restart"/>
            <w:shd w:val="clear" w:color="auto" w:fill="F6F3F0"/>
          </w:tcPr>
          <w:p>
            <w:pPr>
              <w:jc w:val="right"/>
              <w:ind w:right="1060"/>
              <w:spacing w:after="0"/>
              <w:rPr>
                <w:sz w:val="20"/>
                <w:szCs w:val="20"/>
                <w:color w:val="auto"/>
              </w:rPr>
            </w:pPr>
            <w:r>
              <w:rPr>
                <w:rFonts w:ascii="Times New Roman" w:cs="Times New Roman" w:eastAsia="Times New Roman" w:hAnsi="Times New Roman"/>
                <w:sz w:val="16"/>
                <w:szCs w:val="16"/>
                <w:b w:val="1"/>
                <w:bCs w:val="1"/>
                <w:color w:val="004AAC"/>
              </w:rPr>
              <w:t>50%</w:t>
            </w:r>
          </w:p>
        </w:tc>
        <w:tc>
          <w:tcPr>
            <w:tcW w:w="800" w:type="dxa"/>
            <w:vAlign w:val="bottom"/>
          </w:tcPr>
          <w:p>
            <w:pPr>
              <w:spacing w:after="0"/>
              <w:rPr>
                <w:sz w:val="10"/>
                <w:szCs w:val="10"/>
                <w:color w:val="auto"/>
              </w:rPr>
            </w:pPr>
          </w:p>
        </w:tc>
        <w:tc>
          <w:tcPr>
            <w:tcW w:w="2440" w:type="dxa"/>
            <w:vAlign w:val="bottom"/>
            <w:vMerge w:val="continue"/>
            <w:shd w:val="clear" w:color="auto" w:fill="4995FF"/>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560" w:type="dxa"/>
            <w:vAlign w:val="bottom"/>
            <w:vMerge w:val="restart"/>
            <w:shd w:val="clear" w:color="auto" w:fill="F6F3F0"/>
          </w:tcPr>
          <w:p>
            <w:pPr>
              <w:jc w:val="right"/>
              <w:ind w:right="1042"/>
              <w:spacing w:after="0"/>
              <w:rPr>
                <w:sz w:val="20"/>
                <w:szCs w:val="20"/>
                <w:color w:val="auto"/>
              </w:rPr>
            </w:pPr>
            <w:r>
              <w:rPr>
                <w:rFonts w:ascii="Times New Roman" w:cs="Times New Roman" w:eastAsia="Times New Roman" w:hAnsi="Times New Roman"/>
                <w:sz w:val="16"/>
                <w:szCs w:val="16"/>
                <w:b w:val="1"/>
                <w:bCs w:val="1"/>
                <w:color w:val="004AAC"/>
              </w:rPr>
              <w:t>50%</w:t>
            </w:r>
          </w:p>
        </w:tc>
        <w:tc>
          <w:tcPr>
            <w:tcW w:w="680" w:type="dxa"/>
            <w:vAlign w:val="bottom"/>
          </w:tcPr>
          <w:p>
            <w:pPr>
              <w:spacing w:after="0"/>
              <w:rPr>
                <w:sz w:val="7"/>
                <w:szCs w:val="7"/>
                <w:color w:val="auto"/>
              </w:rPr>
            </w:pPr>
          </w:p>
        </w:tc>
        <w:tc>
          <w:tcPr>
            <w:tcW w:w="2580" w:type="dxa"/>
            <w:vAlign w:val="bottom"/>
            <w:vMerge w:val="continue"/>
            <w:shd w:val="clear" w:color="auto" w:fill="F6F3F0"/>
          </w:tcPr>
          <w:p>
            <w:pPr>
              <w:spacing w:after="0"/>
              <w:rPr>
                <w:sz w:val="7"/>
                <w:szCs w:val="7"/>
                <w:color w:val="auto"/>
              </w:rPr>
            </w:pPr>
          </w:p>
        </w:tc>
        <w:tc>
          <w:tcPr>
            <w:tcW w:w="800" w:type="dxa"/>
            <w:vAlign w:val="bottom"/>
          </w:tcPr>
          <w:p>
            <w:pPr>
              <w:spacing w:after="0"/>
              <w:rPr>
                <w:sz w:val="7"/>
                <w:szCs w:val="7"/>
                <w:color w:val="auto"/>
              </w:rPr>
            </w:pPr>
          </w:p>
        </w:tc>
        <w:tc>
          <w:tcPr>
            <w:tcW w:w="2440" w:type="dxa"/>
            <w:vAlign w:val="bottom"/>
            <w:shd w:val="clear" w:color="auto" w:fill="4995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560" w:type="dxa"/>
            <w:vAlign w:val="bottom"/>
            <w:vMerge w:val="continue"/>
            <w:shd w:val="clear" w:color="auto" w:fill="F6F3F0"/>
          </w:tcPr>
          <w:p>
            <w:pPr>
              <w:spacing w:after="0"/>
              <w:rPr>
                <w:sz w:val="10"/>
                <w:szCs w:val="10"/>
                <w:color w:val="auto"/>
              </w:rPr>
            </w:pPr>
          </w:p>
        </w:tc>
        <w:tc>
          <w:tcPr>
            <w:tcW w:w="680" w:type="dxa"/>
            <w:vAlign w:val="bottom"/>
          </w:tcPr>
          <w:p>
            <w:pPr>
              <w:spacing w:after="0"/>
              <w:rPr>
                <w:sz w:val="10"/>
                <w:szCs w:val="10"/>
                <w:color w:val="auto"/>
              </w:rPr>
            </w:pPr>
          </w:p>
        </w:tc>
        <w:tc>
          <w:tcPr>
            <w:tcW w:w="2580" w:type="dxa"/>
            <w:vAlign w:val="bottom"/>
            <w:shd w:val="clear" w:color="auto" w:fill="F6F3F0"/>
          </w:tcPr>
          <w:p>
            <w:pPr>
              <w:spacing w:after="0"/>
              <w:rPr>
                <w:sz w:val="10"/>
                <w:szCs w:val="10"/>
                <w:color w:val="auto"/>
              </w:rPr>
            </w:pPr>
          </w:p>
        </w:tc>
        <w:tc>
          <w:tcPr>
            <w:tcW w:w="800" w:type="dxa"/>
            <w:vAlign w:val="bottom"/>
          </w:tcPr>
          <w:p>
            <w:pPr>
              <w:spacing w:after="0"/>
              <w:rPr>
                <w:sz w:val="10"/>
                <w:szCs w:val="10"/>
                <w:color w:val="auto"/>
              </w:rPr>
            </w:pPr>
          </w:p>
        </w:tc>
        <w:tc>
          <w:tcPr>
            <w:tcW w:w="2440" w:type="dxa"/>
            <w:vAlign w:val="bottom"/>
            <w:shd w:val="clear" w:color="auto" w:fill="4995FF"/>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560" w:type="dxa"/>
            <w:vAlign w:val="bottom"/>
            <w:shd w:val="clear" w:color="auto" w:fill="F6F3F0"/>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shd w:val="clear" w:color="auto" w:fill="F6F3F0"/>
          </w:tcPr>
          <w:p>
            <w:pPr>
              <w:spacing w:after="0"/>
              <w:rPr>
                <w:sz w:val="16"/>
                <w:szCs w:val="16"/>
                <w:color w:val="auto"/>
              </w:rPr>
            </w:pPr>
          </w:p>
        </w:tc>
        <w:tc>
          <w:tcPr>
            <w:tcW w:w="800" w:type="dxa"/>
            <w:vAlign w:val="bottom"/>
          </w:tcPr>
          <w:p>
            <w:pPr>
              <w:spacing w:after="0"/>
              <w:rPr>
                <w:sz w:val="16"/>
                <w:szCs w:val="16"/>
                <w:color w:val="auto"/>
              </w:rPr>
            </w:pPr>
          </w:p>
        </w:tc>
        <w:tc>
          <w:tcPr>
            <w:tcW w:w="2440" w:type="dxa"/>
            <w:vAlign w:val="bottom"/>
            <w:shd w:val="clear" w:color="auto" w:fill="4995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2456180</wp:posOffset>
            </wp:positionH>
            <wp:positionV relativeFrom="paragraph">
              <wp:posOffset>-450850</wp:posOffset>
            </wp:positionV>
            <wp:extent cx="170180" cy="17018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70180" cy="170180"/>
                    </a:xfrm>
                    <a:prstGeom prst="rect">
                      <a:avLst/>
                    </a:prstGeom>
                    <a:noFill/>
                  </pic:spPr>
                </pic:pic>
              </a:graphicData>
            </a:graphic>
          </wp:anchor>
        </w:drawing>
        <w:drawing>
          <wp:anchor simplePos="0" relativeHeight="251657728" behindDoc="1" locked="0" layoutInCell="0" allowOverlap="1">
            <wp:simplePos x="0" y="0"/>
            <wp:positionH relativeFrom="column">
              <wp:posOffset>4566920</wp:posOffset>
            </wp:positionH>
            <wp:positionV relativeFrom="paragraph">
              <wp:posOffset>-450850</wp:posOffset>
            </wp:positionV>
            <wp:extent cx="170180" cy="17018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70180" cy="17018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Financial Performance Measures</w:t>
      </w:r>
    </w:p>
    <w:p>
      <w:pPr>
        <w:spacing w:after="0" w:line="98" w:lineRule="exact"/>
        <w:rPr>
          <w:sz w:val="20"/>
          <w:szCs w:val="20"/>
          <w:color w:val="auto"/>
        </w:rPr>
      </w:pPr>
    </w:p>
    <w:p>
      <w:pPr>
        <w:ind w:right="500"/>
        <w:spacing w:after="0" w:line="318" w:lineRule="auto"/>
        <w:rPr>
          <w:sz w:val="20"/>
          <w:szCs w:val="20"/>
          <w:color w:val="auto"/>
        </w:rPr>
      </w:pPr>
      <w:r>
        <w:rPr>
          <w:rFonts w:ascii="Arial" w:cs="Arial" w:eastAsia="Arial" w:hAnsi="Arial"/>
          <w:sz w:val="16"/>
          <w:szCs w:val="16"/>
          <w:color w:val="0E1020"/>
        </w:rPr>
        <w:t>The amount of the incentive pool, if any, under the annual cash incentive plan is based on our achievement against pre-defined targets on two financial performance metrics.</w:t>
      </w:r>
    </w:p>
    <w:p>
      <w:pPr>
        <w:spacing w:after="0" w:line="49"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color w:val="0E1020"/>
        </w:rPr>
        <w:t>The two financial performance measures, Organic Revenue Growth Percentage (“%”)</w:t>
      </w:r>
      <w:r>
        <w:rPr>
          <w:rFonts w:ascii="Arial" w:cs="Arial" w:eastAsia="Arial" w:hAnsi="Arial"/>
          <w:sz w:val="20"/>
          <w:szCs w:val="20"/>
          <w:color w:val="0E1020"/>
          <w:vertAlign w:val="superscript"/>
        </w:rPr>
        <w:t>1</w:t>
      </w:r>
      <w:r>
        <w:rPr>
          <w:rFonts w:ascii="Arial" w:cs="Arial" w:eastAsia="Arial" w:hAnsi="Arial"/>
          <w:sz w:val="16"/>
          <w:szCs w:val="16"/>
          <w:color w:val="0E1020"/>
        </w:rPr>
        <w:t xml:space="preserve"> and Adjusted EBIT Margin Percentage (“%”)</w:t>
      </w:r>
      <w:r>
        <w:rPr>
          <w:rFonts w:ascii="Arial" w:cs="Arial" w:eastAsia="Arial" w:hAnsi="Arial"/>
          <w:sz w:val="20"/>
          <w:szCs w:val="20"/>
          <w:color w:val="0E1020"/>
          <w:vertAlign w:val="superscript"/>
        </w:rPr>
        <w:t>2</w:t>
      </w:r>
      <w:r>
        <w:rPr>
          <w:rFonts w:ascii="Arial" w:cs="Arial" w:eastAsia="Arial" w:hAnsi="Arial"/>
          <w:sz w:val="16"/>
          <w:szCs w:val="16"/>
          <w:color w:val="0E1020"/>
        </w:rPr>
        <w:t>, collectively represented 100% of the target opportunity for the fiscal 2026 annual cash incentive plan. Organic Revenue Growth and Adjusted EBIT Margin are critical building blocks to achieve our key strategic goals and drive stockholder value creation, with equal weighting on top-line revenue growth and overall sustained profitability, as both closely correlate to cash generation, which is a key component of driving long-term financial success for the Company in tandem with long-term value for our stockholders. The metrics are equally weighted to reinforce that both revenue and profits are equally important in driving sustainable growth for DXC.*</w:t>
      </w:r>
    </w:p>
    <w:p>
      <w:pPr>
        <w:spacing w:after="0" w:line="82" w:lineRule="exact"/>
        <w:rPr>
          <w:sz w:val="20"/>
          <w:szCs w:val="20"/>
          <w:color w:val="auto"/>
        </w:rPr>
      </w:pPr>
    </w:p>
    <w:p>
      <w:pPr>
        <w:ind w:left="480" w:right="80" w:hanging="312"/>
        <w:spacing w:after="0" w:line="289" w:lineRule="auto"/>
        <w:tabs>
          <w:tab w:leader="none" w:pos="480" w:val="left"/>
        </w:tabs>
        <w:numPr>
          <w:ilvl w:val="0"/>
          <w:numId w:val="72"/>
        </w:numPr>
        <w:rPr>
          <w:rFonts w:ascii="Arial" w:cs="Arial" w:eastAsia="Arial" w:hAnsi="Arial"/>
          <w:sz w:val="14"/>
          <w:szCs w:val="14"/>
          <w:color w:val="0E1020"/>
        </w:rPr>
      </w:pPr>
      <w:r>
        <w:rPr>
          <w:rFonts w:ascii="Arial" w:cs="Arial" w:eastAsia="Arial" w:hAnsi="Arial"/>
          <w:sz w:val="14"/>
          <w:szCs w:val="14"/>
          <w:color w:val="0E1020"/>
        </w:rPr>
        <w:t>Organic Revenue Growth %. Organic Revenue Growth % measures the year over year percentage growth in GAAP Revenue through internal organic growth without the impact of fluctuations in foreign currency rates and without the impacts of acquisitions and divestitures.</w:t>
      </w:r>
    </w:p>
    <w:p>
      <w:pPr>
        <w:spacing w:after="0" w:line="1" w:lineRule="exact"/>
        <w:rPr>
          <w:rFonts w:ascii="Arial" w:cs="Arial" w:eastAsia="Arial" w:hAnsi="Arial"/>
          <w:sz w:val="14"/>
          <w:szCs w:val="14"/>
          <w:color w:val="0E1020"/>
        </w:rPr>
      </w:pPr>
    </w:p>
    <w:p>
      <w:pPr>
        <w:ind w:left="480" w:right="60" w:hanging="312"/>
        <w:spacing w:after="0" w:line="280" w:lineRule="auto"/>
        <w:tabs>
          <w:tab w:leader="none" w:pos="453" w:val="left"/>
        </w:tabs>
        <w:numPr>
          <w:ilvl w:val="0"/>
          <w:numId w:val="72"/>
        </w:numPr>
        <w:rPr>
          <w:rFonts w:ascii="Arial" w:cs="Arial" w:eastAsia="Arial" w:hAnsi="Arial"/>
          <w:sz w:val="14"/>
          <w:szCs w:val="14"/>
          <w:color w:val="0E1020"/>
        </w:rPr>
      </w:pPr>
      <w:r>
        <w:rPr>
          <w:rFonts w:ascii="Arial" w:cs="Arial" w:eastAsia="Arial" w:hAnsi="Arial"/>
          <w:sz w:val="14"/>
          <w:szCs w:val="14"/>
          <w:color w:val="0E1020"/>
        </w:rPr>
        <w:t>Adjusted Earnings Before Interest and Taxes (EBIT) Margin %. Adjusted EBIT Margin, which is GAAP EBIT adjusted to exclude certain items which DXC management believes are not indicative of operating performance, including restructuring costs, amortization of acquired intangible assets, transaction, separation, and integration-related costs, merger-related indemnification, gains and losses on dispositions of businesses, pension and OPEB actuarial and settlement losses and impairment losses.</w:t>
      </w:r>
    </w:p>
    <w:p>
      <w:pPr>
        <w:spacing w:after="0" w:line="13" w:lineRule="exact"/>
        <w:rPr>
          <w:sz w:val="20"/>
          <w:szCs w:val="20"/>
          <w:color w:val="auto"/>
        </w:rPr>
      </w:pPr>
    </w:p>
    <w:p>
      <w:pPr>
        <w:ind w:left="480" w:right="40" w:hanging="312"/>
        <w:spacing w:after="0" w:line="302" w:lineRule="auto"/>
        <w:tabs>
          <w:tab w:leader="none" w:pos="455" w:val="left"/>
        </w:tabs>
        <w:numPr>
          <w:ilvl w:val="0"/>
          <w:numId w:val="73"/>
        </w:numPr>
        <w:rPr>
          <w:rFonts w:ascii="Arial" w:cs="Arial" w:eastAsia="Arial" w:hAnsi="Arial"/>
          <w:sz w:val="14"/>
          <w:szCs w:val="14"/>
          <w:color w:val="0E1020"/>
        </w:rPr>
      </w:pPr>
      <w:r>
        <w:rPr>
          <w:rFonts w:ascii="Arial" w:cs="Arial" w:eastAsia="Arial" w:hAnsi="Arial"/>
          <w:sz w:val="14"/>
          <w:szCs w:val="14"/>
          <w:color w:val="0E1020"/>
        </w:rPr>
        <w:t>For a reconciliation of non-GAAP measures as set forth in this Proxy Statement to the most directly comparable GAAP measures, see “Appendix A - Non-GAAP Financial Measures.”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Target, Threshold, and Maximum Performance Levels</w:t>
      </w:r>
    </w:p>
    <w:p>
      <w:pPr>
        <w:spacing w:after="0" w:line="9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0E1020"/>
        </w:rPr>
        <w:t>The Compensation Committee set the performance targets at levels that it considered rigorous and challenging, that required substantial effort to achieve, and that considered the relevant risks and degree of difficulty during our transition path to sustained growth. The Compensation Committee also took into consideration the recent disposition of businesses as part of DXC’s strategic priorities and how such dispositions may affect the relevant financial performance of the Company. In determining specific financial goals for the year, the Compensation Committee reviewed the annual operating plan, various factors related to the achievability of budgeted goals, including the risks associated with various macroeconomic factors, and performance relative to prior years.</w:t>
      </w:r>
    </w:p>
    <w:p>
      <w:pPr>
        <w:spacing w:after="0" w:line="5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0E1020"/>
        </w:rPr>
        <w:t>The Compensation Committee set the threshold level such that significant performance as a portion of the target opportunity would need to be attained (100 basis points below target for Adjusted EBIT Margin % and 500 basis points below target for Organic Revenue Growth %, respectively) and set the maximum level at 100 basis points above target for Adjusted EBIT Margin % and 500 basis points above target for Organic Revenue Growth %, respectively, to underscore the importance of achieving the targets and present a significant challenge requiring exceptionally strong performance and significant effort to achieve.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71</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79" w:name="page80"/>
    <w:bookmarkEnd w:id="79"/>
    <w:p>
      <w:pPr>
        <w:ind w:left="20"/>
        <w:spacing w:after="0"/>
        <w:tabs>
          <w:tab w:leader="none" w:pos="10100" w:val="left"/>
        </w:tabs>
        <w:rPr>
          <w:sz w:val="20"/>
          <w:szCs w:val="20"/>
          <w:color w:val="auto"/>
        </w:rPr>
      </w:pPr>
      <w:r>
        <w:rPr>
          <w:rFonts w:ascii="Arial" w:cs="Arial" w:eastAsia="Arial" w:hAnsi="Arial"/>
          <w:sz w:val="14"/>
          <w:szCs w:val="14"/>
          <w:color w:val="auto"/>
        </w:rPr>
        <w:t>Executive Compensation</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line="304" w:lineRule="auto"/>
        <w:rPr>
          <w:sz w:val="20"/>
          <w:szCs w:val="20"/>
          <w:color w:val="auto"/>
        </w:rPr>
      </w:pPr>
      <w:r>
        <w:rPr>
          <w:rFonts w:ascii="Arial" w:cs="Arial" w:eastAsia="Arial" w:hAnsi="Arial"/>
          <w:sz w:val="16"/>
          <w:szCs w:val="16"/>
          <w:color w:val="0E1020"/>
        </w:rPr>
        <w:t>If performance for a metric is below the threshold level, then the payout will be 0% of the target payout. If we achieve 100% of target performance for a metric, the payout is 100% of target. If performance is between the threshold level and target level, or the target level and the maximum level, then the payout will be determined based on the payout graph below, providing between 50% and 200% of the target payout based on linear interpolation. If performance is above the maximum level, the maximum payout of 200% of target will be earned for that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97790</wp:posOffset>
            </wp:positionV>
            <wp:extent cx="5584190" cy="17532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584190" cy="1753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420"/>
        <w:spacing w:after="0" w:line="318" w:lineRule="auto"/>
        <w:rPr>
          <w:sz w:val="20"/>
          <w:szCs w:val="20"/>
          <w:color w:val="auto"/>
        </w:rPr>
      </w:pPr>
      <w:r>
        <w:rPr>
          <w:rFonts w:ascii="Arial" w:cs="Arial" w:eastAsia="Arial" w:hAnsi="Arial"/>
          <w:sz w:val="16"/>
          <w:szCs w:val="16"/>
          <w:color w:val="0E1020"/>
        </w:rPr>
        <w:t>After the end of fiscal 2026, the Compensation Committee determined achievement with respect to each of the financial metrics and corresponding pool funding, independently.</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Individual Performance Modifier &amp; Business Performance Allocation of Pool Funding</w:t>
      </w:r>
    </w:p>
    <w:p>
      <w:pPr>
        <w:spacing w:after="0" w:line="98"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0E1020"/>
        </w:rPr>
        <w:t>Once the pool funding is determined, the pool funding percentage is applied to the product of (i) the executive’s base salary and (ii) the target opportunity percentage. The pool funding is also then allocated to each business in alignment with financial performance to ensure higher performing businesses receive a higher percentage of the funding and vice versa. Final funded amounts may then be subject to an individual performance modifier at the discretion of the Compensation Committee.</w:t>
      </w:r>
    </w:p>
    <w:p>
      <w:pPr>
        <w:spacing w:after="0" w:line="46" w:lineRule="exact"/>
        <w:rPr>
          <w:sz w:val="20"/>
          <w:szCs w:val="20"/>
          <w:color w:val="auto"/>
        </w:rPr>
      </w:pPr>
    </w:p>
    <w:p>
      <w:pPr>
        <w:ind w:right="460"/>
        <w:spacing w:after="0" w:line="335" w:lineRule="auto"/>
        <w:rPr>
          <w:sz w:val="20"/>
          <w:szCs w:val="20"/>
          <w:color w:val="auto"/>
        </w:rPr>
      </w:pPr>
      <w:r>
        <w:rPr>
          <w:rFonts w:ascii="Arial" w:cs="Arial" w:eastAsia="Arial" w:hAnsi="Arial"/>
          <w:sz w:val="16"/>
          <w:szCs w:val="16"/>
          <w:color w:val="0E1020"/>
        </w:rPr>
        <w:t>The individual modifier ranges from 0% to 200%, but for fiscal 2026, it was not applied to any of the named executive officers for individual performance because they were all assessed as one team. The standard formula for calculating the individual payout in the plan is as follows:</w:t>
      </w:r>
    </w:p>
    <w:p>
      <w:pPr>
        <w:spacing w:after="0" w:line="238" w:lineRule="exact"/>
        <w:rPr>
          <w:sz w:val="20"/>
          <w:szCs w:val="20"/>
          <w:color w:val="auto"/>
        </w:rPr>
      </w:pPr>
    </w:p>
    <w:tbl>
      <w:tblPr>
        <w:tblLayout w:type="fixed"/>
        <w:tblInd w:w="480" w:type="dxa"/>
        <w:tblCellMar>
          <w:top w:w="0" w:type="dxa"/>
          <w:left w:w="0" w:type="dxa"/>
          <w:bottom w:w="0" w:type="dxa"/>
          <w:right w:w="0" w:type="dxa"/>
        </w:tblCellMar>
      </w:tblPr>
      <w:tr>
        <w:trPr>
          <w:trHeight w:val="397"/>
        </w:trPr>
        <w:tc>
          <w:tcPr>
            <w:tcW w:w="1920" w:type="dxa"/>
            <w:vAlign w:val="bottom"/>
            <w:vMerge w:val="restart"/>
            <w:shd w:val="clear" w:color="auto" w:fill="F6F3F0"/>
          </w:tcPr>
          <w:p>
            <w:pPr>
              <w:jc w:val="center"/>
              <w:spacing w:after="0"/>
              <w:rPr>
                <w:sz w:val="20"/>
                <w:szCs w:val="20"/>
                <w:color w:val="auto"/>
              </w:rPr>
            </w:pPr>
            <w:r>
              <w:rPr>
                <w:rFonts w:ascii="Times New Roman" w:cs="Times New Roman" w:eastAsia="Times New Roman" w:hAnsi="Times New Roman"/>
                <w:sz w:val="16"/>
                <w:szCs w:val="16"/>
                <w:b w:val="1"/>
                <w:bCs w:val="1"/>
                <w:color w:val="0E1020"/>
              </w:rPr>
              <w:t>POOL</w:t>
            </w:r>
          </w:p>
        </w:tc>
        <w:tc>
          <w:tcPr>
            <w:tcW w:w="860" w:type="dxa"/>
            <w:vAlign w:val="bottom"/>
          </w:tcPr>
          <w:p>
            <w:pPr>
              <w:spacing w:after="0"/>
              <w:rPr>
                <w:sz w:val="24"/>
                <w:szCs w:val="24"/>
                <w:color w:val="auto"/>
              </w:rPr>
            </w:pPr>
          </w:p>
        </w:tc>
        <w:tc>
          <w:tcPr>
            <w:tcW w:w="1940" w:type="dxa"/>
            <w:vAlign w:val="bottom"/>
            <w:vMerge w:val="restart"/>
            <w:shd w:val="clear" w:color="auto" w:fill="F6F3F0"/>
          </w:tcPr>
          <w:p>
            <w:pPr>
              <w:jc w:val="center"/>
              <w:spacing w:after="0"/>
              <w:rPr>
                <w:sz w:val="20"/>
                <w:szCs w:val="20"/>
                <w:color w:val="auto"/>
              </w:rPr>
            </w:pPr>
            <w:r>
              <w:rPr>
                <w:rFonts w:ascii="Times New Roman" w:cs="Times New Roman" w:eastAsia="Times New Roman" w:hAnsi="Times New Roman"/>
                <w:sz w:val="16"/>
                <w:szCs w:val="16"/>
                <w:b w:val="1"/>
                <w:bCs w:val="1"/>
                <w:color w:val="0E1020"/>
              </w:rPr>
              <w:t>TARGET</w:t>
            </w:r>
          </w:p>
        </w:tc>
        <w:tc>
          <w:tcPr>
            <w:tcW w:w="860" w:type="dxa"/>
            <w:vAlign w:val="bottom"/>
          </w:tcPr>
          <w:p>
            <w:pPr>
              <w:spacing w:after="0"/>
              <w:rPr>
                <w:sz w:val="24"/>
                <w:szCs w:val="24"/>
                <w:color w:val="auto"/>
              </w:rPr>
            </w:pPr>
          </w:p>
        </w:tc>
        <w:tc>
          <w:tcPr>
            <w:tcW w:w="1920" w:type="dxa"/>
            <w:vAlign w:val="bottom"/>
            <w:shd w:val="clear" w:color="auto" w:fill="F6F3F0"/>
          </w:tcPr>
          <w:p>
            <w:pPr>
              <w:jc w:val="center"/>
              <w:spacing w:after="0"/>
              <w:rPr>
                <w:sz w:val="20"/>
                <w:szCs w:val="20"/>
                <w:color w:val="auto"/>
              </w:rPr>
            </w:pPr>
            <w:r>
              <w:rPr>
                <w:rFonts w:ascii="Times New Roman" w:cs="Times New Roman" w:eastAsia="Times New Roman" w:hAnsi="Times New Roman"/>
                <w:sz w:val="16"/>
                <w:szCs w:val="16"/>
                <w:b w:val="1"/>
                <w:bCs w:val="1"/>
                <w:color w:val="0E1020"/>
                <w:w w:val="99"/>
              </w:rPr>
              <w:t>INDIVIDUAL</w:t>
            </w:r>
          </w:p>
        </w:tc>
        <w:tc>
          <w:tcPr>
            <w:tcW w:w="860" w:type="dxa"/>
            <w:vAlign w:val="bottom"/>
          </w:tcPr>
          <w:p>
            <w:pPr>
              <w:spacing w:after="0"/>
              <w:rPr>
                <w:sz w:val="24"/>
                <w:szCs w:val="24"/>
                <w:color w:val="auto"/>
              </w:rPr>
            </w:pPr>
          </w:p>
        </w:tc>
        <w:tc>
          <w:tcPr>
            <w:tcW w:w="1940" w:type="dxa"/>
            <w:vAlign w:val="bottom"/>
            <w:vMerge w:val="restart"/>
            <w:shd w:val="clear" w:color="auto" w:fill="4995FF"/>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INDIVIDUAL</w:t>
            </w:r>
          </w:p>
        </w:tc>
        <w:tc>
          <w:tcPr>
            <w:tcW w:w="0" w:type="dxa"/>
            <w:vAlign w:val="bottom"/>
          </w:tcPr>
          <w:p>
            <w:pPr>
              <w:spacing w:after="0"/>
              <w:rPr>
                <w:sz w:val="1"/>
                <w:szCs w:val="1"/>
                <w:color w:val="auto"/>
              </w:rPr>
            </w:pPr>
          </w:p>
        </w:tc>
      </w:tr>
      <w:tr>
        <w:trPr>
          <w:trHeight w:val="107"/>
        </w:trPr>
        <w:tc>
          <w:tcPr>
            <w:tcW w:w="1920" w:type="dxa"/>
            <w:vAlign w:val="bottom"/>
            <w:vMerge w:val="continue"/>
            <w:shd w:val="clear" w:color="auto" w:fill="F6F3F0"/>
          </w:tcPr>
          <w:p>
            <w:pPr>
              <w:spacing w:after="0"/>
              <w:rPr>
                <w:sz w:val="9"/>
                <w:szCs w:val="9"/>
                <w:color w:val="auto"/>
              </w:rPr>
            </w:pPr>
          </w:p>
        </w:tc>
        <w:tc>
          <w:tcPr>
            <w:tcW w:w="860" w:type="dxa"/>
            <w:vAlign w:val="bottom"/>
          </w:tcPr>
          <w:p>
            <w:pPr>
              <w:spacing w:after="0"/>
              <w:rPr>
                <w:sz w:val="9"/>
                <w:szCs w:val="9"/>
                <w:color w:val="auto"/>
              </w:rPr>
            </w:pPr>
          </w:p>
        </w:tc>
        <w:tc>
          <w:tcPr>
            <w:tcW w:w="1940" w:type="dxa"/>
            <w:vAlign w:val="bottom"/>
            <w:vMerge w:val="continue"/>
            <w:shd w:val="clear" w:color="auto" w:fill="F6F3F0"/>
          </w:tcPr>
          <w:p>
            <w:pPr>
              <w:spacing w:after="0"/>
              <w:rPr>
                <w:sz w:val="9"/>
                <w:szCs w:val="9"/>
                <w:color w:val="auto"/>
              </w:rPr>
            </w:pPr>
          </w:p>
        </w:tc>
        <w:tc>
          <w:tcPr>
            <w:tcW w:w="860" w:type="dxa"/>
            <w:vAlign w:val="bottom"/>
          </w:tcPr>
          <w:p>
            <w:pPr>
              <w:spacing w:after="0"/>
              <w:rPr>
                <w:sz w:val="9"/>
                <w:szCs w:val="9"/>
                <w:color w:val="auto"/>
              </w:rPr>
            </w:pPr>
          </w:p>
        </w:tc>
        <w:tc>
          <w:tcPr>
            <w:tcW w:w="1920" w:type="dxa"/>
            <w:vAlign w:val="bottom"/>
            <w:vMerge w:val="restart"/>
            <w:shd w:val="clear" w:color="auto" w:fill="F6F3F0"/>
          </w:tcPr>
          <w:p>
            <w:pPr>
              <w:jc w:val="center"/>
              <w:spacing w:after="0"/>
              <w:rPr>
                <w:sz w:val="20"/>
                <w:szCs w:val="20"/>
                <w:color w:val="auto"/>
              </w:rPr>
            </w:pPr>
            <w:r>
              <w:rPr>
                <w:rFonts w:ascii="Times New Roman" w:cs="Times New Roman" w:eastAsia="Times New Roman" w:hAnsi="Times New Roman"/>
                <w:sz w:val="16"/>
                <w:szCs w:val="16"/>
                <w:b w:val="1"/>
                <w:bCs w:val="1"/>
                <w:color w:val="0E1020"/>
                <w:w w:val="99"/>
              </w:rPr>
              <w:t>PERFORMANCE</w:t>
            </w:r>
          </w:p>
        </w:tc>
        <w:tc>
          <w:tcPr>
            <w:tcW w:w="860" w:type="dxa"/>
            <w:vAlign w:val="bottom"/>
          </w:tcPr>
          <w:p>
            <w:pPr>
              <w:spacing w:after="0"/>
              <w:rPr>
                <w:sz w:val="9"/>
                <w:szCs w:val="9"/>
                <w:color w:val="auto"/>
              </w:rPr>
            </w:pPr>
          </w:p>
        </w:tc>
        <w:tc>
          <w:tcPr>
            <w:tcW w:w="1940" w:type="dxa"/>
            <w:vAlign w:val="bottom"/>
            <w:vMerge w:val="continue"/>
            <w:shd w:val="clear" w:color="auto" w:fill="4995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920" w:type="dxa"/>
            <w:vAlign w:val="bottom"/>
            <w:vMerge w:val="restart"/>
            <w:shd w:val="clear" w:color="auto" w:fill="F6F3F0"/>
          </w:tcPr>
          <w:p>
            <w:pPr>
              <w:jc w:val="center"/>
              <w:spacing w:after="0"/>
              <w:rPr>
                <w:sz w:val="20"/>
                <w:szCs w:val="20"/>
                <w:color w:val="auto"/>
              </w:rPr>
            </w:pPr>
            <w:r>
              <w:rPr>
                <w:rFonts w:ascii="Times New Roman" w:cs="Times New Roman" w:eastAsia="Times New Roman" w:hAnsi="Times New Roman"/>
                <w:sz w:val="16"/>
                <w:szCs w:val="16"/>
                <w:b w:val="1"/>
                <w:bCs w:val="1"/>
                <w:color w:val="0E1020"/>
              </w:rPr>
              <w:t>FUNDING</w:t>
            </w:r>
          </w:p>
        </w:tc>
        <w:tc>
          <w:tcPr>
            <w:tcW w:w="860" w:type="dxa"/>
            <w:vAlign w:val="bottom"/>
          </w:tcPr>
          <w:p>
            <w:pPr>
              <w:spacing w:after="0"/>
              <w:rPr>
                <w:sz w:val="10"/>
                <w:szCs w:val="10"/>
                <w:color w:val="auto"/>
              </w:rPr>
            </w:pPr>
          </w:p>
        </w:tc>
        <w:tc>
          <w:tcPr>
            <w:tcW w:w="1940" w:type="dxa"/>
            <w:vAlign w:val="bottom"/>
            <w:vMerge w:val="restart"/>
            <w:shd w:val="clear" w:color="auto" w:fill="F6F3F0"/>
          </w:tcPr>
          <w:p>
            <w:pPr>
              <w:jc w:val="center"/>
              <w:spacing w:after="0"/>
              <w:rPr>
                <w:sz w:val="20"/>
                <w:szCs w:val="20"/>
                <w:color w:val="auto"/>
              </w:rPr>
            </w:pPr>
            <w:r>
              <w:rPr>
                <w:rFonts w:ascii="Times New Roman" w:cs="Times New Roman" w:eastAsia="Times New Roman" w:hAnsi="Times New Roman"/>
                <w:sz w:val="16"/>
                <w:szCs w:val="16"/>
                <w:b w:val="1"/>
                <w:bCs w:val="1"/>
                <w:color w:val="0E1020"/>
              </w:rPr>
              <w:t>BONUS</w:t>
            </w:r>
          </w:p>
        </w:tc>
        <w:tc>
          <w:tcPr>
            <w:tcW w:w="860" w:type="dxa"/>
            <w:vAlign w:val="bottom"/>
          </w:tcPr>
          <w:p>
            <w:pPr>
              <w:spacing w:after="0"/>
              <w:rPr>
                <w:sz w:val="10"/>
                <w:szCs w:val="10"/>
                <w:color w:val="auto"/>
              </w:rPr>
            </w:pPr>
          </w:p>
        </w:tc>
        <w:tc>
          <w:tcPr>
            <w:tcW w:w="1920" w:type="dxa"/>
            <w:vAlign w:val="bottom"/>
            <w:vMerge w:val="continue"/>
            <w:shd w:val="clear" w:color="auto" w:fill="F6F3F0"/>
          </w:tcPr>
          <w:p>
            <w:pPr>
              <w:spacing w:after="0"/>
              <w:rPr>
                <w:sz w:val="10"/>
                <w:szCs w:val="10"/>
                <w:color w:val="auto"/>
              </w:rPr>
            </w:pPr>
          </w:p>
        </w:tc>
        <w:tc>
          <w:tcPr>
            <w:tcW w:w="860" w:type="dxa"/>
            <w:vAlign w:val="bottom"/>
          </w:tcPr>
          <w:p>
            <w:pPr>
              <w:spacing w:after="0"/>
              <w:rPr>
                <w:sz w:val="10"/>
                <w:szCs w:val="10"/>
                <w:color w:val="auto"/>
              </w:rPr>
            </w:pPr>
          </w:p>
        </w:tc>
        <w:tc>
          <w:tcPr>
            <w:tcW w:w="1940" w:type="dxa"/>
            <w:vAlign w:val="bottom"/>
            <w:vMerge w:val="restart"/>
            <w:shd w:val="clear" w:color="auto" w:fill="4995FF"/>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PAYOUT</w:t>
            </w:r>
          </w:p>
        </w:tc>
        <w:tc>
          <w:tcPr>
            <w:tcW w:w="0" w:type="dxa"/>
            <w:vAlign w:val="bottom"/>
          </w:tcPr>
          <w:p>
            <w:pPr>
              <w:spacing w:after="0"/>
              <w:rPr>
                <w:sz w:val="1"/>
                <w:szCs w:val="1"/>
                <w:color w:val="auto"/>
              </w:rPr>
            </w:pPr>
          </w:p>
        </w:tc>
      </w:tr>
      <w:tr>
        <w:trPr>
          <w:trHeight w:val="107"/>
        </w:trPr>
        <w:tc>
          <w:tcPr>
            <w:tcW w:w="1920" w:type="dxa"/>
            <w:vAlign w:val="bottom"/>
            <w:vMerge w:val="continue"/>
            <w:shd w:val="clear" w:color="auto" w:fill="F6F3F0"/>
          </w:tcPr>
          <w:p>
            <w:pPr>
              <w:spacing w:after="0"/>
              <w:rPr>
                <w:sz w:val="9"/>
                <w:szCs w:val="9"/>
                <w:color w:val="auto"/>
              </w:rPr>
            </w:pPr>
          </w:p>
        </w:tc>
        <w:tc>
          <w:tcPr>
            <w:tcW w:w="860" w:type="dxa"/>
            <w:vAlign w:val="bottom"/>
          </w:tcPr>
          <w:p>
            <w:pPr>
              <w:spacing w:after="0"/>
              <w:rPr>
                <w:sz w:val="9"/>
                <w:szCs w:val="9"/>
                <w:color w:val="auto"/>
              </w:rPr>
            </w:pPr>
          </w:p>
        </w:tc>
        <w:tc>
          <w:tcPr>
            <w:tcW w:w="1940" w:type="dxa"/>
            <w:vAlign w:val="bottom"/>
            <w:vMerge w:val="continue"/>
            <w:shd w:val="clear" w:color="auto" w:fill="F6F3F0"/>
          </w:tcPr>
          <w:p>
            <w:pPr>
              <w:spacing w:after="0"/>
              <w:rPr>
                <w:sz w:val="9"/>
                <w:szCs w:val="9"/>
                <w:color w:val="auto"/>
              </w:rPr>
            </w:pPr>
          </w:p>
        </w:tc>
        <w:tc>
          <w:tcPr>
            <w:tcW w:w="860" w:type="dxa"/>
            <w:vAlign w:val="bottom"/>
          </w:tcPr>
          <w:p>
            <w:pPr>
              <w:spacing w:after="0"/>
              <w:rPr>
                <w:sz w:val="9"/>
                <w:szCs w:val="9"/>
                <w:color w:val="auto"/>
              </w:rPr>
            </w:pPr>
          </w:p>
        </w:tc>
        <w:tc>
          <w:tcPr>
            <w:tcW w:w="1920" w:type="dxa"/>
            <w:vAlign w:val="bottom"/>
            <w:vMerge w:val="restart"/>
            <w:shd w:val="clear" w:color="auto" w:fill="F6F3F0"/>
          </w:tcPr>
          <w:p>
            <w:pPr>
              <w:jc w:val="center"/>
              <w:spacing w:after="0"/>
              <w:rPr>
                <w:sz w:val="20"/>
                <w:szCs w:val="20"/>
                <w:color w:val="auto"/>
              </w:rPr>
            </w:pPr>
            <w:r>
              <w:rPr>
                <w:rFonts w:ascii="Times New Roman" w:cs="Times New Roman" w:eastAsia="Times New Roman" w:hAnsi="Times New Roman"/>
                <w:sz w:val="16"/>
                <w:szCs w:val="16"/>
                <w:b w:val="1"/>
                <w:bCs w:val="1"/>
                <w:color w:val="0E1020"/>
              </w:rPr>
              <w:t>MODIFIER</w:t>
            </w:r>
          </w:p>
        </w:tc>
        <w:tc>
          <w:tcPr>
            <w:tcW w:w="860" w:type="dxa"/>
            <w:vAlign w:val="bottom"/>
          </w:tcPr>
          <w:p>
            <w:pPr>
              <w:spacing w:after="0"/>
              <w:rPr>
                <w:sz w:val="9"/>
                <w:szCs w:val="9"/>
                <w:color w:val="auto"/>
              </w:rPr>
            </w:pPr>
          </w:p>
        </w:tc>
        <w:tc>
          <w:tcPr>
            <w:tcW w:w="1940" w:type="dxa"/>
            <w:vAlign w:val="bottom"/>
            <w:vMerge w:val="continue"/>
            <w:shd w:val="clear" w:color="auto" w:fill="4995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920" w:type="dxa"/>
            <w:vAlign w:val="bottom"/>
            <w:shd w:val="clear" w:color="auto" w:fill="F6F3F0"/>
          </w:tcPr>
          <w:p>
            <w:pPr>
              <w:spacing w:after="0"/>
              <w:rPr>
                <w:sz w:val="10"/>
                <w:szCs w:val="10"/>
                <w:color w:val="auto"/>
              </w:rPr>
            </w:pPr>
          </w:p>
        </w:tc>
        <w:tc>
          <w:tcPr>
            <w:tcW w:w="860" w:type="dxa"/>
            <w:vAlign w:val="bottom"/>
          </w:tcPr>
          <w:p>
            <w:pPr>
              <w:spacing w:after="0"/>
              <w:rPr>
                <w:sz w:val="10"/>
                <w:szCs w:val="10"/>
                <w:color w:val="auto"/>
              </w:rPr>
            </w:pPr>
          </w:p>
        </w:tc>
        <w:tc>
          <w:tcPr>
            <w:tcW w:w="1940" w:type="dxa"/>
            <w:vAlign w:val="bottom"/>
            <w:shd w:val="clear" w:color="auto" w:fill="F6F3F0"/>
          </w:tcPr>
          <w:p>
            <w:pPr>
              <w:spacing w:after="0"/>
              <w:rPr>
                <w:sz w:val="10"/>
                <w:szCs w:val="10"/>
                <w:color w:val="auto"/>
              </w:rPr>
            </w:pPr>
          </w:p>
        </w:tc>
        <w:tc>
          <w:tcPr>
            <w:tcW w:w="860" w:type="dxa"/>
            <w:vAlign w:val="bottom"/>
          </w:tcPr>
          <w:p>
            <w:pPr>
              <w:spacing w:after="0"/>
              <w:rPr>
                <w:sz w:val="10"/>
                <w:szCs w:val="10"/>
                <w:color w:val="auto"/>
              </w:rPr>
            </w:pPr>
          </w:p>
        </w:tc>
        <w:tc>
          <w:tcPr>
            <w:tcW w:w="1920" w:type="dxa"/>
            <w:vAlign w:val="bottom"/>
            <w:vMerge w:val="continue"/>
            <w:shd w:val="clear" w:color="auto" w:fill="F6F3F0"/>
          </w:tcPr>
          <w:p>
            <w:pPr>
              <w:spacing w:after="0"/>
              <w:rPr>
                <w:sz w:val="10"/>
                <w:szCs w:val="10"/>
                <w:color w:val="auto"/>
              </w:rPr>
            </w:pPr>
          </w:p>
        </w:tc>
        <w:tc>
          <w:tcPr>
            <w:tcW w:w="860" w:type="dxa"/>
            <w:vAlign w:val="bottom"/>
          </w:tcPr>
          <w:p>
            <w:pPr>
              <w:spacing w:after="0"/>
              <w:rPr>
                <w:sz w:val="10"/>
                <w:szCs w:val="10"/>
                <w:color w:val="auto"/>
              </w:rPr>
            </w:pPr>
          </w:p>
        </w:tc>
        <w:tc>
          <w:tcPr>
            <w:tcW w:w="1940" w:type="dxa"/>
            <w:vAlign w:val="bottom"/>
            <w:shd w:val="clear" w:color="auto" w:fill="4995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920" w:type="dxa"/>
            <w:vAlign w:val="bottom"/>
            <w:shd w:val="clear" w:color="auto" w:fill="F6F3F0"/>
          </w:tcPr>
          <w:p>
            <w:pPr>
              <w:spacing w:after="0"/>
              <w:rPr>
                <w:sz w:val="15"/>
                <w:szCs w:val="15"/>
                <w:color w:val="auto"/>
              </w:rPr>
            </w:pPr>
          </w:p>
        </w:tc>
        <w:tc>
          <w:tcPr>
            <w:tcW w:w="860" w:type="dxa"/>
            <w:vAlign w:val="bottom"/>
          </w:tcPr>
          <w:p>
            <w:pPr>
              <w:spacing w:after="0"/>
              <w:rPr>
                <w:sz w:val="15"/>
                <w:szCs w:val="15"/>
                <w:color w:val="auto"/>
              </w:rPr>
            </w:pPr>
          </w:p>
        </w:tc>
        <w:tc>
          <w:tcPr>
            <w:tcW w:w="1940" w:type="dxa"/>
            <w:vAlign w:val="bottom"/>
            <w:shd w:val="clear" w:color="auto" w:fill="F6F3F0"/>
          </w:tcPr>
          <w:p>
            <w:pPr>
              <w:spacing w:after="0"/>
              <w:rPr>
                <w:sz w:val="15"/>
                <w:szCs w:val="15"/>
                <w:color w:val="auto"/>
              </w:rPr>
            </w:pPr>
          </w:p>
        </w:tc>
        <w:tc>
          <w:tcPr>
            <w:tcW w:w="860" w:type="dxa"/>
            <w:vAlign w:val="bottom"/>
          </w:tcPr>
          <w:p>
            <w:pPr>
              <w:spacing w:after="0"/>
              <w:rPr>
                <w:sz w:val="15"/>
                <w:szCs w:val="15"/>
                <w:color w:val="auto"/>
              </w:rPr>
            </w:pPr>
          </w:p>
        </w:tc>
        <w:tc>
          <w:tcPr>
            <w:tcW w:w="1920" w:type="dxa"/>
            <w:vAlign w:val="bottom"/>
            <w:shd w:val="clear" w:color="auto" w:fill="F6F3F0"/>
          </w:tcPr>
          <w:p>
            <w:pPr>
              <w:spacing w:after="0"/>
              <w:rPr>
                <w:sz w:val="15"/>
                <w:szCs w:val="15"/>
                <w:color w:val="auto"/>
              </w:rPr>
            </w:pPr>
          </w:p>
        </w:tc>
        <w:tc>
          <w:tcPr>
            <w:tcW w:w="860" w:type="dxa"/>
            <w:vAlign w:val="bottom"/>
          </w:tcPr>
          <w:p>
            <w:pPr>
              <w:spacing w:after="0"/>
              <w:rPr>
                <w:sz w:val="15"/>
                <w:szCs w:val="15"/>
                <w:color w:val="auto"/>
              </w:rPr>
            </w:pPr>
          </w:p>
        </w:tc>
        <w:tc>
          <w:tcPr>
            <w:tcW w:w="1940" w:type="dxa"/>
            <w:vAlign w:val="bottom"/>
            <w:shd w:val="clear" w:color="auto" w:fill="4995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1715770</wp:posOffset>
            </wp:positionH>
            <wp:positionV relativeFrom="paragraph">
              <wp:posOffset>-441960</wp:posOffset>
            </wp:positionV>
            <wp:extent cx="170180" cy="17018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70180" cy="170180"/>
                    </a:xfrm>
                    <a:prstGeom prst="rect">
                      <a:avLst/>
                    </a:prstGeom>
                    <a:noFill/>
                  </pic:spPr>
                </pic:pic>
              </a:graphicData>
            </a:graphic>
          </wp:anchor>
        </w:drawing>
        <w:drawing>
          <wp:anchor simplePos="0" relativeHeight="251657728" behindDoc="1" locked="0" layoutInCell="0" allowOverlap="1">
            <wp:simplePos x="0" y="0"/>
            <wp:positionH relativeFrom="column">
              <wp:posOffset>3486150</wp:posOffset>
            </wp:positionH>
            <wp:positionV relativeFrom="paragraph">
              <wp:posOffset>-441960</wp:posOffset>
            </wp:positionV>
            <wp:extent cx="170180" cy="17018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70180" cy="170180"/>
                    </a:xfrm>
                    <a:prstGeom prst="rect">
                      <a:avLst/>
                    </a:prstGeom>
                    <a:noFill/>
                  </pic:spPr>
                </pic:pic>
              </a:graphicData>
            </a:graphic>
          </wp:anchor>
        </w:drawing>
        <w:drawing>
          <wp:anchor simplePos="0" relativeHeight="251657728" behindDoc="1" locked="0" layoutInCell="0" allowOverlap="1">
            <wp:simplePos x="0" y="0"/>
            <wp:positionH relativeFrom="column">
              <wp:posOffset>5256530</wp:posOffset>
            </wp:positionH>
            <wp:positionV relativeFrom="paragraph">
              <wp:posOffset>-441960</wp:posOffset>
            </wp:positionV>
            <wp:extent cx="170180" cy="17018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70180" cy="170180"/>
                    </a:xfrm>
                    <a:prstGeom prst="rect">
                      <a:avLst/>
                    </a:prstGeom>
                    <a:noFill/>
                  </pic:spPr>
                </pic:pic>
              </a:graphicData>
            </a:graphic>
          </wp:anchor>
        </w:drawing>
      </w:r>
    </w:p>
    <w:p>
      <w:pPr>
        <w:spacing w:after="0" w:line="341" w:lineRule="exact"/>
        <w:rPr>
          <w:sz w:val="20"/>
          <w:szCs w:val="20"/>
          <w:color w:val="auto"/>
        </w:rPr>
      </w:pPr>
    </w:p>
    <w:p>
      <w:pPr>
        <w:ind w:right="500"/>
        <w:spacing w:after="0" w:line="318" w:lineRule="auto"/>
        <w:rPr>
          <w:sz w:val="20"/>
          <w:szCs w:val="20"/>
          <w:color w:val="auto"/>
        </w:rPr>
      </w:pPr>
      <w:r>
        <w:rPr>
          <w:rFonts w:ascii="Arial" w:cs="Arial" w:eastAsia="Arial" w:hAnsi="Arial"/>
          <w:sz w:val="16"/>
          <w:szCs w:val="16"/>
          <w:color w:val="0E1020"/>
        </w:rPr>
        <w:t>Although the Compensation Committee discusses the pool funding with the CEO, he is not involved in decisions pertaining to his own compensation or payouts. The Compensation Committee, in alignment with the full Board, determines the CEO’s annual cash incentive.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72</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80" w:name="page81"/>
    <w:bookmarkEnd w:id="80"/>
    <w:p>
      <w:pPr>
        <w:ind w:left="20"/>
        <w:spacing w:after="0"/>
        <w:tabs>
          <w:tab w:leader="none" w:pos="962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Target Opportunities</w:t>
      </w:r>
    </w:p>
    <w:p>
      <w:pPr>
        <w:spacing w:after="0" w:line="84" w:lineRule="exact"/>
        <w:rPr>
          <w:sz w:val="20"/>
          <w:szCs w:val="20"/>
          <w:color w:val="auto"/>
        </w:rPr>
      </w:pPr>
    </w:p>
    <w:p>
      <w:pPr>
        <w:ind w:right="120"/>
        <w:spacing w:after="0" w:line="316" w:lineRule="auto"/>
        <w:rPr>
          <w:sz w:val="20"/>
          <w:szCs w:val="20"/>
          <w:color w:val="auto"/>
        </w:rPr>
      </w:pPr>
      <w:r>
        <w:rPr>
          <w:rFonts w:ascii="Arial" w:cs="Arial" w:eastAsia="Arial" w:hAnsi="Arial"/>
          <w:sz w:val="16"/>
          <w:szCs w:val="16"/>
          <w:color w:val="0E1020"/>
        </w:rPr>
        <w:t>The Compensation Committee determines the target annual cash incentive opportunity available to each NEO by taking the individual’s base salary and multiplying it by the individual’s target incentive percentage. Among other factors, the target incentive percentages are determined with reference to the peer group company percentages of salary and the proportion of total direct compensation represented by the annual cash incentive.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00" w:type="dxa"/>
            <w:vAlign w:val="bottom"/>
            <w:shd w:val="clear" w:color="auto" w:fill="F6F3F0"/>
          </w:tcPr>
          <w:p>
            <w:pPr>
              <w:spacing w:after="0"/>
              <w:rPr>
                <w:sz w:val="20"/>
                <w:szCs w:val="20"/>
                <w:color w:val="auto"/>
              </w:rPr>
            </w:pPr>
          </w:p>
        </w:tc>
        <w:tc>
          <w:tcPr>
            <w:tcW w:w="406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Fiscal 2026 Target Annual Cash Incentive Plan Opportunity</w:t>
            </w:r>
          </w:p>
        </w:tc>
        <w:tc>
          <w:tcPr>
            <w:tcW w:w="3660" w:type="dxa"/>
            <w:vAlign w:val="bottom"/>
            <w:shd w:val="clear" w:color="auto" w:fill="F6F3F0"/>
          </w:tcPr>
          <w:p>
            <w:pPr>
              <w:jc w:val="right"/>
              <w:ind w:right="109"/>
              <w:spacing w:after="0"/>
              <w:rPr>
                <w:sz w:val="20"/>
                <w:szCs w:val="20"/>
                <w:color w:val="auto"/>
              </w:rPr>
            </w:pPr>
            <w:r>
              <w:rPr>
                <w:rFonts w:ascii="Arial" w:cs="Arial" w:eastAsia="Arial" w:hAnsi="Arial"/>
                <w:sz w:val="14"/>
                <w:szCs w:val="14"/>
                <w:b w:val="1"/>
                <w:bCs w:val="1"/>
                <w:color w:val="0E1020"/>
              </w:rPr>
              <w:t>Fiscal 2026 Target Annual Cash Incentive Plan</w:t>
            </w:r>
          </w:p>
        </w:tc>
      </w:tr>
      <w:tr>
        <w:trPr>
          <w:trHeight w:val="174"/>
        </w:trPr>
        <w:tc>
          <w:tcPr>
            <w:tcW w:w="3500" w:type="dxa"/>
            <w:vAlign w:val="bottom"/>
            <w:shd w:val="clear" w:color="auto" w:fill="F6F3F0"/>
          </w:tcPr>
          <w:p>
            <w:pPr>
              <w:spacing w:after="0"/>
              <w:rPr>
                <w:sz w:val="15"/>
                <w:szCs w:val="15"/>
                <w:color w:val="auto"/>
              </w:rPr>
            </w:pPr>
          </w:p>
        </w:tc>
        <w:tc>
          <w:tcPr>
            <w:tcW w:w="406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as a % of Base Salary</w:t>
            </w:r>
          </w:p>
        </w:tc>
        <w:tc>
          <w:tcPr>
            <w:tcW w:w="3660" w:type="dxa"/>
            <w:vAlign w:val="bottom"/>
            <w:shd w:val="clear" w:color="auto" w:fill="F6F3F0"/>
          </w:tcPr>
          <w:p>
            <w:pPr>
              <w:jc w:val="right"/>
              <w:ind w:right="109"/>
              <w:spacing w:after="0"/>
              <w:rPr>
                <w:sz w:val="20"/>
                <w:szCs w:val="20"/>
                <w:color w:val="auto"/>
              </w:rPr>
            </w:pPr>
            <w:r>
              <w:rPr>
                <w:rFonts w:ascii="Arial" w:cs="Arial" w:eastAsia="Arial" w:hAnsi="Arial"/>
                <w:sz w:val="14"/>
                <w:szCs w:val="14"/>
                <w:b w:val="1"/>
                <w:bCs w:val="1"/>
                <w:color w:val="0E1020"/>
              </w:rPr>
              <w:t>Opportunity</w:t>
            </w:r>
          </w:p>
        </w:tc>
      </w:tr>
      <w:tr>
        <w:trPr>
          <w:trHeight w:val="195"/>
        </w:trPr>
        <w:tc>
          <w:tcPr>
            <w:tcW w:w="3500" w:type="dxa"/>
            <w:vAlign w:val="bottom"/>
            <w:shd w:val="clear" w:color="auto" w:fill="F6F3F0"/>
          </w:tcPr>
          <w:p>
            <w:pPr>
              <w:ind w:left="100"/>
              <w:spacing w:after="0"/>
              <w:rPr>
                <w:sz w:val="20"/>
                <w:szCs w:val="20"/>
                <w:color w:val="auto"/>
              </w:rPr>
            </w:pPr>
            <w:r>
              <w:rPr>
                <w:rFonts w:ascii="Arial" w:cs="Arial" w:eastAsia="Arial" w:hAnsi="Arial"/>
                <w:sz w:val="14"/>
                <w:szCs w:val="14"/>
                <w:b w:val="1"/>
                <w:bCs w:val="1"/>
                <w:color w:val="0E1020"/>
              </w:rPr>
              <w:t>NEO</w:t>
            </w:r>
          </w:p>
        </w:tc>
        <w:tc>
          <w:tcPr>
            <w:tcW w:w="406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3660" w:type="dxa"/>
            <w:vAlign w:val="bottom"/>
            <w:shd w:val="clear" w:color="auto" w:fill="F6F3F0"/>
          </w:tcPr>
          <w:p>
            <w:pPr>
              <w:jc w:val="right"/>
              <w:ind w:right="109"/>
              <w:spacing w:after="0"/>
              <w:rPr>
                <w:sz w:val="20"/>
                <w:szCs w:val="20"/>
                <w:color w:val="auto"/>
              </w:rPr>
            </w:pPr>
            <w:r>
              <w:rPr>
                <w:rFonts w:ascii="Arial" w:cs="Arial" w:eastAsia="Arial" w:hAnsi="Arial"/>
                <w:sz w:val="14"/>
                <w:szCs w:val="14"/>
                <w:b w:val="1"/>
                <w:bCs w:val="1"/>
                <w:color w:val="0E1020"/>
              </w:rPr>
              <w:t>($)</w:t>
            </w:r>
          </w:p>
        </w:tc>
      </w:tr>
      <w:tr>
        <w:trPr>
          <w:trHeight w:val="69"/>
        </w:trPr>
        <w:tc>
          <w:tcPr>
            <w:tcW w:w="3500" w:type="dxa"/>
            <w:vAlign w:val="bottom"/>
            <w:tcBorders>
              <w:bottom w:val="single" w:sz="8" w:color="CFCFD2"/>
            </w:tcBorders>
            <w:shd w:val="clear" w:color="auto" w:fill="F6F3F0"/>
          </w:tcPr>
          <w:p>
            <w:pPr>
              <w:spacing w:after="0"/>
              <w:rPr>
                <w:sz w:val="5"/>
                <w:szCs w:val="5"/>
                <w:color w:val="auto"/>
              </w:rPr>
            </w:pPr>
          </w:p>
        </w:tc>
        <w:tc>
          <w:tcPr>
            <w:tcW w:w="4060" w:type="dxa"/>
            <w:vAlign w:val="bottom"/>
            <w:tcBorders>
              <w:bottom w:val="single" w:sz="8" w:color="CFCFD2"/>
            </w:tcBorders>
            <w:shd w:val="clear" w:color="auto" w:fill="F6F3F0"/>
          </w:tcPr>
          <w:p>
            <w:pPr>
              <w:spacing w:after="0"/>
              <w:rPr>
                <w:sz w:val="5"/>
                <w:szCs w:val="5"/>
                <w:color w:val="auto"/>
              </w:rPr>
            </w:pPr>
          </w:p>
        </w:tc>
        <w:tc>
          <w:tcPr>
            <w:tcW w:w="3660" w:type="dxa"/>
            <w:vAlign w:val="bottom"/>
            <w:tcBorders>
              <w:bottom w:val="single" w:sz="8" w:color="CFCFD2"/>
            </w:tcBorders>
            <w:shd w:val="clear" w:color="auto" w:fill="F6F3F0"/>
          </w:tcPr>
          <w:p>
            <w:pPr>
              <w:spacing w:after="0"/>
              <w:rPr>
                <w:sz w:val="5"/>
                <w:szCs w:val="5"/>
                <w:color w:val="auto"/>
              </w:rPr>
            </w:pPr>
          </w:p>
        </w:tc>
      </w:tr>
      <w:tr>
        <w:trPr>
          <w:trHeight w:val="215"/>
        </w:trPr>
        <w:tc>
          <w:tcPr>
            <w:tcW w:w="350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Raul J. Fernandez</w:t>
            </w:r>
          </w:p>
        </w:tc>
        <w:tc>
          <w:tcPr>
            <w:tcW w:w="406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250%</w:t>
            </w:r>
          </w:p>
        </w:tc>
        <w:tc>
          <w:tcPr>
            <w:tcW w:w="3660" w:type="dxa"/>
            <w:vAlign w:val="bottom"/>
            <w:tcBorders>
              <w:bottom w:val="single" w:sz="8" w:color="CFCFD2"/>
            </w:tcBorders>
          </w:tcPr>
          <w:p>
            <w:pPr>
              <w:jc w:val="right"/>
              <w:ind w:right="109"/>
              <w:spacing w:after="0"/>
              <w:rPr>
                <w:sz w:val="20"/>
                <w:szCs w:val="20"/>
                <w:color w:val="auto"/>
              </w:rPr>
            </w:pPr>
            <w:r>
              <w:rPr>
                <w:rFonts w:ascii="Arial" w:cs="Arial" w:eastAsia="Arial" w:hAnsi="Arial"/>
                <w:sz w:val="14"/>
                <w:szCs w:val="14"/>
                <w:color w:val="0E1020"/>
              </w:rPr>
              <w:t>3,750,000</w:t>
            </w:r>
          </w:p>
        </w:tc>
      </w:tr>
      <w:tr>
        <w:trPr>
          <w:trHeight w:val="221"/>
        </w:trPr>
        <w:tc>
          <w:tcPr>
            <w:tcW w:w="350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Robert Del Bene</w:t>
            </w:r>
          </w:p>
        </w:tc>
        <w:tc>
          <w:tcPr>
            <w:tcW w:w="406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135%</w:t>
            </w:r>
          </w:p>
        </w:tc>
        <w:tc>
          <w:tcPr>
            <w:tcW w:w="3660" w:type="dxa"/>
            <w:vAlign w:val="bottom"/>
            <w:tcBorders>
              <w:bottom w:val="single" w:sz="8" w:color="CFCFD2"/>
            </w:tcBorders>
          </w:tcPr>
          <w:p>
            <w:pPr>
              <w:jc w:val="right"/>
              <w:ind w:right="109"/>
              <w:spacing w:after="0"/>
              <w:rPr>
                <w:sz w:val="20"/>
                <w:szCs w:val="20"/>
                <w:color w:val="auto"/>
              </w:rPr>
            </w:pPr>
            <w:r>
              <w:rPr>
                <w:rFonts w:ascii="Arial" w:cs="Arial" w:eastAsia="Arial" w:hAnsi="Arial"/>
                <w:sz w:val="14"/>
                <w:szCs w:val="14"/>
                <w:color w:val="0E1020"/>
              </w:rPr>
              <w:t>1,080,000</w:t>
            </w:r>
          </w:p>
        </w:tc>
      </w:tr>
      <w:tr>
        <w:trPr>
          <w:trHeight w:val="221"/>
        </w:trPr>
        <w:tc>
          <w:tcPr>
            <w:tcW w:w="350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Christopher Drumgoole</w:t>
            </w:r>
          </w:p>
        </w:tc>
        <w:tc>
          <w:tcPr>
            <w:tcW w:w="406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135%</w:t>
            </w:r>
          </w:p>
        </w:tc>
        <w:tc>
          <w:tcPr>
            <w:tcW w:w="3660" w:type="dxa"/>
            <w:vAlign w:val="bottom"/>
            <w:tcBorders>
              <w:bottom w:val="single" w:sz="8" w:color="CFCFD2"/>
            </w:tcBorders>
          </w:tcPr>
          <w:p>
            <w:pPr>
              <w:jc w:val="right"/>
              <w:ind w:right="109"/>
              <w:spacing w:after="0"/>
              <w:rPr>
                <w:sz w:val="20"/>
                <w:szCs w:val="20"/>
                <w:color w:val="auto"/>
              </w:rPr>
            </w:pPr>
            <w:r>
              <w:rPr>
                <w:rFonts w:ascii="Arial" w:cs="Arial" w:eastAsia="Arial" w:hAnsi="Arial"/>
                <w:sz w:val="14"/>
                <w:szCs w:val="14"/>
                <w:color w:val="0E1020"/>
              </w:rPr>
              <w:t>1,080,000</w:t>
            </w:r>
          </w:p>
        </w:tc>
      </w:tr>
      <w:tr>
        <w:trPr>
          <w:trHeight w:val="221"/>
        </w:trPr>
        <w:tc>
          <w:tcPr>
            <w:tcW w:w="350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Raymond A. August</w:t>
            </w:r>
          </w:p>
        </w:tc>
        <w:tc>
          <w:tcPr>
            <w:tcW w:w="406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115%</w:t>
            </w:r>
          </w:p>
        </w:tc>
        <w:tc>
          <w:tcPr>
            <w:tcW w:w="3660" w:type="dxa"/>
            <w:vAlign w:val="bottom"/>
            <w:tcBorders>
              <w:bottom w:val="single" w:sz="8" w:color="CFCFD2"/>
            </w:tcBorders>
          </w:tcPr>
          <w:p>
            <w:pPr>
              <w:jc w:val="right"/>
              <w:ind w:right="109"/>
              <w:spacing w:after="0"/>
              <w:rPr>
                <w:sz w:val="20"/>
                <w:szCs w:val="20"/>
                <w:color w:val="auto"/>
              </w:rPr>
            </w:pPr>
            <w:r>
              <w:rPr>
                <w:rFonts w:ascii="Arial" w:cs="Arial" w:eastAsia="Arial" w:hAnsi="Arial"/>
                <w:sz w:val="14"/>
                <w:szCs w:val="14"/>
                <w:color w:val="0E1020"/>
              </w:rPr>
              <w:t>805,000</w:t>
            </w:r>
          </w:p>
        </w:tc>
      </w:tr>
      <w:tr>
        <w:trPr>
          <w:trHeight w:val="221"/>
        </w:trPr>
        <w:tc>
          <w:tcPr>
            <w:tcW w:w="350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Matthew K. Fawcett</w:t>
            </w:r>
          </w:p>
        </w:tc>
        <w:tc>
          <w:tcPr>
            <w:tcW w:w="406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110%</w:t>
            </w:r>
          </w:p>
        </w:tc>
        <w:tc>
          <w:tcPr>
            <w:tcW w:w="3660" w:type="dxa"/>
            <w:vAlign w:val="bottom"/>
            <w:tcBorders>
              <w:bottom w:val="single" w:sz="8" w:color="CFCFD2"/>
            </w:tcBorders>
          </w:tcPr>
          <w:p>
            <w:pPr>
              <w:jc w:val="right"/>
              <w:ind w:right="109"/>
              <w:spacing w:after="0"/>
              <w:rPr>
                <w:sz w:val="20"/>
                <w:szCs w:val="20"/>
                <w:color w:val="auto"/>
              </w:rPr>
            </w:pPr>
            <w:r>
              <w:rPr>
                <w:rFonts w:ascii="Arial" w:cs="Arial" w:eastAsia="Arial" w:hAnsi="Arial"/>
                <w:sz w:val="14"/>
                <w:szCs w:val="14"/>
                <w:color w:val="0E1020"/>
              </w:rPr>
              <w:t>742,500</w:t>
            </w:r>
          </w:p>
        </w:tc>
      </w:tr>
      <w:tr>
        <w:trPr>
          <w:trHeight w:val="228"/>
        </w:trPr>
        <w:tc>
          <w:tcPr>
            <w:tcW w:w="350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Howard Boville</w:t>
            </w:r>
            <w:r>
              <w:rPr>
                <w:rFonts w:ascii="Arial" w:cs="Arial" w:eastAsia="Arial" w:hAnsi="Arial"/>
                <w:sz w:val="18"/>
                <w:szCs w:val="18"/>
                <w:b w:val="1"/>
                <w:bCs w:val="1"/>
                <w:color w:val="004AAC"/>
                <w:vertAlign w:val="superscript"/>
              </w:rPr>
              <w:t>(1)</w:t>
            </w:r>
          </w:p>
        </w:tc>
        <w:tc>
          <w:tcPr>
            <w:tcW w:w="406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135%</w:t>
            </w:r>
          </w:p>
        </w:tc>
        <w:tc>
          <w:tcPr>
            <w:tcW w:w="3660" w:type="dxa"/>
            <w:vAlign w:val="bottom"/>
            <w:tcBorders>
              <w:bottom w:val="single" w:sz="8" w:color="CFCFD2"/>
            </w:tcBorders>
          </w:tcPr>
          <w:p>
            <w:pPr>
              <w:jc w:val="right"/>
              <w:ind w:right="109"/>
              <w:spacing w:after="0"/>
              <w:rPr>
                <w:sz w:val="20"/>
                <w:szCs w:val="20"/>
                <w:color w:val="auto"/>
              </w:rPr>
            </w:pPr>
            <w:r>
              <w:rPr>
                <w:rFonts w:ascii="Arial" w:cs="Arial" w:eastAsia="Arial" w:hAnsi="Arial"/>
                <w:sz w:val="14"/>
                <w:szCs w:val="14"/>
                <w:color w:val="0E1020"/>
              </w:rPr>
              <w:t>1,350,000</w:t>
            </w:r>
          </w:p>
        </w:tc>
      </w:tr>
    </w:tbl>
    <w:p>
      <w:pPr>
        <w:spacing w:after="0" w:line="178" w:lineRule="exact"/>
        <w:rPr>
          <w:sz w:val="20"/>
          <w:szCs w:val="20"/>
          <w:color w:val="auto"/>
        </w:rPr>
      </w:pPr>
    </w:p>
    <w:p>
      <w:pPr>
        <w:ind w:left="500" w:hanging="332"/>
        <w:spacing w:after="0"/>
        <w:tabs>
          <w:tab w:leader="none" w:pos="500" w:val="left"/>
        </w:tabs>
        <w:numPr>
          <w:ilvl w:val="0"/>
          <w:numId w:val="74"/>
        </w:numPr>
        <w:rPr>
          <w:rFonts w:ascii="Arial" w:cs="Arial" w:eastAsia="Arial" w:hAnsi="Arial"/>
          <w:sz w:val="14"/>
          <w:szCs w:val="14"/>
          <w:color w:val="0E1020"/>
        </w:rPr>
      </w:pPr>
      <w:r>
        <w:rPr>
          <w:rFonts w:ascii="Arial" w:cs="Arial" w:eastAsia="Arial" w:hAnsi="Arial"/>
          <w:sz w:val="14"/>
          <w:szCs w:val="14"/>
          <w:color w:val="0E1020"/>
        </w:rPr>
        <w:t>Mr. Boville left DXC during fiscal 2026 (July 2025).</w:t>
      </w:r>
    </w:p>
    <w:p>
      <w:pPr>
        <w:spacing w:after="0" w:line="196"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0E1020"/>
        </w:rPr>
        <w:t>As part of its retention strategy, effective April 1, 2025 (the first day of DXC’s fiscal 2026), the Compensation Committee approved increases to Mr. Fernandez’s target annual cash incentive opportunity from 200% of base salary to 250% of base salary and to Mr. Del Bene’s target annual cash incentive opportunity from 125% of base salary to 135% of base salary, respectively. For the other NEOs, the Compensation Committee determined not to change any of the target annual cash incentive percentages in fiscal 2026.</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Achievement of Financial Metrics</w:t>
      </w:r>
    </w:p>
    <w:p>
      <w:pPr>
        <w:spacing w:after="0" w:line="98" w:lineRule="exact"/>
        <w:rPr>
          <w:sz w:val="20"/>
          <w:szCs w:val="20"/>
          <w:color w:val="auto"/>
        </w:rPr>
      </w:pPr>
    </w:p>
    <w:p>
      <w:pPr>
        <w:ind w:right="380"/>
        <w:spacing w:after="0" w:line="335" w:lineRule="auto"/>
        <w:rPr>
          <w:sz w:val="20"/>
          <w:szCs w:val="20"/>
          <w:color w:val="auto"/>
        </w:rPr>
      </w:pPr>
      <w:r>
        <w:rPr>
          <w:rFonts w:ascii="Arial" w:cs="Arial" w:eastAsia="Arial" w:hAnsi="Arial"/>
          <w:sz w:val="16"/>
          <w:szCs w:val="16"/>
          <w:color w:val="0E1020"/>
        </w:rPr>
        <w:t>The Compensation Committee verifies achievement relative to the targets for Organic Revenue Growth % and Adjusted EBIT Margin % to determine the respective performance levels, and then translates those performance levels to pool funding levels.</w:t>
      </w:r>
    </w:p>
    <w:p>
      <w:pPr>
        <w:spacing w:after="0" w:line="23" w:lineRule="exact"/>
        <w:rPr>
          <w:sz w:val="20"/>
          <w:szCs w:val="20"/>
          <w:color w:val="auto"/>
        </w:rPr>
      </w:pPr>
    </w:p>
    <w:p>
      <w:pPr>
        <w:ind w:right="280"/>
        <w:spacing w:after="0" w:line="335" w:lineRule="auto"/>
        <w:rPr>
          <w:sz w:val="20"/>
          <w:szCs w:val="20"/>
          <w:color w:val="auto"/>
        </w:rPr>
      </w:pPr>
      <w:r>
        <w:rPr>
          <w:rFonts w:ascii="Arial" w:cs="Arial" w:eastAsia="Arial" w:hAnsi="Arial"/>
          <w:sz w:val="16"/>
          <w:szCs w:val="16"/>
          <w:color w:val="0E1020"/>
        </w:rPr>
        <w:t>The Compensation Committee set the performance targets at levels that it considered rigorous and challenging, that required substantial effort to achieve, and that considered the relevant risks and degree of difficulty. The targets for the annual incentive compensation program are below.</w:t>
      </w:r>
    </w:p>
    <w:p>
      <w:pPr>
        <w:spacing w:after="0" w:line="23" w:lineRule="exact"/>
        <w:rPr>
          <w:sz w:val="20"/>
          <w:szCs w:val="20"/>
          <w:color w:val="auto"/>
        </w:rPr>
      </w:pPr>
    </w:p>
    <w:p>
      <w:pPr>
        <w:ind w:right="60"/>
        <w:spacing w:after="0" w:line="316" w:lineRule="auto"/>
        <w:rPr>
          <w:sz w:val="20"/>
          <w:szCs w:val="20"/>
          <w:color w:val="auto"/>
        </w:rPr>
      </w:pPr>
      <w:r>
        <w:rPr>
          <w:rFonts w:ascii="Arial" w:cs="Arial" w:eastAsia="Arial" w:hAnsi="Arial"/>
          <w:sz w:val="16"/>
          <w:szCs w:val="16"/>
          <w:color w:val="0E1020"/>
        </w:rPr>
        <w:t>The Company’s achievement for Adjusted EBIT Margin % resulted in 83% funding for the metric and achievement for Organic Revenue Growth % resulted in 72% funding for the metric, which were both below target performance, but above threshold, resulting in a rounded calculated payout of 77% of target, also demonstrating the alignment between pay and performance.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60" w:type="dxa"/>
            <w:vAlign w:val="bottom"/>
            <w:shd w:val="clear" w:color="auto" w:fill="F6F3F0"/>
          </w:tcPr>
          <w:p>
            <w:pPr>
              <w:spacing w:after="0"/>
              <w:rPr>
                <w:sz w:val="21"/>
                <w:szCs w:val="21"/>
                <w:color w:val="auto"/>
              </w:rPr>
            </w:pPr>
          </w:p>
        </w:tc>
        <w:tc>
          <w:tcPr>
            <w:tcW w:w="1520" w:type="dxa"/>
            <w:vAlign w:val="bottom"/>
            <w:vMerge w:val="restart"/>
            <w:shd w:val="clear" w:color="auto" w:fill="F6F3F0"/>
          </w:tcPr>
          <w:p>
            <w:pPr>
              <w:jc w:val="right"/>
              <w:spacing w:after="0"/>
              <w:rPr>
                <w:sz w:val="20"/>
                <w:szCs w:val="20"/>
                <w:color w:val="auto"/>
              </w:rPr>
            </w:pPr>
            <w:r>
              <w:rPr>
                <w:rFonts w:ascii="Arial" w:cs="Arial" w:eastAsia="Arial" w:hAnsi="Arial"/>
                <w:sz w:val="14"/>
                <w:szCs w:val="14"/>
                <w:b w:val="1"/>
                <w:bCs w:val="1"/>
                <w:color w:val="0E1020"/>
              </w:rPr>
              <w:t>Relative Weighting</w:t>
            </w:r>
          </w:p>
        </w:tc>
        <w:tc>
          <w:tcPr>
            <w:tcW w:w="2040" w:type="dxa"/>
            <w:vAlign w:val="bottom"/>
            <w:vMerge w:val="restart"/>
            <w:shd w:val="clear" w:color="auto" w:fill="F6F3F0"/>
          </w:tcPr>
          <w:p>
            <w:pPr>
              <w:jc w:val="right"/>
              <w:ind w:right="469"/>
              <w:spacing w:after="0"/>
              <w:rPr>
                <w:sz w:val="20"/>
                <w:szCs w:val="20"/>
                <w:color w:val="auto"/>
              </w:rPr>
            </w:pPr>
            <w:r>
              <w:rPr>
                <w:rFonts w:ascii="Arial" w:cs="Arial" w:eastAsia="Arial" w:hAnsi="Arial"/>
                <w:sz w:val="14"/>
                <w:szCs w:val="14"/>
                <w:b w:val="1"/>
                <w:bCs w:val="1"/>
                <w:color w:val="0E1020"/>
              </w:rPr>
              <w:t>Target</w:t>
            </w:r>
          </w:p>
        </w:tc>
        <w:tc>
          <w:tcPr>
            <w:tcW w:w="1300" w:type="dxa"/>
            <w:vAlign w:val="bottom"/>
            <w:shd w:val="clear" w:color="auto" w:fill="F6F3F0"/>
          </w:tcPr>
          <w:p>
            <w:pPr>
              <w:jc w:val="right"/>
              <w:ind w:right="249"/>
              <w:spacing w:after="0"/>
              <w:rPr>
                <w:sz w:val="20"/>
                <w:szCs w:val="20"/>
                <w:color w:val="auto"/>
              </w:rPr>
            </w:pPr>
            <w:r>
              <w:rPr>
                <w:rFonts w:ascii="Arial" w:cs="Arial" w:eastAsia="Arial" w:hAnsi="Arial"/>
                <w:sz w:val="14"/>
                <w:szCs w:val="14"/>
                <w:b w:val="1"/>
                <w:bCs w:val="1"/>
                <w:color w:val="0E1020"/>
              </w:rPr>
              <w:t>Actual</w:t>
            </w:r>
          </w:p>
        </w:tc>
        <w:tc>
          <w:tcPr>
            <w:tcW w:w="1260" w:type="dxa"/>
            <w:vAlign w:val="bottom"/>
            <w:vMerge w:val="restart"/>
            <w:shd w:val="clear" w:color="auto" w:fill="F6F3F0"/>
          </w:tcPr>
          <w:p>
            <w:pPr>
              <w:jc w:val="right"/>
              <w:spacing w:after="0"/>
              <w:rPr>
                <w:sz w:val="20"/>
                <w:szCs w:val="20"/>
                <w:color w:val="auto"/>
              </w:rPr>
            </w:pPr>
            <w:r>
              <w:rPr>
                <w:rFonts w:ascii="Arial" w:cs="Arial" w:eastAsia="Arial" w:hAnsi="Arial"/>
                <w:sz w:val="14"/>
                <w:szCs w:val="14"/>
                <w:b w:val="1"/>
                <w:bCs w:val="1"/>
                <w:color w:val="0E1020"/>
              </w:rPr>
              <w:t>Funding</w:t>
            </w:r>
          </w:p>
        </w:tc>
        <w:tc>
          <w:tcPr>
            <w:tcW w:w="1640" w:type="dxa"/>
            <w:vAlign w:val="bottom"/>
            <w:shd w:val="clear" w:color="auto" w:fill="F6F3F0"/>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3460" w:type="dxa"/>
            <w:vAlign w:val="bottom"/>
            <w:shd w:val="clear" w:color="auto" w:fill="F6F3F0"/>
          </w:tcPr>
          <w:p>
            <w:pPr>
              <w:spacing w:after="0"/>
              <w:rPr>
                <w:sz w:val="13"/>
                <w:szCs w:val="13"/>
                <w:color w:val="auto"/>
              </w:rPr>
            </w:pPr>
          </w:p>
        </w:tc>
        <w:tc>
          <w:tcPr>
            <w:tcW w:w="1520" w:type="dxa"/>
            <w:vAlign w:val="bottom"/>
            <w:vMerge w:val="continue"/>
            <w:shd w:val="clear" w:color="auto" w:fill="F6F3F0"/>
          </w:tcPr>
          <w:p>
            <w:pPr>
              <w:spacing w:after="0"/>
              <w:rPr>
                <w:sz w:val="13"/>
                <w:szCs w:val="13"/>
                <w:color w:val="auto"/>
              </w:rPr>
            </w:pPr>
          </w:p>
        </w:tc>
        <w:tc>
          <w:tcPr>
            <w:tcW w:w="2040" w:type="dxa"/>
            <w:vAlign w:val="bottom"/>
            <w:vMerge w:val="continue"/>
            <w:shd w:val="clear" w:color="auto" w:fill="F6F3F0"/>
          </w:tcPr>
          <w:p>
            <w:pPr>
              <w:spacing w:after="0"/>
              <w:rPr>
                <w:sz w:val="13"/>
                <w:szCs w:val="13"/>
                <w:color w:val="auto"/>
              </w:rPr>
            </w:pPr>
          </w:p>
        </w:tc>
        <w:tc>
          <w:tcPr>
            <w:tcW w:w="1300" w:type="dxa"/>
            <w:vAlign w:val="bottom"/>
            <w:shd w:val="clear" w:color="auto" w:fill="F6F3F0"/>
          </w:tcPr>
          <w:p>
            <w:pPr>
              <w:jc w:val="right"/>
              <w:ind w:right="249"/>
              <w:spacing w:after="0"/>
              <w:rPr>
                <w:sz w:val="20"/>
                <w:szCs w:val="20"/>
                <w:color w:val="auto"/>
              </w:rPr>
            </w:pPr>
            <w:r>
              <w:rPr>
                <w:rFonts w:ascii="Arial" w:cs="Arial" w:eastAsia="Arial" w:hAnsi="Arial"/>
                <w:sz w:val="14"/>
                <w:szCs w:val="14"/>
                <w:b w:val="1"/>
                <w:bCs w:val="1"/>
                <w:color w:val="0E1020"/>
              </w:rPr>
              <w:t>Result</w:t>
            </w:r>
          </w:p>
        </w:tc>
        <w:tc>
          <w:tcPr>
            <w:tcW w:w="1260" w:type="dxa"/>
            <w:vAlign w:val="bottom"/>
            <w:vMerge w:val="continue"/>
            <w:shd w:val="clear" w:color="auto" w:fill="F6F3F0"/>
          </w:tcPr>
          <w:p>
            <w:pPr>
              <w:spacing w:after="0"/>
              <w:rPr>
                <w:sz w:val="13"/>
                <w:szCs w:val="13"/>
                <w:color w:val="auto"/>
              </w:rPr>
            </w:pPr>
          </w:p>
        </w:tc>
        <w:tc>
          <w:tcPr>
            <w:tcW w:w="1640" w:type="dxa"/>
            <w:vAlign w:val="bottom"/>
            <w:shd w:val="clear" w:color="auto" w:fill="F6F3F0"/>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3460" w:type="dxa"/>
            <w:vAlign w:val="bottom"/>
            <w:tcBorders>
              <w:bottom w:val="single" w:sz="8" w:color="F6F3F0"/>
            </w:tcBorders>
            <w:shd w:val="clear" w:color="auto" w:fill="F6F3F0"/>
          </w:tcPr>
          <w:p>
            <w:pPr>
              <w:ind w:left="100"/>
              <w:spacing w:after="0"/>
              <w:rPr>
                <w:sz w:val="20"/>
                <w:szCs w:val="20"/>
                <w:color w:val="auto"/>
              </w:rPr>
            </w:pPr>
            <w:r>
              <w:rPr>
                <w:rFonts w:ascii="Arial" w:cs="Arial" w:eastAsia="Arial" w:hAnsi="Arial"/>
                <w:sz w:val="14"/>
                <w:szCs w:val="14"/>
                <w:b w:val="1"/>
                <w:bCs w:val="1"/>
                <w:color w:val="0E1020"/>
              </w:rPr>
              <w:t>Performance Metric</w:t>
            </w:r>
          </w:p>
        </w:tc>
        <w:tc>
          <w:tcPr>
            <w:tcW w:w="152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2040" w:type="dxa"/>
            <w:vAlign w:val="bottom"/>
            <w:tcBorders>
              <w:bottom w:val="single" w:sz="8" w:color="F6F3F0"/>
            </w:tcBorders>
            <w:shd w:val="clear" w:color="auto" w:fill="F6F3F0"/>
          </w:tcPr>
          <w:p>
            <w:pPr>
              <w:jc w:val="right"/>
              <w:ind w:right="469"/>
              <w:spacing w:after="0"/>
              <w:rPr>
                <w:sz w:val="20"/>
                <w:szCs w:val="20"/>
                <w:color w:val="auto"/>
              </w:rPr>
            </w:pPr>
            <w:r>
              <w:rPr>
                <w:rFonts w:ascii="Arial" w:cs="Arial" w:eastAsia="Arial" w:hAnsi="Arial"/>
                <w:sz w:val="14"/>
                <w:szCs w:val="14"/>
                <w:b w:val="1"/>
                <w:bCs w:val="1"/>
                <w:color w:val="0E1020"/>
              </w:rPr>
              <w:t>(%)</w:t>
            </w:r>
          </w:p>
        </w:tc>
        <w:tc>
          <w:tcPr>
            <w:tcW w:w="1300" w:type="dxa"/>
            <w:vAlign w:val="bottom"/>
            <w:tcBorders>
              <w:bottom w:val="single" w:sz="8" w:color="F6F3F0"/>
            </w:tcBorders>
            <w:shd w:val="clear" w:color="auto" w:fill="F6F3F0"/>
          </w:tcPr>
          <w:p>
            <w:pPr>
              <w:jc w:val="right"/>
              <w:ind w:right="249"/>
              <w:spacing w:after="0"/>
              <w:rPr>
                <w:sz w:val="20"/>
                <w:szCs w:val="20"/>
                <w:color w:val="auto"/>
              </w:rPr>
            </w:pPr>
            <w:r>
              <w:rPr>
                <w:rFonts w:ascii="Arial" w:cs="Arial" w:eastAsia="Arial" w:hAnsi="Arial"/>
                <w:sz w:val="14"/>
                <w:szCs w:val="14"/>
                <w:b w:val="1"/>
                <w:bCs w:val="1"/>
                <w:color w:val="0E1020"/>
              </w:rPr>
              <w:t>(%)</w:t>
            </w:r>
          </w:p>
        </w:tc>
        <w:tc>
          <w:tcPr>
            <w:tcW w:w="126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4"/>
                <w:szCs w:val="14"/>
                <w:b w:val="1"/>
                <w:bCs w:val="1"/>
                <w:color w:val="0E1020"/>
              </w:rPr>
              <w:t>(% of Target)</w:t>
            </w:r>
          </w:p>
        </w:tc>
        <w:tc>
          <w:tcPr>
            <w:tcW w:w="1640" w:type="dxa"/>
            <w:vAlign w:val="bottom"/>
            <w:tcBorders>
              <w:bottom w:val="single" w:sz="8" w:color="F6F3F0"/>
            </w:tcBorders>
            <w:shd w:val="clear" w:color="auto" w:fill="F6F3F0"/>
          </w:tcPr>
          <w:p>
            <w:pPr>
              <w:jc w:val="right"/>
              <w:ind w:right="109"/>
              <w:spacing w:after="0"/>
              <w:rPr>
                <w:sz w:val="20"/>
                <w:szCs w:val="20"/>
                <w:color w:val="auto"/>
              </w:rPr>
            </w:pPr>
            <w:r>
              <w:rPr>
                <w:rFonts w:ascii="Arial" w:cs="Arial" w:eastAsia="Arial" w:hAnsi="Arial"/>
                <w:sz w:val="14"/>
                <w:szCs w:val="14"/>
                <w:b w:val="1"/>
                <w:bCs w:val="1"/>
                <w:color w:val="0E1020"/>
              </w:rPr>
              <w:t>Weighted Funding %</w:t>
            </w:r>
          </w:p>
        </w:tc>
        <w:tc>
          <w:tcPr>
            <w:tcW w:w="0" w:type="dxa"/>
            <w:vAlign w:val="bottom"/>
          </w:tcPr>
          <w:p>
            <w:pPr>
              <w:spacing w:after="0"/>
              <w:rPr>
                <w:sz w:val="1"/>
                <w:szCs w:val="1"/>
                <w:color w:val="auto"/>
              </w:rPr>
            </w:pPr>
          </w:p>
        </w:tc>
      </w:tr>
      <w:tr>
        <w:trPr>
          <w:trHeight w:val="200"/>
        </w:trPr>
        <w:tc>
          <w:tcPr>
            <w:tcW w:w="3460" w:type="dxa"/>
            <w:vAlign w:val="bottom"/>
            <w:tcBorders>
              <w:top w:val="single" w:sz="8" w:color="CFCFD2"/>
            </w:tcBorders>
          </w:tcPr>
          <w:p>
            <w:pPr>
              <w:ind w:left="100"/>
              <w:spacing w:after="0"/>
              <w:rPr>
                <w:sz w:val="20"/>
                <w:szCs w:val="20"/>
                <w:color w:val="auto"/>
              </w:rPr>
            </w:pPr>
            <w:r>
              <w:rPr>
                <w:rFonts w:ascii="Arial" w:cs="Arial" w:eastAsia="Arial" w:hAnsi="Arial"/>
                <w:sz w:val="14"/>
                <w:szCs w:val="14"/>
                <w:color w:val="0E1020"/>
              </w:rPr>
              <w:t>Organic Revenue Growth %</w:t>
            </w:r>
            <w:r>
              <w:rPr>
                <w:rFonts w:ascii="Arial" w:cs="Arial" w:eastAsia="Arial" w:hAnsi="Arial"/>
                <w:sz w:val="9"/>
                <w:szCs w:val="9"/>
                <w:color w:val="0E1020"/>
              </w:rPr>
              <w:t>(1)</w:t>
            </w:r>
          </w:p>
        </w:tc>
        <w:tc>
          <w:tcPr>
            <w:tcW w:w="1520" w:type="dxa"/>
            <w:vAlign w:val="bottom"/>
            <w:tcBorders>
              <w:top w:val="single" w:sz="8" w:color="CFCFD2"/>
            </w:tcBorders>
          </w:tcPr>
          <w:p>
            <w:pPr>
              <w:jc w:val="right"/>
              <w:spacing w:after="0"/>
              <w:rPr>
                <w:sz w:val="20"/>
                <w:szCs w:val="20"/>
                <w:color w:val="auto"/>
              </w:rPr>
            </w:pPr>
            <w:r>
              <w:rPr>
                <w:rFonts w:ascii="Arial" w:cs="Arial" w:eastAsia="Arial" w:hAnsi="Arial"/>
                <w:sz w:val="14"/>
                <w:szCs w:val="14"/>
                <w:color w:val="0E1020"/>
              </w:rPr>
              <w:t>50%</w:t>
            </w:r>
          </w:p>
        </w:tc>
        <w:tc>
          <w:tcPr>
            <w:tcW w:w="2040" w:type="dxa"/>
            <w:vAlign w:val="bottom"/>
            <w:tcBorders>
              <w:top w:val="single" w:sz="8" w:color="CFCFD2"/>
            </w:tcBorders>
          </w:tcPr>
          <w:p>
            <w:pPr>
              <w:jc w:val="right"/>
              <w:ind w:right="469"/>
              <w:spacing w:after="0"/>
              <w:rPr>
                <w:sz w:val="20"/>
                <w:szCs w:val="20"/>
                <w:color w:val="auto"/>
              </w:rPr>
            </w:pPr>
            <w:r>
              <w:rPr>
                <w:rFonts w:ascii="Arial" w:cs="Arial" w:eastAsia="Arial" w:hAnsi="Arial"/>
                <w:sz w:val="14"/>
                <w:szCs w:val="14"/>
                <w:color w:val="0E1020"/>
              </w:rPr>
              <w:t>(2.0%)</w:t>
            </w:r>
          </w:p>
        </w:tc>
        <w:tc>
          <w:tcPr>
            <w:tcW w:w="1300" w:type="dxa"/>
            <w:vAlign w:val="bottom"/>
            <w:tcBorders>
              <w:top w:val="single" w:sz="8" w:color="CFCFD2"/>
            </w:tcBorders>
          </w:tcPr>
          <w:p>
            <w:pPr>
              <w:jc w:val="right"/>
              <w:ind w:right="249"/>
              <w:spacing w:after="0"/>
              <w:rPr>
                <w:sz w:val="20"/>
                <w:szCs w:val="20"/>
                <w:color w:val="auto"/>
              </w:rPr>
            </w:pPr>
            <w:r>
              <w:rPr>
                <w:rFonts w:ascii="Arial" w:cs="Arial" w:eastAsia="Arial" w:hAnsi="Arial"/>
                <w:sz w:val="14"/>
                <w:szCs w:val="14"/>
                <w:color w:val="0E1020"/>
              </w:rPr>
              <w:t>(4.8%)</w:t>
            </w:r>
          </w:p>
        </w:tc>
        <w:tc>
          <w:tcPr>
            <w:tcW w:w="1260" w:type="dxa"/>
            <w:vAlign w:val="bottom"/>
            <w:tcBorders>
              <w:top w:val="single" w:sz="8" w:color="CFCFD2"/>
            </w:tcBorders>
          </w:tcPr>
          <w:p>
            <w:pPr>
              <w:jc w:val="right"/>
              <w:spacing w:after="0"/>
              <w:rPr>
                <w:sz w:val="20"/>
                <w:szCs w:val="20"/>
                <w:color w:val="auto"/>
              </w:rPr>
            </w:pPr>
            <w:r>
              <w:rPr>
                <w:rFonts w:ascii="Arial" w:cs="Arial" w:eastAsia="Arial" w:hAnsi="Arial"/>
                <w:sz w:val="14"/>
                <w:szCs w:val="14"/>
                <w:color w:val="0E1020"/>
              </w:rPr>
              <w:t>72%</w:t>
            </w:r>
          </w:p>
        </w:tc>
        <w:tc>
          <w:tcPr>
            <w:tcW w:w="1640" w:type="dxa"/>
            <w:vAlign w:val="bottom"/>
            <w:tcBorders>
              <w:top w:val="single" w:sz="8" w:color="CFCFD2"/>
            </w:tcBorders>
          </w:tcPr>
          <w:p>
            <w:pPr>
              <w:jc w:val="right"/>
              <w:ind w:right="109"/>
              <w:spacing w:after="0"/>
              <w:rPr>
                <w:sz w:val="20"/>
                <w:szCs w:val="20"/>
                <w:color w:val="auto"/>
              </w:rPr>
            </w:pPr>
            <w:r>
              <w:rPr>
                <w:rFonts w:ascii="Arial" w:cs="Arial" w:eastAsia="Arial" w:hAnsi="Arial"/>
                <w:sz w:val="14"/>
                <w:szCs w:val="14"/>
                <w:color w:val="0E1020"/>
              </w:rPr>
              <w:t>36%</w:t>
            </w:r>
          </w:p>
        </w:tc>
        <w:tc>
          <w:tcPr>
            <w:tcW w:w="0" w:type="dxa"/>
            <w:vAlign w:val="bottom"/>
          </w:tcPr>
          <w:p>
            <w:pPr>
              <w:spacing w:after="0"/>
              <w:rPr>
                <w:sz w:val="1"/>
                <w:szCs w:val="1"/>
                <w:color w:val="auto"/>
              </w:rPr>
            </w:pPr>
          </w:p>
        </w:tc>
      </w:tr>
      <w:tr>
        <w:trPr>
          <w:trHeight w:val="21"/>
        </w:trPr>
        <w:tc>
          <w:tcPr>
            <w:tcW w:w="3460" w:type="dxa"/>
            <w:vAlign w:val="bottom"/>
            <w:tcBorders>
              <w:bottom w:val="single" w:sz="8" w:color="CFCFD2"/>
            </w:tcBorders>
          </w:tcPr>
          <w:p>
            <w:pPr>
              <w:spacing w:after="0" w:line="20" w:lineRule="exact"/>
              <w:rPr>
                <w:sz w:val="1"/>
                <w:szCs w:val="1"/>
                <w:color w:val="auto"/>
              </w:rPr>
            </w:pPr>
          </w:p>
        </w:tc>
        <w:tc>
          <w:tcPr>
            <w:tcW w:w="1520" w:type="dxa"/>
            <w:vAlign w:val="bottom"/>
            <w:tcBorders>
              <w:bottom w:val="single" w:sz="8" w:color="CFCFD2"/>
            </w:tcBorders>
          </w:tcPr>
          <w:p>
            <w:pPr>
              <w:spacing w:after="0" w:line="20" w:lineRule="exact"/>
              <w:rPr>
                <w:sz w:val="1"/>
                <w:szCs w:val="1"/>
                <w:color w:val="auto"/>
              </w:rPr>
            </w:pPr>
          </w:p>
        </w:tc>
        <w:tc>
          <w:tcPr>
            <w:tcW w:w="2040" w:type="dxa"/>
            <w:vAlign w:val="bottom"/>
            <w:tcBorders>
              <w:bottom w:val="single" w:sz="8" w:color="CFCFD2"/>
            </w:tcBorders>
          </w:tcPr>
          <w:p>
            <w:pPr>
              <w:spacing w:after="0" w:line="20" w:lineRule="exact"/>
              <w:rPr>
                <w:sz w:val="1"/>
                <w:szCs w:val="1"/>
                <w:color w:val="auto"/>
              </w:rPr>
            </w:pPr>
          </w:p>
        </w:tc>
        <w:tc>
          <w:tcPr>
            <w:tcW w:w="1300" w:type="dxa"/>
            <w:vAlign w:val="bottom"/>
            <w:tcBorders>
              <w:bottom w:val="single" w:sz="8" w:color="CFCFD2"/>
            </w:tcBorders>
          </w:tcPr>
          <w:p>
            <w:pPr>
              <w:spacing w:after="0" w:line="20" w:lineRule="exact"/>
              <w:rPr>
                <w:sz w:val="1"/>
                <w:szCs w:val="1"/>
                <w:color w:val="auto"/>
              </w:rPr>
            </w:pPr>
          </w:p>
        </w:tc>
        <w:tc>
          <w:tcPr>
            <w:tcW w:w="1260" w:type="dxa"/>
            <w:vAlign w:val="bottom"/>
            <w:tcBorders>
              <w:bottom w:val="single" w:sz="8" w:color="CFCFD2"/>
            </w:tcBorders>
          </w:tcPr>
          <w:p>
            <w:pPr>
              <w:spacing w:after="0" w:line="20" w:lineRule="exact"/>
              <w:rPr>
                <w:sz w:val="1"/>
                <w:szCs w:val="1"/>
                <w:color w:val="auto"/>
              </w:rPr>
            </w:pPr>
          </w:p>
        </w:tc>
        <w:tc>
          <w:tcPr>
            <w:tcW w:w="1640" w:type="dxa"/>
            <w:vAlign w:val="bottom"/>
            <w:tcBorders>
              <w:bottom w:val="single" w:sz="8" w:color="CFCF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460" w:type="dxa"/>
            <w:vAlign w:val="bottom"/>
          </w:tcPr>
          <w:p>
            <w:pPr>
              <w:ind w:left="100"/>
              <w:spacing w:after="0"/>
              <w:rPr>
                <w:sz w:val="20"/>
                <w:szCs w:val="20"/>
                <w:color w:val="auto"/>
              </w:rPr>
            </w:pPr>
            <w:r>
              <w:rPr>
                <w:rFonts w:ascii="Arial" w:cs="Arial" w:eastAsia="Arial" w:hAnsi="Arial"/>
                <w:sz w:val="14"/>
                <w:szCs w:val="14"/>
                <w:color w:val="0E1020"/>
              </w:rPr>
              <w:t>Adjusted EBIT Margin %</w:t>
            </w:r>
            <w:r>
              <w:rPr>
                <w:rFonts w:ascii="Arial" w:cs="Arial" w:eastAsia="Arial" w:hAnsi="Arial"/>
                <w:sz w:val="9"/>
                <w:szCs w:val="9"/>
                <w:color w:val="0E1020"/>
              </w:rPr>
              <w:t>(1)</w:t>
            </w:r>
          </w:p>
        </w:tc>
        <w:tc>
          <w:tcPr>
            <w:tcW w:w="1520" w:type="dxa"/>
            <w:vAlign w:val="bottom"/>
          </w:tcPr>
          <w:p>
            <w:pPr>
              <w:jc w:val="right"/>
              <w:spacing w:after="0"/>
              <w:rPr>
                <w:sz w:val="20"/>
                <w:szCs w:val="20"/>
                <w:color w:val="auto"/>
              </w:rPr>
            </w:pPr>
            <w:r>
              <w:rPr>
                <w:rFonts w:ascii="Arial" w:cs="Arial" w:eastAsia="Arial" w:hAnsi="Arial"/>
                <w:sz w:val="14"/>
                <w:szCs w:val="14"/>
                <w:color w:val="0E1020"/>
              </w:rPr>
              <w:t>50%</w:t>
            </w:r>
          </w:p>
        </w:tc>
        <w:tc>
          <w:tcPr>
            <w:tcW w:w="2040" w:type="dxa"/>
            <w:vAlign w:val="bottom"/>
          </w:tcPr>
          <w:p>
            <w:pPr>
              <w:jc w:val="right"/>
              <w:ind w:right="469"/>
              <w:spacing w:after="0"/>
              <w:rPr>
                <w:sz w:val="20"/>
                <w:szCs w:val="20"/>
                <w:color w:val="auto"/>
              </w:rPr>
            </w:pPr>
            <w:r>
              <w:rPr>
                <w:rFonts w:ascii="Arial" w:cs="Arial" w:eastAsia="Arial" w:hAnsi="Arial"/>
                <w:sz w:val="14"/>
                <w:szCs w:val="14"/>
                <w:color w:val="0E1020"/>
              </w:rPr>
              <w:t>8.0%</w:t>
            </w:r>
          </w:p>
        </w:tc>
        <w:tc>
          <w:tcPr>
            <w:tcW w:w="1300" w:type="dxa"/>
            <w:vAlign w:val="bottom"/>
          </w:tcPr>
          <w:p>
            <w:pPr>
              <w:jc w:val="right"/>
              <w:ind w:right="249"/>
              <w:spacing w:after="0"/>
              <w:rPr>
                <w:sz w:val="20"/>
                <w:szCs w:val="20"/>
                <w:color w:val="auto"/>
              </w:rPr>
            </w:pPr>
            <w:r>
              <w:rPr>
                <w:rFonts w:ascii="Arial" w:cs="Arial" w:eastAsia="Arial" w:hAnsi="Arial"/>
                <w:sz w:val="14"/>
                <w:szCs w:val="14"/>
                <w:color w:val="0E1020"/>
              </w:rPr>
              <w:t>7.7%</w:t>
            </w:r>
          </w:p>
        </w:tc>
        <w:tc>
          <w:tcPr>
            <w:tcW w:w="1260" w:type="dxa"/>
            <w:vAlign w:val="bottom"/>
          </w:tcPr>
          <w:p>
            <w:pPr>
              <w:jc w:val="right"/>
              <w:spacing w:after="0"/>
              <w:rPr>
                <w:sz w:val="20"/>
                <w:szCs w:val="20"/>
                <w:color w:val="auto"/>
              </w:rPr>
            </w:pPr>
            <w:r>
              <w:rPr>
                <w:rFonts w:ascii="Arial" w:cs="Arial" w:eastAsia="Arial" w:hAnsi="Arial"/>
                <w:sz w:val="14"/>
                <w:szCs w:val="14"/>
                <w:color w:val="0E1020"/>
              </w:rPr>
              <w:t>83%</w:t>
            </w:r>
          </w:p>
        </w:tc>
        <w:tc>
          <w:tcPr>
            <w:tcW w:w="1640" w:type="dxa"/>
            <w:vAlign w:val="bottom"/>
          </w:tcPr>
          <w:p>
            <w:pPr>
              <w:jc w:val="right"/>
              <w:ind w:right="109"/>
              <w:spacing w:after="0"/>
              <w:rPr>
                <w:sz w:val="20"/>
                <w:szCs w:val="20"/>
                <w:color w:val="auto"/>
              </w:rPr>
            </w:pPr>
            <w:r>
              <w:rPr>
                <w:rFonts w:ascii="Arial" w:cs="Arial" w:eastAsia="Arial" w:hAnsi="Arial"/>
                <w:sz w:val="14"/>
                <w:szCs w:val="14"/>
                <w:color w:val="0E1020"/>
              </w:rPr>
              <w:t>41%</w:t>
            </w:r>
          </w:p>
        </w:tc>
        <w:tc>
          <w:tcPr>
            <w:tcW w:w="0" w:type="dxa"/>
            <w:vAlign w:val="bottom"/>
          </w:tcPr>
          <w:p>
            <w:pPr>
              <w:spacing w:after="0"/>
              <w:rPr>
                <w:sz w:val="1"/>
                <w:szCs w:val="1"/>
                <w:color w:val="auto"/>
              </w:rPr>
            </w:pPr>
          </w:p>
        </w:tc>
      </w:tr>
      <w:tr>
        <w:trPr>
          <w:trHeight w:val="21"/>
        </w:trPr>
        <w:tc>
          <w:tcPr>
            <w:tcW w:w="3460" w:type="dxa"/>
            <w:vAlign w:val="bottom"/>
            <w:tcBorders>
              <w:bottom w:val="single" w:sz="8" w:color="CFCFD2"/>
            </w:tcBorders>
          </w:tcPr>
          <w:p>
            <w:pPr>
              <w:spacing w:after="0" w:line="20" w:lineRule="exact"/>
              <w:rPr>
                <w:sz w:val="1"/>
                <w:szCs w:val="1"/>
                <w:color w:val="auto"/>
              </w:rPr>
            </w:pPr>
          </w:p>
        </w:tc>
        <w:tc>
          <w:tcPr>
            <w:tcW w:w="1520" w:type="dxa"/>
            <w:vAlign w:val="bottom"/>
            <w:tcBorders>
              <w:bottom w:val="single" w:sz="8" w:color="CFCFD2"/>
            </w:tcBorders>
          </w:tcPr>
          <w:p>
            <w:pPr>
              <w:spacing w:after="0" w:line="20" w:lineRule="exact"/>
              <w:rPr>
                <w:sz w:val="1"/>
                <w:szCs w:val="1"/>
                <w:color w:val="auto"/>
              </w:rPr>
            </w:pPr>
          </w:p>
        </w:tc>
        <w:tc>
          <w:tcPr>
            <w:tcW w:w="2040" w:type="dxa"/>
            <w:vAlign w:val="bottom"/>
            <w:tcBorders>
              <w:bottom w:val="single" w:sz="8" w:color="CFCFD2"/>
            </w:tcBorders>
          </w:tcPr>
          <w:p>
            <w:pPr>
              <w:spacing w:after="0" w:line="20" w:lineRule="exact"/>
              <w:rPr>
                <w:sz w:val="1"/>
                <w:szCs w:val="1"/>
                <w:color w:val="auto"/>
              </w:rPr>
            </w:pPr>
          </w:p>
        </w:tc>
        <w:tc>
          <w:tcPr>
            <w:tcW w:w="1300" w:type="dxa"/>
            <w:vAlign w:val="bottom"/>
            <w:tcBorders>
              <w:bottom w:val="single" w:sz="8" w:color="CFCFD2"/>
            </w:tcBorders>
          </w:tcPr>
          <w:p>
            <w:pPr>
              <w:spacing w:after="0" w:line="20" w:lineRule="exact"/>
              <w:rPr>
                <w:sz w:val="1"/>
                <w:szCs w:val="1"/>
                <w:color w:val="auto"/>
              </w:rPr>
            </w:pPr>
          </w:p>
        </w:tc>
        <w:tc>
          <w:tcPr>
            <w:tcW w:w="1260" w:type="dxa"/>
            <w:vAlign w:val="bottom"/>
            <w:tcBorders>
              <w:bottom w:val="single" w:sz="8" w:color="CFCFD2"/>
            </w:tcBorders>
          </w:tcPr>
          <w:p>
            <w:pPr>
              <w:spacing w:after="0" w:line="20" w:lineRule="exact"/>
              <w:rPr>
                <w:sz w:val="1"/>
                <w:szCs w:val="1"/>
                <w:color w:val="auto"/>
              </w:rPr>
            </w:pPr>
          </w:p>
        </w:tc>
        <w:tc>
          <w:tcPr>
            <w:tcW w:w="1640" w:type="dxa"/>
            <w:vAlign w:val="bottom"/>
            <w:tcBorders>
              <w:bottom w:val="single" w:sz="8" w:color="CFCF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3460" w:type="dxa"/>
            <w:vAlign w:val="bottom"/>
            <w:tcBorders>
              <w:bottom w:val="single" w:sz="8" w:color="CFCFD2"/>
            </w:tcBorders>
            <w:shd w:val="clear" w:color="auto" w:fill="F6F3F0"/>
          </w:tcPr>
          <w:p>
            <w:pPr>
              <w:ind w:left="100"/>
              <w:spacing w:after="0"/>
              <w:rPr>
                <w:sz w:val="20"/>
                <w:szCs w:val="20"/>
                <w:color w:val="auto"/>
              </w:rPr>
            </w:pPr>
            <w:r>
              <w:rPr>
                <w:rFonts w:ascii="Arial" w:cs="Arial" w:eastAsia="Arial" w:hAnsi="Arial"/>
                <w:sz w:val="14"/>
                <w:szCs w:val="14"/>
                <w:b w:val="1"/>
                <w:bCs w:val="1"/>
                <w:color w:val="0E1020"/>
              </w:rPr>
              <w:t>Calculated Pool Funding %</w:t>
            </w:r>
          </w:p>
        </w:tc>
        <w:tc>
          <w:tcPr>
            <w:tcW w:w="1520" w:type="dxa"/>
            <w:vAlign w:val="bottom"/>
            <w:tcBorders>
              <w:bottom w:val="single" w:sz="8" w:color="CFCFD2"/>
            </w:tcBorders>
            <w:shd w:val="clear" w:color="auto" w:fill="F6F3F0"/>
          </w:tcPr>
          <w:p>
            <w:pPr>
              <w:spacing w:after="0"/>
              <w:rPr>
                <w:sz w:val="18"/>
                <w:szCs w:val="18"/>
                <w:color w:val="auto"/>
              </w:rPr>
            </w:pPr>
          </w:p>
        </w:tc>
        <w:tc>
          <w:tcPr>
            <w:tcW w:w="2040" w:type="dxa"/>
            <w:vAlign w:val="bottom"/>
            <w:tcBorders>
              <w:bottom w:val="single" w:sz="8" w:color="CFCFD2"/>
            </w:tcBorders>
            <w:shd w:val="clear" w:color="auto" w:fill="F6F3F0"/>
          </w:tcPr>
          <w:p>
            <w:pPr>
              <w:spacing w:after="0"/>
              <w:rPr>
                <w:sz w:val="18"/>
                <w:szCs w:val="18"/>
                <w:color w:val="auto"/>
              </w:rPr>
            </w:pPr>
          </w:p>
        </w:tc>
        <w:tc>
          <w:tcPr>
            <w:tcW w:w="1300" w:type="dxa"/>
            <w:vAlign w:val="bottom"/>
            <w:tcBorders>
              <w:bottom w:val="single" w:sz="8" w:color="CFCFD2"/>
            </w:tcBorders>
            <w:shd w:val="clear" w:color="auto" w:fill="F6F3F0"/>
          </w:tcPr>
          <w:p>
            <w:pPr>
              <w:spacing w:after="0"/>
              <w:rPr>
                <w:sz w:val="18"/>
                <w:szCs w:val="18"/>
                <w:color w:val="auto"/>
              </w:rPr>
            </w:pPr>
          </w:p>
        </w:tc>
        <w:tc>
          <w:tcPr>
            <w:tcW w:w="1260" w:type="dxa"/>
            <w:vAlign w:val="bottom"/>
            <w:tcBorders>
              <w:bottom w:val="single" w:sz="8" w:color="CFCFD2"/>
            </w:tcBorders>
            <w:shd w:val="clear" w:color="auto" w:fill="F6F3F0"/>
          </w:tcPr>
          <w:p>
            <w:pPr>
              <w:spacing w:after="0"/>
              <w:rPr>
                <w:sz w:val="18"/>
                <w:szCs w:val="18"/>
                <w:color w:val="auto"/>
              </w:rPr>
            </w:pPr>
          </w:p>
        </w:tc>
        <w:tc>
          <w:tcPr>
            <w:tcW w:w="1640" w:type="dxa"/>
            <w:vAlign w:val="bottom"/>
            <w:tcBorders>
              <w:bottom w:val="single" w:sz="8" w:color="CFCFD2"/>
            </w:tcBorders>
            <w:shd w:val="clear" w:color="auto" w:fill="F6F3F0"/>
          </w:tcPr>
          <w:p>
            <w:pPr>
              <w:jc w:val="right"/>
              <w:ind w:right="109"/>
              <w:spacing w:after="0"/>
              <w:rPr>
                <w:sz w:val="20"/>
                <w:szCs w:val="20"/>
                <w:color w:val="auto"/>
              </w:rPr>
            </w:pPr>
            <w:r>
              <w:rPr>
                <w:rFonts w:ascii="Arial" w:cs="Arial" w:eastAsia="Arial" w:hAnsi="Arial"/>
                <w:sz w:val="14"/>
                <w:szCs w:val="14"/>
                <w:b w:val="1"/>
                <w:bCs w:val="1"/>
                <w:color w:val="0E1020"/>
              </w:rPr>
              <w:t>77%</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80" w:right="20" w:hanging="312"/>
        <w:spacing w:after="0" w:line="302" w:lineRule="auto"/>
        <w:tabs>
          <w:tab w:leader="none" w:pos="480" w:val="left"/>
        </w:tabs>
        <w:numPr>
          <w:ilvl w:val="0"/>
          <w:numId w:val="75"/>
        </w:numPr>
        <w:rPr>
          <w:rFonts w:ascii="Arial" w:cs="Arial" w:eastAsia="Arial" w:hAnsi="Arial"/>
          <w:sz w:val="14"/>
          <w:szCs w:val="14"/>
          <w:color w:val="0E1020"/>
        </w:rPr>
      </w:pPr>
      <w:r>
        <w:rPr>
          <w:rFonts w:ascii="Arial" w:cs="Arial" w:eastAsia="Arial" w:hAnsi="Arial"/>
          <w:sz w:val="14"/>
          <w:szCs w:val="14"/>
          <w:color w:val="0E1020"/>
        </w:rPr>
        <w:t>For a reconciliation of non-GAAP measures as set forth in this Proxy Statement to the most directly comparable GAAP measures, see “Appendix A -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73</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81" w:name="page82"/>
    <w:bookmarkEnd w:id="81"/>
    <w:p>
      <w:pPr>
        <w:ind w:left="20"/>
        <w:spacing w:after="0"/>
        <w:tabs>
          <w:tab w:leader="none" w:pos="10100" w:val="left"/>
        </w:tabs>
        <w:rPr>
          <w:sz w:val="20"/>
          <w:szCs w:val="20"/>
          <w:color w:val="auto"/>
        </w:rPr>
      </w:pPr>
      <w:r>
        <w:rPr>
          <w:rFonts w:ascii="Arial" w:cs="Arial" w:eastAsia="Arial" w:hAnsi="Arial"/>
          <w:sz w:val="14"/>
          <w:szCs w:val="14"/>
          <w:color w:val="auto"/>
        </w:rPr>
        <w:t>Executive Compensation</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Performance Factor Based on Actions of the NEOs &amp; Business Performance Allocation of Pool Funding</w:t>
      </w:r>
    </w:p>
    <w:p>
      <w:pPr>
        <w:spacing w:after="0" w:line="8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0E1020"/>
        </w:rPr>
        <w:t>During fiscal 2026, our highest priority was to work together as one team to execute DXC’s business strategy. As a result, the Compensation Committee and the CEO determined to evaluate the NEOs collectively. As such, for fiscal 2026, the subjective individual performance modifier was not used for the NEOs. However, in accordance with the approved fiscal 2026 annual cash incentive plan design, the funded amounts of the fiscal 2026 target annual cash incentives of our NEO business leaders, Mr. Drumgoole and Mr. August, were modified based on the financial performance against pre-set goals for their respective business offerings.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i w:val="1"/>
          <w:iCs w:val="1"/>
          <w:color w:val="0E1020"/>
        </w:rPr>
        <w:t>Payout Determination</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0E1020"/>
        </w:rPr>
        <w:t>The Compensation Committee verified achievement of financial metrics relative to the targets to determine the respective performance levels.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0E1020"/>
        </w:rPr>
        <w:t>The total payout under our annual cash incentive plan for each NEO for fiscal 2026 is reflected in the table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40" w:type="dxa"/>
            <w:vAlign w:val="bottom"/>
            <w:shd w:val="clear" w:color="auto" w:fill="F6F3F0"/>
          </w:tcPr>
          <w:p>
            <w:pPr>
              <w:spacing w:after="0"/>
              <w:rPr>
                <w:sz w:val="21"/>
                <w:szCs w:val="21"/>
                <w:color w:val="auto"/>
              </w:rPr>
            </w:pPr>
          </w:p>
        </w:tc>
        <w:tc>
          <w:tcPr>
            <w:tcW w:w="1560" w:type="dxa"/>
            <w:vAlign w:val="bottom"/>
            <w:shd w:val="clear" w:color="auto" w:fill="F6F3F0"/>
          </w:tcPr>
          <w:p>
            <w:pPr>
              <w:spacing w:after="0"/>
              <w:rPr>
                <w:sz w:val="21"/>
                <w:szCs w:val="21"/>
                <w:color w:val="auto"/>
              </w:rPr>
            </w:pPr>
          </w:p>
        </w:tc>
        <w:tc>
          <w:tcPr>
            <w:tcW w:w="580" w:type="dxa"/>
            <w:vAlign w:val="bottom"/>
            <w:shd w:val="clear" w:color="auto" w:fill="F6F3F0"/>
          </w:tcPr>
          <w:p>
            <w:pPr>
              <w:spacing w:after="0"/>
              <w:rPr>
                <w:sz w:val="21"/>
                <w:szCs w:val="21"/>
                <w:color w:val="auto"/>
              </w:rPr>
            </w:pPr>
          </w:p>
        </w:tc>
        <w:tc>
          <w:tcPr>
            <w:tcW w:w="1720" w:type="dxa"/>
            <w:vAlign w:val="bottom"/>
            <w:shd w:val="clear" w:color="auto" w:fill="F6F3F0"/>
          </w:tcPr>
          <w:p>
            <w:pPr>
              <w:jc w:val="center"/>
              <w:spacing w:after="0"/>
              <w:rPr>
                <w:sz w:val="20"/>
                <w:szCs w:val="20"/>
                <w:color w:val="auto"/>
              </w:rPr>
            </w:pPr>
            <w:r>
              <w:rPr>
                <w:rFonts w:ascii="Arial" w:cs="Arial" w:eastAsia="Arial" w:hAnsi="Arial"/>
                <w:sz w:val="14"/>
                <w:szCs w:val="14"/>
                <w:b w:val="1"/>
                <w:bCs w:val="1"/>
                <w:color w:val="0E1020"/>
              </w:rPr>
              <w:t>Target Annual Cash</w:t>
            </w:r>
          </w:p>
        </w:tc>
        <w:tc>
          <w:tcPr>
            <w:tcW w:w="520" w:type="dxa"/>
            <w:vAlign w:val="bottom"/>
            <w:shd w:val="clear" w:color="auto" w:fill="F6F3F0"/>
          </w:tcPr>
          <w:p>
            <w:pPr>
              <w:spacing w:after="0"/>
              <w:rPr>
                <w:sz w:val="21"/>
                <w:szCs w:val="21"/>
                <w:color w:val="auto"/>
              </w:rPr>
            </w:pPr>
          </w:p>
        </w:tc>
        <w:tc>
          <w:tcPr>
            <w:tcW w:w="1620" w:type="dxa"/>
            <w:vAlign w:val="bottom"/>
            <w:shd w:val="clear" w:color="auto" w:fill="F6F3F0"/>
          </w:tcPr>
          <w:p>
            <w:pPr>
              <w:ind w:left="240"/>
              <w:spacing w:after="0"/>
              <w:rPr>
                <w:sz w:val="20"/>
                <w:szCs w:val="20"/>
                <w:color w:val="auto"/>
              </w:rPr>
            </w:pPr>
            <w:r>
              <w:rPr>
                <w:rFonts w:ascii="Arial" w:cs="Arial" w:eastAsia="Arial" w:hAnsi="Arial"/>
                <w:sz w:val="14"/>
                <w:szCs w:val="14"/>
                <w:b w:val="1"/>
                <w:bCs w:val="1"/>
                <w:color w:val="0E1020"/>
              </w:rPr>
              <w:t>Individual Payout</w:t>
            </w:r>
          </w:p>
        </w:tc>
      </w:tr>
      <w:tr>
        <w:trPr>
          <w:trHeight w:val="195"/>
        </w:trPr>
        <w:tc>
          <w:tcPr>
            <w:tcW w:w="5240" w:type="dxa"/>
            <w:vAlign w:val="bottom"/>
            <w:shd w:val="clear" w:color="auto" w:fill="F6F3F0"/>
          </w:tcPr>
          <w:p>
            <w:pPr>
              <w:ind w:left="100"/>
              <w:spacing w:after="0"/>
              <w:rPr>
                <w:sz w:val="20"/>
                <w:szCs w:val="20"/>
                <w:color w:val="auto"/>
              </w:rPr>
            </w:pPr>
            <w:r>
              <w:rPr>
                <w:rFonts w:ascii="Arial" w:cs="Arial" w:eastAsia="Arial" w:hAnsi="Arial"/>
                <w:sz w:val="14"/>
                <w:szCs w:val="14"/>
                <w:b w:val="1"/>
                <w:bCs w:val="1"/>
                <w:color w:val="0E1020"/>
              </w:rPr>
              <w:t>NEO</w:t>
            </w:r>
            <w:r>
              <w:rPr>
                <w:rFonts w:ascii="Arial" w:cs="Arial" w:eastAsia="Arial" w:hAnsi="Arial"/>
                <w:sz w:val="9"/>
                <w:szCs w:val="9"/>
                <w:b w:val="1"/>
                <w:bCs w:val="1"/>
                <w:color w:val="0E1020"/>
              </w:rPr>
              <w:t>(1)</w:t>
            </w:r>
          </w:p>
        </w:tc>
        <w:tc>
          <w:tcPr>
            <w:tcW w:w="1560" w:type="dxa"/>
            <w:vAlign w:val="bottom"/>
            <w:shd w:val="clear" w:color="auto" w:fill="F6F3F0"/>
          </w:tcPr>
          <w:p>
            <w:pPr>
              <w:jc w:val="center"/>
              <w:spacing w:after="0"/>
              <w:rPr>
                <w:sz w:val="20"/>
                <w:szCs w:val="20"/>
                <w:color w:val="auto"/>
              </w:rPr>
            </w:pPr>
            <w:r>
              <w:rPr>
                <w:rFonts w:ascii="Arial" w:cs="Arial" w:eastAsia="Arial" w:hAnsi="Arial"/>
                <w:sz w:val="14"/>
                <w:szCs w:val="14"/>
                <w:b w:val="1"/>
                <w:bCs w:val="1"/>
                <w:color w:val="0E1020"/>
              </w:rPr>
              <w:t>Pool Funding (%)</w:t>
            </w:r>
          </w:p>
        </w:tc>
        <w:tc>
          <w:tcPr>
            <w:tcW w:w="580" w:type="dxa"/>
            <w:vAlign w:val="bottom"/>
            <w:shd w:val="clear" w:color="auto" w:fill="F6F3F0"/>
          </w:tcPr>
          <w:p>
            <w:pPr>
              <w:ind w:left="280"/>
              <w:spacing w:after="0"/>
              <w:rPr>
                <w:sz w:val="20"/>
                <w:szCs w:val="20"/>
                <w:color w:val="auto"/>
              </w:rPr>
            </w:pPr>
            <w:r>
              <w:rPr>
                <w:rFonts w:ascii="Arial" w:cs="Arial" w:eastAsia="Arial" w:hAnsi="Arial"/>
                <w:sz w:val="14"/>
                <w:szCs w:val="14"/>
                <w:b w:val="1"/>
                <w:bCs w:val="1"/>
                <w:color w:val="0E1020"/>
              </w:rPr>
              <w:t>X</w:t>
            </w:r>
          </w:p>
        </w:tc>
        <w:tc>
          <w:tcPr>
            <w:tcW w:w="1720" w:type="dxa"/>
            <w:vAlign w:val="bottom"/>
            <w:shd w:val="clear" w:color="auto" w:fill="F6F3F0"/>
          </w:tcPr>
          <w:p>
            <w:pPr>
              <w:jc w:val="center"/>
              <w:spacing w:after="0"/>
              <w:rPr>
                <w:sz w:val="20"/>
                <w:szCs w:val="20"/>
                <w:color w:val="auto"/>
              </w:rPr>
            </w:pPr>
            <w:r>
              <w:rPr>
                <w:rFonts w:ascii="Arial" w:cs="Arial" w:eastAsia="Arial" w:hAnsi="Arial"/>
                <w:sz w:val="14"/>
                <w:szCs w:val="14"/>
                <w:b w:val="1"/>
                <w:bCs w:val="1"/>
                <w:color w:val="0E1020"/>
              </w:rPr>
              <w:t>Incentive ($)</w:t>
            </w:r>
          </w:p>
        </w:tc>
        <w:tc>
          <w:tcPr>
            <w:tcW w:w="520" w:type="dxa"/>
            <w:vAlign w:val="bottom"/>
            <w:shd w:val="clear" w:color="auto" w:fill="F6F3F0"/>
          </w:tcPr>
          <w:p>
            <w:pPr>
              <w:jc w:val="right"/>
              <w:ind w:right="149"/>
              <w:spacing w:after="0"/>
              <w:rPr>
                <w:sz w:val="20"/>
                <w:szCs w:val="20"/>
                <w:color w:val="auto"/>
              </w:rPr>
            </w:pPr>
            <w:r>
              <w:rPr>
                <w:rFonts w:ascii="Arial" w:cs="Arial" w:eastAsia="Arial" w:hAnsi="Arial"/>
                <w:sz w:val="14"/>
                <w:szCs w:val="14"/>
                <w:b w:val="1"/>
                <w:bCs w:val="1"/>
                <w:color w:val="0E1020"/>
              </w:rPr>
              <w:t>=</w:t>
            </w:r>
          </w:p>
        </w:tc>
        <w:tc>
          <w:tcPr>
            <w:tcW w:w="1620" w:type="dxa"/>
            <w:vAlign w:val="bottom"/>
            <w:shd w:val="clear" w:color="auto" w:fill="F6F3F0"/>
          </w:tcPr>
          <w:p>
            <w:pPr>
              <w:jc w:val="center"/>
              <w:ind w:left="9"/>
              <w:spacing w:after="0"/>
              <w:rPr>
                <w:sz w:val="20"/>
                <w:szCs w:val="20"/>
                <w:color w:val="auto"/>
              </w:rPr>
            </w:pPr>
            <w:r>
              <w:rPr>
                <w:rFonts w:ascii="Arial" w:cs="Arial" w:eastAsia="Arial" w:hAnsi="Arial"/>
                <w:sz w:val="14"/>
                <w:szCs w:val="14"/>
                <w:b w:val="1"/>
                <w:bCs w:val="1"/>
                <w:color w:val="0E1020"/>
              </w:rPr>
              <w:t>($)</w:t>
            </w:r>
          </w:p>
        </w:tc>
      </w:tr>
      <w:tr>
        <w:trPr>
          <w:trHeight w:val="69"/>
        </w:trPr>
        <w:tc>
          <w:tcPr>
            <w:tcW w:w="5240" w:type="dxa"/>
            <w:vAlign w:val="bottom"/>
            <w:tcBorders>
              <w:bottom w:val="single" w:sz="8" w:color="CFCFD2"/>
            </w:tcBorders>
            <w:shd w:val="clear" w:color="auto" w:fill="F6F3F0"/>
          </w:tcPr>
          <w:p>
            <w:pPr>
              <w:spacing w:after="0"/>
              <w:rPr>
                <w:sz w:val="5"/>
                <w:szCs w:val="5"/>
                <w:color w:val="auto"/>
              </w:rPr>
            </w:pPr>
          </w:p>
        </w:tc>
        <w:tc>
          <w:tcPr>
            <w:tcW w:w="1560" w:type="dxa"/>
            <w:vAlign w:val="bottom"/>
            <w:tcBorders>
              <w:bottom w:val="single" w:sz="8" w:color="CFCFD2"/>
            </w:tcBorders>
            <w:shd w:val="clear" w:color="auto" w:fill="F6F3F0"/>
          </w:tcPr>
          <w:p>
            <w:pPr>
              <w:spacing w:after="0"/>
              <w:rPr>
                <w:sz w:val="5"/>
                <w:szCs w:val="5"/>
                <w:color w:val="auto"/>
              </w:rPr>
            </w:pPr>
          </w:p>
        </w:tc>
        <w:tc>
          <w:tcPr>
            <w:tcW w:w="580" w:type="dxa"/>
            <w:vAlign w:val="bottom"/>
            <w:tcBorders>
              <w:bottom w:val="single" w:sz="8" w:color="CFCFD2"/>
            </w:tcBorders>
            <w:shd w:val="clear" w:color="auto" w:fill="F6F3F0"/>
          </w:tcPr>
          <w:p>
            <w:pPr>
              <w:spacing w:after="0"/>
              <w:rPr>
                <w:sz w:val="5"/>
                <w:szCs w:val="5"/>
                <w:color w:val="auto"/>
              </w:rPr>
            </w:pPr>
          </w:p>
        </w:tc>
        <w:tc>
          <w:tcPr>
            <w:tcW w:w="1720" w:type="dxa"/>
            <w:vAlign w:val="bottom"/>
            <w:tcBorders>
              <w:bottom w:val="single" w:sz="8" w:color="CFCFD2"/>
            </w:tcBorders>
            <w:shd w:val="clear" w:color="auto" w:fill="F6F3F0"/>
          </w:tcPr>
          <w:p>
            <w:pPr>
              <w:spacing w:after="0"/>
              <w:rPr>
                <w:sz w:val="5"/>
                <w:szCs w:val="5"/>
                <w:color w:val="auto"/>
              </w:rPr>
            </w:pPr>
          </w:p>
        </w:tc>
        <w:tc>
          <w:tcPr>
            <w:tcW w:w="520" w:type="dxa"/>
            <w:vAlign w:val="bottom"/>
            <w:tcBorders>
              <w:bottom w:val="single" w:sz="8" w:color="CFCFD2"/>
            </w:tcBorders>
            <w:shd w:val="clear" w:color="auto" w:fill="F6F3F0"/>
          </w:tcPr>
          <w:p>
            <w:pPr>
              <w:spacing w:after="0"/>
              <w:rPr>
                <w:sz w:val="5"/>
                <w:szCs w:val="5"/>
                <w:color w:val="auto"/>
              </w:rPr>
            </w:pPr>
          </w:p>
        </w:tc>
        <w:tc>
          <w:tcPr>
            <w:tcW w:w="1620" w:type="dxa"/>
            <w:vAlign w:val="bottom"/>
            <w:tcBorders>
              <w:bottom w:val="single" w:sz="8" w:color="CFCFD2"/>
            </w:tcBorders>
            <w:shd w:val="clear" w:color="auto" w:fill="F6F3F0"/>
          </w:tcPr>
          <w:p>
            <w:pPr>
              <w:spacing w:after="0"/>
              <w:rPr>
                <w:sz w:val="5"/>
                <w:szCs w:val="5"/>
                <w:color w:val="auto"/>
              </w:rPr>
            </w:pPr>
          </w:p>
        </w:tc>
      </w:tr>
      <w:tr>
        <w:trPr>
          <w:trHeight w:val="215"/>
        </w:trPr>
        <w:tc>
          <w:tcPr>
            <w:tcW w:w="52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Raul J. Fernandez</w:t>
            </w:r>
          </w:p>
        </w:tc>
        <w:tc>
          <w:tcPr>
            <w:tcW w:w="1560" w:type="dxa"/>
            <w:vAlign w:val="bottom"/>
            <w:tcBorders>
              <w:bottom w:val="single" w:sz="8" w:color="CFCFD2"/>
            </w:tcBorders>
          </w:tcPr>
          <w:p>
            <w:pPr>
              <w:jc w:val="center"/>
              <w:spacing w:after="0"/>
              <w:rPr>
                <w:sz w:val="20"/>
                <w:szCs w:val="20"/>
                <w:color w:val="auto"/>
              </w:rPr>
            </w:pPr>
            <w:r>
              <w:rPr>
                <w:rFonts w:ascii="Arial" w:cs="Arial" w:eastAsia="Arial" w:hAnsi="Arial"/>
                <w:sz w:val="14"/>
                <w:szCs w:val="14"/>
                <w:color w:val="0E1020"/>
                <w:w w:val="99"/>
              </w:rPr>
              <w:t>77%</w:t>
            </w:r>
          </w:p>
        </w:tc>
        <w:tc>
          <w:tcPr>
            <w:tcW w:w="580" w:type="dxa"/>
            <w:vAlign w:val="bottom"/>
            <w:tcBorders>
              <w:bottom w:val="single" w:sz="8" w:color="CFCFD2"/>
            </w:tcBorders>
          </w:tcPr>
          <w:p>
            <w:pPr>
              <w:ind w:left="280"/>
              <w:spacing w:after="0"/>
              <w:rPr>
                <w:sz w:val="20"/>
                <w:szCs w:val="20"/>
                <w:color w:val="auto"/>
              </w:rPr>
            </w:pPr>
            <w:r>
              <w:rPr>
                <w:rFonts w:ascii="Arial" w:cs="Arial" w:eastAsia="Arial" w:hAnsi="Arial"/>
                <w:sz w:val="14"/>
                <w:szCs w:val="14"/>
                <w:color w:val="0E1020"/>
              </w:rPr>
              <w:t>X</w:t>
            </w:r>
          </w:p>
        </w:tc>
        <w:tc>
          <w:tcPr>
            <w:tcW w:w="1720" w:type="dxa"/>
            <w:vAlign w:val="bottom"/>
            <w:tcBorders>
              <w:bottom w:val="single" w:sz="8" w:color="CFCFD2"/>
            </w:tcBorders>
          </w:tcPr>
          <w:p>
            <w:pPr>
              <w:jc w:val="center"/>
              <w:spacing w:after="0"/>
              <w:rPr>
                <w:sz w:val="20"/>
                <w:szCs w:val="20"/>
                <w:color w:val="auto"/>
              </w:rPr>
            </w:pPr>
            <w:r>
              <w:rPr>
                <w:rFonts w:ascii="Arial" w:cs="Arial" w:eastAsia="Arial" w:hAnsi="Arial"/>
                <w:sz w:val="14"/>
                <w:szCs w:val="14"/>
                <w:color w:val="0E1020"/>
              </w:rPr>
              <w:t>3,750,000</w:t>
            </w:r>
          </w:p>
        </w:tc>
        <w:tc>
          <w:tcPr>
            <w:tcW w:w="520" w:type="dxa"/>
            <w:vAlign w:val="bottom"/>
            <w:tcBorders>
              <w:bottom w:val="single" w:sz="8" w:color="CFCFD2"/>
            </w:tcBorders>
          </w:tcPr>
          <w:p>
            <w:pPr>
              <w:jc w:val="right"/>
              <w:ind w:right="149"/>
              <w:spacing w:after="0"/>
              <w:rPr>
                <w:sz w:val="20"/>
                <w:szCs w:val="20"/>
                <w:color w:val="auto"/>
              </w:rPr>
            </w:pPr>
            <w:r>
              <w:rPr>
                <w:rFonts w:ascii="Arial" w:cs="Arial" w:eastAsia="Arial" w:hAnsi="Arial"/>
                <w:sz w:val="14"/>
                <w:szCs w:val="14"/>
                <w:color w:val="0E1020"/>
              </w:rPr>
              <w:t>=</w:t>
            </w:r>
          </w:p>
        </w:tc>
        <w:tc>
          <w:tcPr>
            <w:tcW w:w="1620" w:type="dxa"/>
            <w:vAlign w:val="bottom"/>
            <w:tcBorders>
              <w:bottom w:val="single" w:sz="8" w:color="CFCFD2"/>
            </w:tcBorders>
          </w:tcPr>
          <w:p>
            <w:pPr>
              <w:jc w:val="center"/>
              <w:spacing w:after="0"/>
              <w:rPr>
                <w:sz w:val="20"/>
                <w:szCs w:val="20"/>
                <w:color w:val="auto"/>
              </w:rPr>
            </w:pPr>
            <w:r>
              <w:rPr>
                <w:rFonts w:ascii="Arial" w:cs="Arial" w:eastAsia="Arial" w:hAnsi="Arial"/>
                <w:sz w:val="14"/>
                <w:szCs w:val="14"/>
                <w:color w:val="0E1020"/>
              </w:rPr>
              <w:t>2,887,500</w:t>
            </w:r>
          </w:p>
        </w:tc>
      </w:tr>
      <w:tr>
        <w:trPr>
          <w:trHeight w:val="221"/>
        </w:trPr>
        <w:tc>
          <w:tcPr>
            <w:tcW w:w="52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Robert Del Bene</w:t>
            </w:r>
          </w:p>
        </w:tc>
        <w:tc>
          <w:tcPr>
            <w:tcW w:w="1560" w:type="dxa"/>
            <w:vAlign w:val="bottom"/>
            <w:tcBorders>
              <w:bottom w:val="single" w:sz="8" w:color="CFCFD2"/>
            </w:tcBorders>
          </w:tcPr>
          <w:p>
            <w:pPr>
              <w:jc w:val="center"/>
              <w:spacing w:after="0"/>
              <w:rPr>
                <w:sz w:val="20"/>
                <w:szCs w:val="20"/>
                <w:color w:val="auto"/>
              </w:rPr>
            </w:pPr>
            <w:r>
              <w:rPr>
                <w:rFonts w:ascii="Arial" w:cs="Arial" w:eastAsia="Arial" w:hAnsi="Arial"/>
                <w:sz w:val="14"/>
                <w:szCs w:val="14"/>
                <w:color w:val="0E1020"/>
                <w:w w:val="99"/>
              </w:rPr>
              <w:t>77%</w:t>
            </w:r>
          </w:p>
        </w:tc>
        <w:tc>
          <w:tcPr>
            <w:tcW w:w="580" w:type="dxa"/>
            <w:vAlign w:val="bottom"/>
            <w:tcBorders>
              <w:bottom w:val="single" w:sz="8" w:color="CFCFD2"/>
            </w:tcBorders>
          </w:tcPr>
          <w:p>
            <w:pPr>
              <w:ind w:left="280"/>
              <w:spacing w:after="0"/>
              <w:rPr>
                <w:sz w:val="20"/>
                <w:szCs w:val="20"/>
                <w:color w:val="auto"/>
              </w:rPr>
            </w:pPr>
            <w:r>
              <w:rPr>
                <w:rFonts w:ascii="Arial" w:cs="Arial" w:eastAsia="Arial" w:hAnsi="Arial"/>
                <w:sz w:val="14"/>
                <w:szCs w:val="14"/>
                <w:color w:val="0E1020"/>
              </w:rPr>
              <w:t>X</w:t>
            </w:r>
          </w:p>
        </w:tc>
        <w:tc>
          <w:tcPr>
            <w:tcW w:w="1720" w:type="dxa"/>
            <w:vAlign w:val="bottom"/>
            <w:tcBorders>
              <w:bottom w:val="single" w:sz="8" w:color="CFCFD2"/>
            </w:tcBorders>
          </w:tcPr>
          <w:p>
            <w:pPr>
              <w:jc w:val="center"/>
              <w:spacing w:after="0"/>
              <w:rPr>
                <w:sz w:val="20"/>
                <w:szCs w:val="20"/>
                <w:color w:val="auto"/>
              </w:rPr>
            </w:pPr>
            <w:r>
              <w:rPr>
                <w:rFonts w:ascii="Arial" w:cs="Arial" w:eastAsia="Arial" w:hAnsi="Arial"/>
                <w:sz w:val="14"/>
                <w:szCs w:val="14"/>
                <w:color w:val="0E1020"/>
              </w:rPr>
              <w:t>1,080,000</w:t>
            </w:r>
          </w:p>
        </w:tc>
        <w:tc>
          <w:tcPr>
            <w:tcW w:w="520" w:type="dxa"/>
            <w:vAlign w:val="bottom"/>
            <w:tcBorders>
              <w:bottom w:val="single" w:sz="8" w:color="CFCFD2"/>
            </w:tcBorders>
          </w:tcPr>
          <w:p>
            <w:pPr>
              <w:jc w:val="right"/>
              <w:ind w:right="149"/>
              <w:spacing w:after="0"/>
              <w:rPr>
                <w:sz w:val="20"/>
                <w:szCs w:val="20"/>
                <w:color w:val="auto"/>
              </w:rPr>
            </w:pPr>
            <w:r>
              <w:rPr>
                <w:rFonts w:ascii="Arial" w:cs="Arial" w:eastAsia="Arial" w:hAnsi="Arial"/>
                <w:sz w:val="14"/>
                <w:szCs w:val="14"/>
                <w:color w:val="0E1020"/>
              </w:rPr>
              <w:t>=</w:t>
            </w:r>
          </w:p>
        </w:tc>
        <w:tc>
          <w:tcPr>
            <w:tcW w:w="1620" w:type="dxa"/>
            <w:vAlign w:val="bottom"/>
            <w:tcBorders>
              <w:bottom w:val="single" w:sz="8" w:color="CFCFD2"/>
            </w:tcBorders>
          </w:tcPr>
          <w:p>
            <w:pPr>
              <w:jc w:val="center"/>
              <w:spacing w:after="0"/>
              <w:rPr>
                <w:sz w:val="20"/>
                <w:szCs w:val="20"/>
                <w:color w:val="auto"/>
              </w:rPr>
            </w:pPr>
            <w:r>
              <w:rPr>
                <w:rFonts w:ascii="Arial" w:cs="Arial" w:eastAsia="Arial" w:hAnsi="Arial"/>
                <w:sz w:val="14"/>
                <w:szCs w:val="14"/>
                <w:color w:val="0E1020"/>
              </w:rPr>
              <w:t>831,600</w:t>
            </w:r>
          </w:p>
        </w:tc>
      </w:tr>
      <w:tr>
        <w:trPr>
          <w:trHeight w:val="221"/>
        </w:trPr>
        <w:tc>
          <w:tcPr>
            <w:tcW w:w="52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Christopher Drumgoole</w:t>
            </w:r>
            <w:r>
              <w:rPr>
                <w:rFonts w:ascii="Arial" w:cs="Arial" w:eastAsia="Arial" w:hAnsi="Arial"/>
                <w:sz w:val="9"/>
                <w:szCs w:val="9"/>
                <w:b w:val="1"/>
                <w:bCs w:val="1"/>
                <w:color w:val="004AAC"/>
              </w:rPr>
              <w:t>(2)</w:t>
            </w:r>
          </w:p>
        </w:tc>
        <w:tc>
          <w:tcPr>
            <w:tcW w:w="1560" w:type="dxa"/>
            <w:vAlign w:val="bottom"/>
            <w:tcBorders>
              <w:bottom w:val="single" w:sz="8" w:color="CFCFD2"/>
            </w:tcBorders>
          </w:tcPr>
          <w:p>
            <w:pPr>
              <w:jc w:val="center"/>
              <w:spacing w:after="0"/>
              <w:rPr>
                <w:sz w:val="20"/>
                <w:szCs w:val="20"/>
                <w:color w:val="auto"/>
              </w:rPr>
            </w:pPr>
            <w:r>
              <w:rPr>
                <w:rFonts w:ascii="Arial" w:cs="Arial" w:eastAsia="Arial" w:hAnsi="Arial"/>
                <w:sz w:val="14"/>
                <w:szCs w:val="14"/>
                <w:color w:val="0E1020"/>
                <w:w w:val="99"/>
              </w:rPr>
              <w:t>73%</w:t>
            </w:r>
          </w:p>
        </w:tc>
        <w:tc>
          <w:tcPr>
            <w:tcW w:w="580" w:type="dxa"/>
            <w:vAlign w:val="bottom"/>
            <w:tcBorders>
              <w:bottom w:val="single" w:sz="8" w:color="CFCFD2"/>
            </w:tcBorders>
          </w:tcPr>
          <w:p>
            <w:pPr>
              <w:ind w:left="280"/>
              <w:spacing w:after="0"/>
              <w:rPr>
                <w:sz w:val="20"/>
                <w:szCs w:val="20"/>
                <w:color w:val="auto"/>
              </w:rPr>
            </w:pPr>
            <w:r>
              <w:rPr>
                <w:rFonts w:ascii="Arial" w:cs="Arial" w:eastAsia="Arial" w:hAnsi="Arial"/>
                <w:sz w:val="14"/>
                <w:szCs w:val="14"/>
                <w:color w:val="0E1020"/>
              </w:rPr>
              <w:t>X</w:t>
            </w:r>
          </w:p>
        </w:tc>
        <w:tc>
          <w:tcPr>
            <w:tcW w:w="1720" w:type="dxa"/>
            <w:vAlign w:val="bottom"/>
            <w:tcBorders>
              <w:bottom w:val="single" w:sz="8" w:color="CFCFD2"/>
            </w:tcBorders>
          </w:tcPr>
          <w:p>
            <w:pPr>
              <w:jc w:val="center"/>
              <w:spacing w:after="0"/>
              <w:rPr>
                <w:sz w:val="20"/>
                <w:szCs w:val="20"/>
                <w:color w:val="auto"/>
              </w:rPr>
            </w:pPr>
            <w:r>
              <w:rPr>
                <w:rFonts w:ascii="Arial" w:cs="Arial" w:eastAsia="Arial" w:hAnsi="Arial"/>
                <w:sz w:val="14"/>
                <w:szCs w:val="14"/>
                <w:color w:val="0E1020"/>
              </w:rPr>
              <w:t>1,080,000</w:t>
            </w:r>
          </w:p>
        </w:tc>
        <w:tc>
          <w:tcPr>
            <w:tcW w:w="520" w:type="dxa"/>
            <w:vAlign w:val="bottom"/>
            <w:tcBorders>
              <w:bottom w:val="single" w:sz="8" w:color="CFCFD2"/>
            </w:tcBorders>
          </w:tcPr>
          <w:p>
            <w:pPr>
              <w:jc w:val="right"/>
              <w:ind w:right="149"/>
              <w:spacing w:after="0"/>
              <w:rPr>
                <w:sz w:val="20"/>
                <w:szCs w:val="20"/>
                <w:color w:val="auto"/>
              </w:rPr>
            </w:pPr>
            <w:r>
              <w:rPr>
                <w:rFonts w:ascii="Arial" w:cs="Arial" w:eastAsia="Arial" w:hAnsi="Arial"/>
                <w:sz w:val="14"/>
                <w:szCs w:val="14"/>
                <w:color w:val="0E1020"/>
              </w:rPr>
              <w:t>=</w:t>
            </w:r>
          </w:p>
        </w:tc>
        <w:tc>
          <w:tcPr>
            <w:tcW w:w="1620" w:type="dxa"/>
            <w:vAlign w:val="bottom"/>
            <w:tcBorders>
              <w:bottom w:val="single" w:sz="8" w:color="CFCFD2"/>
            </w:tcBorders>
          </w:tcPr>
          <w:p>
            <w:pPr>
              <w:jc w:val="center"/>
              <w:spacing w:after="0"/>
              <w:rPr>
                <w:sz w:val="20"/>
                <w:szCs w:val="20"/>
                <w:color w:val="auto"/>
              </w:rPr>
            </w:pPr>
            <w:r>
              <w:rPr>
                <w:rFonts w:ascii="Arial" w:cs="Arial" w:eastAsia="Arial" w:hAnsi="Arial"/>
                <w:sz w:val="14"/>
                <w:szCs w:val="14"/>
                <w:color w:val="0E1020"/>
              </w:rPr>
              <w:t>788,400</w:t>
            </w:r>
          </w:p>
        </w:tc>
      </w:tr>
      <w:tr>
        <w:trPr>
          <w:trHeight w:val="221"/>
        </w:trPr>
        <w:tc>
          <w:tcPr>
            <w:tcW w:w="52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Raymond A. August</w:t>
            </w:r>
            <w:r>
              <w:rPr>
                <w:rFonts w:ascii="Arial" w:cs="Arial" w:eastAsia="Arial" w:hAnsi="Arial"/>
                <w:sz w:val="9"/>
                <w:szCs w:val="9"/>
                <w:b w:val="1"/>
                <w:bCs w:val="1"/>
                <w:color w:val="004AAC"/>
              </w:rPr>
              <w:t>(2)</w:t>
            </w:r>
          </w:p>
        </w:tc>
        <w:tc>
          <w:tcPr>
            <w:tcW w:w="1560" w:type="dxa"/>
            <w:vAlign w:val="bottom"/>
            <w:tcBorders>
              <w:bottom w:val="single" w:sz="8" w:color="CFCFD2"/>
            </w:tcBorders>
          </w:tcPr>
          <w:p>
            <w:pPr>
              <w:jc w:val="center"/>
              <w:spacing w:after="0"/>
              <w:rPr>
                <w:sz w:val="20"/>
                <w:szCs w:val="20"/>
                <w:color w:val="auto"/>
              </w:rPr>
            </w:pPr>
            <w:r>
              <w:rPr>
                <w:rFonts w:ascii="Arial" w:cs="Arial" w:eastAsia="Arial" w:hAnsi="Arial"/>
                <w:sz w:val="14"/>
                <w:szCs w:val="14"/>
                <w:color w:val="0E1020"/>
                <w:w w:val="99"/>
              </w:rPr>
              <w:t>71%</w:t>
            </w:r>
          </w:p>
        </w:tc>
        <w:tc>
          <w:tcPr>
            <w:tcW w:w="580" w:type="dxa"/>
            <w:vAlign w:val="bottom"/>
            <w:tcBorders>
              <w:bottom w:val="single" w:sz="8" w:color="CFCFD2"/>
            </w:tcBorders>
          </w:tcPr>
          <w:p>
            <w:pPr>
              <w:ind w:left="280"/>
              <w:spacing w:after="0"/>
              <w:rPr>
                <w:sz w:val="20"/>
                <w:szCs w:val="20"/>
                <w:color w:val="auto"/>
              </w:rPr>
            </w:pPr>
            <w:r>
              <w:rPr>
                <w:rFonts w:ascii="Arial" w:cs="Arial" w:eastAsia="Arial" w:hAnsi="Arial"/>
                <w:sz w:val="14"/>
                <w:szCs w:val="14"/>
                <w:color w:val="0E1020"/>
              </w:rPr>
              <w:t>X</w:t>
            </w:r>
          </w:p>
        </w:tc>
        <w:tc>
          <w:tcPr>
            <w:tcW w:w="1720" w:type="dxa"/>
            <w:vAlign w:val="bottom"/>
            <w:tcBorders>
              <w:bottom w:val="single" w:sz="8" w:color="CFCFD2"/>
            </w:tcBorders>
          </w:tcPr>
          <w:p>
            <w:pPr>
              <w:jc w:val="center"/>
              <w:spacing w:after="0"/>
              <w:rPr>
                <w:sz w:val="20"/>
                <w:szCs w:val="20"/>
                <w:color w:val="auto"/>
              </w:rPr>
            </w:pPr>
            <w:r>
              <w:rPr>
                <w:rFonts w:ascii="Arial" w:cs="Arial" w:eastAsia="Arial" w:hAnsi="Arial"/>
                <w:sz w:val="14"/>
                <w:szCs w:val="14"/>
                <w:color w:val="0E1020"/>
              </w:rPr>
              <w:t>805,000</w:t>
            </w:r>
          </w:p>
        </w:tc>
        <w:tc>
          <w:tcPr>
            <w:tcW w:w="520" w:type="dxa"/>
            <w:vAlign w:val="bottom"/>
            <w:tcBorders>
              <w:bottom w:val="single" w:sz="8" w:color="CFCFD2"/>
            </w:tcBorders>
          </w:tcPr>
          <w:p>
            <w:pPr>
              <w:jc w:val="right"/>
              <w:ind w:right="149"/>
              <w:spacing w:after="0"/>
              <w:rPr>
                <w:sz w:val="20"/>
                <w:szCs w:val="20"/>
                <w:color w:val="auto"/>
              </w:rPr>
            </w:pPr>
            <w:r>
              <w:rPr>
                <w:rFonts w:ascii="Arial" w:cs="Arial" w:eastAsia="Arial" w:hAnsi="Arial"/>
                <w:sz w:val="14"/>
                <w:szCs w:val="14"/>
                <w:color w:val="0E1020"/>
              </w:rPr>
              <w:t>=</w:t>
            </w:r>
          </w:p>
        </w:tc>
        <w:tc>
          <w:tcPr>
            <w:tcW w:w="1620" w:type="dxa"/>
            <w:vAlign w:val="bottom"/>
            <w:tcBorders>
              <w:bottom w:val="single" w:sz="8" w:color="CFCFD2"/>
            </w:tcBorders>
          </w:tcPr>
          <w:p>
            <w:pPr>
              <w:jc w:val="center"/>
              <w:spacing w:after="0"/>
              <w:rPr>
                <w:sz w:val="20"/>
                <w:szCs w:val="20"/>
                <w:color w:val="auto"/>
              </w:rPr>
            </w:pPr>
            <w:r>
              <w:rPr>
                <w:rFonts w:ascii="Arial" w:cs="Arial" w:eastAsia="Arial" w:hAnsi="Arial"/>
                <w:sz w:val="14"/>
                <w:szCs w:val="14"/>
                <w:color w:val="0E1020"/>
              </w:rPr>
              <w:t>571,550</w:t>
            </w:r>
          </w:p>
        </w:tc>
      </w:tr>
      <w:tr>
        <w:trPr>
          <w:trHeight w:val="221"/>
        </w:trPr>
        <w:tc>
          <w:tcPr>
            <w:tcW w:w="52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Matthew K. Fawcett</w:t>
            </w:r>
          </w:p>
        </w:tc>
        <w:tc>
          <w:tcPr>
            <w:tcW w:w="1560" w:type="dxa"/>
            <w:vAlign w:val="bottom"/>
            <w:tcBorders>
              <w:bottom w:val="single" w:sz="8" w:color="CFCFD2"/>
            </w:tcBorders>
          </w:tcPr>
          <w:p>
            <w:pPr>
              <w:jc w:val="center"/>
              <w:spacing w:after="0"/>
              <w:rPr>
                <w:sz w:val="20"/>
                <w:szCs w:val="20"/>
                <w:color w:val="auto"/>
              </w:rPr>
            </w:pPr>
            <w:r>
              <w:rPr>
                <w:rFonts w:ascii="Arial" w:cs="Arial" w:eastAsia="Arial" w:hAnsi="Arial"/>
                <w:sz w:val="14"/>
                <w:szCs w:val="14"/>
                <w:color w:val="0E1020"/>
                <w:w w:val="99"/>
              </w:rPr>
              <w:t>77%</w:t>
            </w:r>
          </w:p>
        </w:tc>
        <w:tc>
          <w:tcPr>
            <w:tcW w:w="580" w:type="dxa"/>
            <w:vAlign w:val="bottom"/>
            <w:tcBorders>
              <w:bottom w:val="single" w:sz="8" w:color="CFCFD2"/>
            </w:tcBorders>
          </w:tcPr>
          <w:p>
            <w:pPr>
              <w:ind w:left="280"/>
              <w:spacing w:after="0"/>
              <w:rPr>
                <w:sz w:val="20"/>
                <w:szCs w:val="20"/>
                <w:color w:val="auto"/>
              </w:rPr>
            </w:pPr>
            <w:r>
              <w:rPr>
                <w:rFonts w:ascii="Arial" w:cs="Arial" w:eastAsia="Arial" w:hAnsi="Arial"/>
                <w:sz w:val="14"/>
                <w:szCs w:val="14"/>
                <w:color w:val="0E1020"/>
              </w:rPr>
              <w:t>X</w:t>
            </w:r>
          </w:p>
        </w:tc>
        <w:tc>
          <w:tcPr>
            <w:tcW w:w="1720" w:type="dxa"/>
            <w:vAlign w:val="bottom"/>
            <w:tcBorders>
              <w:bottom w:val="single" w:sz="8" w:color="CFCFD2"/>
            </w:tcBorders>
          </w:tcPr>
          <w:p>
            <w:pPr>
              <w:jc w:val="center"/>
              <w:spacing w:after="0"/>
              <w:rPr>
                <w:sz w:val="20"/>
                <w:szCs w:val="20"/>
                <w:color w:val="auto"/>
              </w:rPr>
            </w:pPr>
            <w:r>
              <w:rPr>
                <w:rFonts w:ascii="Arial" w:cs="Arial" w:eastAsia="Arial" w:hAnsi="Arial"/>
                <w:sz w:val="14"/>
                <w:szCs w:val="14"/>
                <w:color w:val="0E1020"/>
              </w:rPr>
              <w:t>742,500</w:t>
            </w:r>
          </w:p>
        </w:tc>
        <w:tc>
          <w:tcPr>
            <w:tcW w:w="520" w:type="dxa"/>
            <w:vAlign w:val="bottom"/>
            <w:tcBorders>
              <w:bottom w:val="single" w:sz="8" w:color="CFCFD2"/>
            </w:tcBorders>
          </w:tcPr>
          <w:p>
            <w:pPr>
              <w:jc w:val="right"/>
              <w:ind w:right="149"/>
              <w:spacing w:after="0"/>
              <w:rPr>
                <w:sz w:val="20"/>
                <w:szCs w:val="20"/>
                <w:color w:val="auto"/>
              </w:rPr>
            </w:pPr>
            <w:r>
              <w:rPr>
                <w:rFonts w:ascii="Arial" w:cs="Arial" w:eastAsia="Arial" w:hAnsi="Arial"/>
                <w:sz w:val="14"/>
                <w:szCs w:val="14"/>
                <w:color w:val="0E1020"/>
              </w:rPr>
              <w:t>=</w:t>
            </w:r>
          </w:p>
        </w:tc>
        <w:tc>
          <w:tcPr>
            <w:tcW w:w="1620" w:type="dxa"/>
            <w:vAlign w:val="bottom"/>
            <w:tcBorders>
              <w:bottom w:val="single" w:sz="8" w:color="CFCFD2"/>
            </w:tcBorders>
          </w:tcPr>
          <w:p>
            <w:pPr>
              <w:jc w:val="center"/>
              <w:spacing w:after="0"/>
              <w:rPr>
                <w:sz w:val="20"/>
                <w:szCs w:val="20"/>
                <w:color w:val="auto"/>
              </w:rPr>
            </w:pPr>
            <w:r>
              <w:rPr>
                <w:rFonts w:ascii="Arial" w:cs="Arial" w:eastAsia="Arial" w:hAnsi="Arial"/>
                <w:sz w:val="14"/>
                <w:szCs w:val="14"/>
                <w:color w:val="0E1020"/>
              </w:rPr>
              <w:t>571,725</w:t>
            </w:r>
          </w:p>
        </w:tc>
      </w:tr>
    </w:tbl>
    <w:p>
      <w:pPr>
        <w:spacing w:after="0" w:line="192" w:lineRule="exact"/>
        <w:rPr>
          <w:sz w:val="20"/>
          <w:szCs w:val="20"/>
          <w:color w:val="auto"/>
        </w:rPr>
      </w:pPr>
    </w:p>
    <w:p>
      <w:pPr>
        <w:ind w:left="500" w:hanging="332"/>
        <w:spacing w:after="0"/>
        <w:tabs>
          <w:tab w:leader="none" w:pos="500" w:val="left"/>
        </w:tabs>
        <w:numPr>
          <w:ilvl w:val="0"/>
          <w:numId w:val="76"/>
        </w:numPr>
        <w:rPr>
          <w:rFonts w:ascii="Arial" w:cs="Arial" w:eastAsia="Arial" w:hAnsi="Arial"/>
          <w:sz w:val="14"/>
          <w:szCs w:val="14"/>
          <w:color w:val="0E1020"/>
        </w:rPr>
      </w:pPr>
      <w:r>
        <w:rPr>
          <w:rFonts w:ascii="Arial" w:cs="Arial" w:eastAsia="Arial" w:hAnsi="Arial"/>
          <w:sz w:val="14"/>
          <w:szCs w:val="14"/>
          <w:color w:val="0E1020"/>
        </w:rPr>
        <w:t>Mr. Boville left DXC during fiscal 2026 and his entire fiscal 2026 annual cash incentive payout opportunity was canceled.</w:t>
      </w:r>
    </w:p>
    <w:p>
      <w:pPr>
        <w:spacing w:after="0" w:line="66" w:lineRule="exact"/>
        <w:rPr>
          <w:rFonts w:ascii="Arial" w:cs="Arial" w:eastAsia="Arial" w:hAnsi="Arial"/>
          <w:sz w:val="14"/>
          <w:szCs w:val="14"/>
          <w:color w:val="0E1020"/>
        </w:rPr>
      </w:pPr>
    </w:p>
    <w:p>
      <w:pPr>
        <w:ind w:left="480" w:right="300" w:hanging="312"/>
        <w:spacing w:after="0" w:line="302" w:lineRule="auto"/>
        <w:tabs>
          <w:tab w:leader="none" w:pos="453" w:val="left"/>
        </w:tabs>
        <w:numPr>
          <w:ilvl w:val="0"/>
          <w:numId w:val="76"/>
        </w:numPr>
        <w:rPr>
          <w:rFonts w:ascii="Arial" w:cs="Arial" w:eastAsia="Arial" w:hAnsi="Arial"/>
          <w:sz w:val="14"/>
          <w:szCs w:val="14"/>
          <w:color w:val="0E1020"/>
        </w:rPr>
      </w:pPr>
      <w:r>
        <w:rPr>
          <w:rFonts w:ascii="Arial" w:cs="Arial" w:eastAsia="Arial" w:hAnsi="Arial"/>
          <w:sz w:val="14"/>
          <w:szCs w:val="14"/>
          <w:color w:val="0E1020"/>
        </w:rPr>
        <w:t>In accordance with the fiscal 2026 annual cash incentive plan design, the funding for Mr. Drumgoole’s and Mr. August’s individual payouts were modified based on the financial performance of their respective business offerings.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Long-Term Incentives</w:t>
      </w:r>
    </w:p>
    <w:p>
      <w:pPr>
        <w:spacing w:after="0" w:line="133" w:lineRule="exact"/>
        <w:rPr>
          <w:sz w:val="20"/>
          <w:szCs w:val="20"/>
          <w:color w:val="auto"/>
        </w:rPr>
      </w:pPr>
    </w:p>
    <w:p>
      <w:pPr>
        <w:ind w:right="720"/>
        <w:spacing w:after="0" w:line="335" w:lineRule="auto"/>
        <w:rPr>
          <w:sz w:val="20"/>
          <w:szCs w:val="20"/>
          <w:color w:val="auto"/>
        </w:rPr>
      </w:pPr>
      <w:r>
        <w:rPr>
          <w:rFonts w:ascii="Arial" w:cs="Arial" w:eastAsia="Arial" w:hAnsi="Arial"/>
          <w:sz w:val="16"/>
          <w:szCs w:val="16"/>
          <w:color w:val="0E1020"/>
        </w:rPr>
        <w:t>The third main component of our executive compensation program is long-term incentives delivered in the form of equity. Consistent with our pay for performance philosophy, this component is also the largest component of executive total pay.</w:t>
      </w:r>
    </w:p>
    <w:p>
      <w:pPr>
        <w:spacing w:after="0" w:line="23" w:lineRule="exact"/>
        <w:rPr>
          <w:sz w:val="20"/>
          <w:szCs w:val="20"/>
          <w:color w:val="auto"/>
        </w:rPr>
      </w:pPr>
    </w:p>
    <w:p>
      <w:pPr>
        <w:ind w:right="180"/>
        <w:spacing w:after="0" w:line="310" w:lineRule="auto"/>
        <w:rPr>
          <w:sz w:val="20"/>
          <w:szCs w:val="20"/>
          <w:color w:val="auto"/>
        </w:rPr>
      </w:pPr>
      <w:r>
        <w:rPr>
          <w:rFonts w:ascii="Arial" w:cs="Arial" w:eastAsia="Arial" w:hAnsi="Arial"/>
          <w:sz w:val="16"/>
          <w:szCs w:val="16"/>
          <w:color w:val="0E1020"/>
        </w:rPr>
        <w:t>Long-term incentive equity awards are prospective in nature and intended to tie a substantial portion of an executive’s pay to creating long-term stockholder value. The Compensation Committee, based on recommendations from management and its compensation consultant, structured the long-term incentive opportunity for the NEOs to motivate executive officers to achieve multi-year strategic goals and deliver sustained long-term value to stockholders, and to reward them for doing so.</w:t>
      </w:r>
    </w:p>
    <w:p>
      <w:pPr>
        <w:spacing w:after="0" w:line="41" w:lineRule="exact"/>
        <w:rPr>
          <w:sz w:val="20"/>
          <w:szCs w:val="20"/>
          <w:color w:val="auto"/>
        </w:rPr>
      </w:pPr>
    </w:p>
    <w:p>
      <w:pPr>
        <w:ind w:right="140"/>
        <w:spacing w:after="0" w:line="316" w:lineRule="auto"/>
        <w:rPr>
          <w:sz w:val="20"/>
          <w:szCs w:val="20"/>
          <w:color w:val="auto"/>
        </w:rPr>
      </w:pPr>
      <w:r>
        <w:rPr>
          <w:rFonts w:ascii="Arial" w:cs="Arial" w:eastAsia="Arial" w:hAnsi="Arial"/>
          <w:sz w:val="16"/>
          <w:szCs w:val="16"/>
          <w:color w:val="0E1020"/>
        </w:rPr>
        <w:t>The use of equity as the vehicle for long-term incentives creates a strong link between performance and payouts, and a strong alignment between the interests of executive officers and our stockholders. Multi-year vesting improves retention because it gives executives an incentive to stay with the Company throughout the vesting period and be actively engaged in driving strong financial results.</w:t>
      </w:r>
    </w:p>
    <w:p>
      <w:pPr>
        <w:spacing w:after="0" w:line="37" w:lineRule="exact"/>
        <w:rPr>
          <w:sz w:val="20"/>
          <w:szCs w:val="20"/>
          <w:color w:val="auto"/>
        </w:rPr>
      </w:pPr>
    </w:p>
    <w:p>
      <w:pPr>
        <w:ind w:right="60"/>
        <w:spacing w:after="0" w:line="335" w:lineRule="auto"/>
        <w:rPr>
          <w:sz w:val="20"/>
          <w:szCs w:val="20"/>
          <w:color w:val="auto"/>
        </w:rPr>
      </w:pPr>
      <w:r>
        <w:rPr>
          <w:rFonts w:ascii="Arial" w:cs="Arial" w:eastAsia="Arial" w:hAnsi="Arial"/>
          <w:sz w:val="16"/>
          <w:szCs w:val="16"/>
          <w:color w:val="0E1020"/>
        </w:rPr>
        <w:t>Finally, stock-based grants create an ownership mindset by giving executives an equity stake in the business, which gives them a strong incentive to manage the Company with the long-term perspective of an owner.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74</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82" w:name="page83"/>
    <w:bookmarkEnd w:id="82"/>
    <w:p>
      <w:pPr>
        <w:ind w:left="20"/>
        <w:spacing w:after="0"/>
        <w:tabs>
          <w:tab w:leader="none" w:pos="962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Equity Vehicles and Mix for Annual Grants, including the Fiscal 2026 CEO and CFO Front-Loaded Equity Awards</w:t>
      </w:r>
    </w:p>
    <w:p>
      <w:pPr>
        <w:spacing w:after="0" w:line="84" w:lineRule="exact"/>
        <w:rPr>
          <w:sz w:val="20"/>
          <w:szCs w:val="20"/>
          <w:color w:val="auto"/>
        </w:rPr>
      </w:pPr>
    </w:p>
    <w:p>
      <w:pPr>
        <w:spacing w:after="0" w:line="335" w:lineRule="auto"/>
        <w:rPr>
          <w:sz w:val="20"/>
          <w:szCs w:val="20"/>
          <w:color w:val="auto"/>
        </w:rPr>
      </w:pPr>
      <w:r>
        <w:rPr>
          <w:rFonts w:ascii="Arial" w:cs="Arial" w:eastAsia="Arial" w:hAnsi="Arial"/>
          <w:sz w:val="16"/>
          <w:szCs w:val="16"/>
          <w:color w:val="0E1020"/>
        </w:rPr>
        <w:t>In fiscal 2026, effective as of May 16, 2025, the Board granted front-loaded equity awards intended to replace annual equity awards for the next three years to Mr. Fernandez and Mr. Del Bene, comprised of 85% PSUs and 15% RSUs (the “CEO and CFO front-loaded equity awards”).</w:t>
      </w:r>
    </w:p>
    <w:p>
      <w:pPr>
        <w:spacing w:after="0" w:line="36"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color w:val="0E1020"/>
        </w:rPr>
        <w:t>The CEO and CFO front-loaded equity awards are intended to be in lieu of any annual equity awards which Mr. Fernandez or Mr. Del Bene would have otherwise been granted with respect to the next three fiscal years as part of the Company’s annual merit process, and the Compensation Committee does not intend to issue any other equity awards to Mr. Fernandez or Mr. Del Bene in the next three fiscal years through DXC’s fiscal 2028.</w:t>
      </w:r>
    </w:p>
    <w:p>
      <w:pPr>
        <w:spacing w:after="0" w:line="5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0E1020"/>
        </w:rPr>
        <w:t>As part of the overall retention strategy, the Committee aligned the other NEOs’ annual cycle fiscal 2026 PSUs with the same components and targets as the CEO and CFO front-loaded equity awards. All fiscal 2026 PSUs will vest based on the achievement of cumulative Free Cash Flow (“FCF”) and cumulative Revenue (“Revenue”) against pre-set targets over the three-year performance period that are designed to be both challenging and align with DXC’s strategic plan to improve future financial performance, with FCF weighted at 80% and Revenue weighted at 20%.</w:t>
      </w:r>
      <w:r>
        <w:rPr>
          <w:rFonts w:ascii="Arial" w:cs="Arial" w:eastAsia="Arial" w:hAnsi="Arial"/>
          <w:sz w:val="20"/>
          <w:szCs w:val="20"/>
          <w:color w:val="0E1020"/>
          <w:vertAlign w:val="superscript"/>
        </w:rPr>
        <w:t>1</w:t>
      </w:r>
      <w:r>
        <w:rPr>
          <w:rFonts w:ascii="Arial" w:cs="Arial" w:eastAsia="Arial" w:hAnsi="Arial"/>
          <w:sz w:val="16"/>
          <w:szCs w:val="16"/>
          <w:color w:val="0E1020"/>
        </w:rPr>
        <w:t xml:space="preserve"> The Compensation Committee believes these components best align executive pay with stockholder value creation as well as business operations.</w:t>
      </w:r>
    </w:p>
    <w:p>
      <w:pPr>
        <w:spacing w:after="0" w:line="43" w:lineRule="exact"/>
        <w:rPr>
          <w:sz w:val="20"/>
          <w:szCs w:val="20"/>
          <w:color w:val="auto"/>
        </w:rPr>
      </w:pPr>
    </w:p>
    <w:p>
      <w:pPr>
        <w:ind w:left="480" w:right="100" w:hanging="312"/>
        <w:spacing w:after="0" w:line="264" w:lineRule="auto"/>
        <w:tabs>
          <w:tab w:leader="none" w:pos="480" w:val="left"/>
        </w:tabs>
        <w:numPr>
          <w:ilvl w:val="0"/>
          <w:numId w:val="77"/>
        </w:numPr>
        <w:rPr>
          <w:rFonts w:ascii="Arial" w:cs="Arial" w:eastAsia="Arial" w:hAnsi="Arial"/>
          <w:sz w:val="14"/>
          <w:szCs w:val="14"/>
          <w:color w:val="0E1020"/>
        </w:rPr>
      </w:pPr>
      <w:r>
        <w:rPr>
          <w:rFonts w:ascii="Arial" w:cs="Arial" w:eastAsia="Arial" w:hAnsi="Arial"/>
          <w:sz w:val="14"/>
          <w:szCs w:val="14"/>
          <w:color w:val="0E1020"/>
        </w:rPr>
        <w:t>FCF is defined as the total of the Company’s cash flow from operations, less capital expenditures, and Revenue is defined as GAAP revenue, excluding certain items which are not indicative of operating performance including, but not limited to fluctuations in foreign currency rates, acquisitions and divestitures, in both respects as determined by the Compensation Committee. The Compensation Committee may, in its good faith discretion, adjust the performance targets and/or measured results of both FCF and Revenue to reflect the impact of any extraordinary transactions or events, including, but not limited to mergers, acquisitions, disposition of assets, material cash receipts or outlays due to litigation, claim judgements or settlements, and changes in tax law that have a material impact on DXC. For a reconciliation of non-GAAP measures as set forth in this Proxy Statement to the most directly comparable GAAP measures, see “Appendix A - Non-GAAP Financial Measures.”</w:t>
      </w:r>
    </w:p>
    <w:p>
      <w:pPr>
        <w:spacing w:after="0" w:line="16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0E1020"/>
        </w:rPr>
        <w:t>The number of PSUs earned based on achievement of the FCF and Revenue targets is then subject to a modifier based on relative Total Shareholder Return (“rTSR”) against a comparator peer group approved by the Compensation Committee and the Board, measured at the end of the performance period. If DXC’s rTSR ranks at or below the 25th percentile of the comparator peer group then the PSU payout will be reduced by 20%, and if DXC’s rTSR ranks at or above the 75th percentile of the comparator peer group then the PSU payout will be increased by 20%, with no modifier applied to the payout if DXC’s rTSR is at the 50th percentile. If achievement falls between the threshold and maximum achievement levels for any of the performance metrics (including, for the avoidance of doubt, the rTSR modifier), performance will be determined using straight-line interpolation. Notwithstanding the foregoing, in the event DXC’s total shareholder return is negative, no positive rTSR modifier will be applied even if DXC’s rTSR is otherwise above the 50th percentile. In addition, in the event that maximum achievement levels are attained, the maximum payout of 200% of the target number of PSUs is inclusive of the rTSR modifier.</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0E1020"/>
        </w:rPr>
        <w:t>All fiscal 2026 RSUs will vest in three equal installments on each of the first three anniversaries of the grant date.</w:t>
      </w:r>
    </w:p>
    <w:p>
      <w:pPr>
        <w:spacing w:after="0" w:line="124" w:lineRule="exact"/>
        <w:rPr>
          <w:sz w:val="20"/>
          <w:szCs w:val="20"/>
          <w:color w:val="auto"/>
        </w:rPr>
      </w:pPr>
    </w:p>
    <w:p>
      <w:pPr>
        <w:ind w:right="200"/>
        <w:spacing w:after="0" w:line="316" w:lineRule="auto"/>
        <w:rPr>
          <w:sz w:val="20"/>
          <w:szCs w:val="20"/>
          <w:color w:val="auto"/>
        </w:rPr>
      </w:pPr>
      <w:r>
        <w:rPr>
          <w:rFonts w:ascii="Arial" w:cs="Arial" w:eastAsia="Arial" w:hAnsi="Arial"/>
          <w:sz w:val="16"/>
          <w:szCs w:val="16"/>
          <w:color w:val="0E1020"/>
        </w:rPr>
        <w:t>The CEO and CFO front-loaded equity awards are also subject to certain good leaver termination protections substantially similar to those applicable to Mr. Fernandez’s prior equity awards as described below, except that Mr. Fernandez is not entitled to continued vesting or any other acceleration of his front-loaded equity awards upon his retirement or other resignation without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75</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1"/>
        </w:trPr>
        <w:tc>
          <w:tcPr>
            <w:tcW w:w="3380" w:type="dxa"/>
            <w:vAlign w:val="bottom"/>
            <w:gridSpan w:val="3"/>
          </w:tcPr>
          <w:p>
            <w:pPr>
              <w:ind w:left="20"/>
              <w:spacing w:after="0"/>
              <w:rPr>
                <w:sz w:val="20"/>
                <w:szCs w:val="20"/>
                <w:color w:val="auto"/>
              </w:rPr>
            </w:pPr>
            <w:r>
              <w:rPr>
                <w:rFonts w:ascii="Arial" w:cs="Arial" w:eastAsia="Arial" w:hAnsi="Arial"/>
                <w:sz w:val="14"/>
                <w:szCs w:val="14"/>
                <w:color w:val="auto"/>
              </w:rPr>
              <w:t>Executive Compensation</w:t>
            </w:r>
          </w:p>
        </w:tc>
        <w:tc>
          <w:tcPr>
            <w:tcW w:w="15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0000FF"/>
                <w:w w:val="99"/>
              </w:rPr>
              <w:t>Table of Contents</w:t>
            </w:r>
          </w:p>
        </w:tc>
        <w:tc>
          <w:tcPr>
            <w:tcW w:w="0" w:type="dxa"/>
            <w:vAlign w:val="bottom"/>
          </w:tcPr>
          <w:p>
            <w:pPr>
              <w:spacing w:after="0"/>
              <w:rPr>
                <w:sz w:val="1"/>
                <w:szCs w:val="1"/>
                <w:color w:val="auto"/>
              </w:rPr>
            </w:pPr>
          </w:p>
        </w:tc>
      </w:tr>
      <w:tr>
        <w:trPr>
          <w:trHeight w:val="570"/>
        </w:trPr>
        <w:tc>
          <w:tcPr>
            <w:tcW w:w="1320" w:type="dxa"/>
            <w:vAlign w:val="bottom"/>
          </w:tcPr>
          <w:p>
            <w:pPr>
              <w:spacing w:after="0"/>
              <w:rPr>
                <w:sz w:val="24"/>
                <w:szCs w:val="24"/>
                <w:color w:val="auto"/>
              </w:rPr>
            </w:pPr>
          </w:p>
        </w:tc>
        <w:tc>
          <w:tcPr>
            <w:tcW w:w="2060" w:type="dxa"/>
            <w:vAlign w:val="bottom"/>
            <w:gridSpan w:val="2"/>
          </w:tcPr>
          <w:p>
            <w:pPr>
              <w:spacing w:after="0"/>
              <w:rPr>
                <w:sz w:val="24"/>
                <w:szCs w:val="24"/>
                <w:color w:val="auto"/>
              </w:rPr>
            </w:pPr>
          </w:p>
        </w:tc>
        <w:tc>
          <w:tcPr>
            <w:tcW w:w="15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320" w:type="dxa"/>
            <w:vAlign w:val="bottom"/>
            <w:shd w:val="clear" w:color="auto" w:fill="F6F3F0"/>
          </w:tcPr>
          <w:p>
            <w:pPr>
              <w:spacing w:after="0"/>
              <w:rPr>
                <w:sz w:val="21"/>
                <w:szCs w:val="21"/>
                <w:color w:val="auto"/>
              </w:rPr>
            </w:pPr>
          </w:p>
        </w:tc>
        <w:tc>
          <w:tcPr>
            <w:tcW w:w="2060" w:type="dxa"/>
            <w:vAlign w:val="bottom"/>
            <w:gridSpan w:val="2"/>
            <w:shd w:val="clear" w:color="auto" w:fill="F6F3F0"/>
          </w:tcPr>
          <w:p>
            <w:pPr>
              <w:ind w:left="20"/>
              <w:spacing w:after="0"/>
              <w:rPr>
                <w:sz w:val="20"/>
                <w:szCs w:val="20"/>
                <w:color w:val="auto"/>
              </w:rPr>
            </w:pPr>
            <w:r>
              <w:rPr>
                <w:rFonts w:ascii="Arial" w:cs="Arial" w:eastAsia="Arial" w:hAnsi="Arial"/>
                <w:sz w:val="14"/>
                <w:szCs w:val="14"/>
                <w:b w:val="1"/>
                <w:bCs w:val="1"/>
                <w:color w:val="0E1020"/>
              </w:rPr>
              <w:t>Fiscal 2026</w:t>
            </w:r>
          </w:p>
        </w:tc>
        <w:tc>
          <w:tcPr>
            <w:tcW w:w="1540" w:type="dxa"/>
            <w:vAlign w:val="bottom"/>
            <w:shd w:val="clear" w:color="auto" w:fill="F6F3F0"/>
          </w:tcPr>
          <w:p>
            <w:pPr>
              <w:ind w:left="20"/>
              <w:spacing w:after="0"/>
              <w:rPr>
                <w:sz w:val="20"/>
                <w:szCs w:val="20"/>
                <w:color w:val="auto"/>
              </w:rPr>
            </w:pPr>
            <w:r>
              <w:rPr>
                <w:rFonts w:ascii="Arial" w:cs="Arial" w:eastAsia="Arial" w:hAnsi="Arial"/>
                <w:sz w:val="14"/>
                <w:szCs w:val="14"/>
                <w:b w:val="1"/>
                <w:bCs w:val="1"/>
                <w:color w:val="0E1020"/>
              </w:rPr>
              <w:t>Vesting</w:t>
            </w:r>
          </w:p>
        </w:tc>
        <w:tc>
          <w:tcPr>
            <w:tcW w:w="2900" w:type="dxa"/>
            <w:vAlign w:val="bottom"/>
            <w:shd w:val="clear" w:color="auto" w:fill="F6F3F0"/>
          </w:tcPr>
          <w:p>
            <w:pPr>
              <w:ind w:left="80"/>
              <w:spacing w:after="0"/>
              <w:rPr>
                <w:sz w:val="20"/>
                <w:szCs w:val="20"/>
                <w:color w:val="auto"/>
              </w:rPr>
            </w:pPr>
            <w:r>
              <w:rPr>
                <w:rFonts w:ascii="Arial" w:cs="Arial" w:eastAsia="Arial" w:hAnsi="Arial"/>
                <w:sz w:val="14"/>
                <w:szCs w:val="14"/>
                <w:b w:val="1"/>
                <w:bCs w:val="1"/>
                <w:color w:val="0E1020"/>
              </w:rPr>
              <w:t>How Payouts</w:t>
            </w:r>
          </w:p>
        </w:tc>
        <w:tc>
          <w:tcPr>
            <w:tcW w:w="260" w:type="dxa"/>
            <w:vAlign w:val="bottom"/>
            <w:shd w:val="clear" w:color="auto" w:fill="F6F3F0"/>
          </w:tcPr>
          <w:p>
            <w:pPr>
              <w:spacing w:after="0"/>
              <w:rPr>
                <w:sz w:val="21"/>
                <w:szCs w:val="21"/>
                <w:color w:val="auto"/>
              </w:rPr>
            </w:pPr>
          </w:p>
        </w:tc>
        <w:tc>
          <w:tcPr>
            <w:tcW w:w="2040" w:type="dxa"/>
            <w:vAlign w:val="bottom"/>
            <w:shd w:val="clear" w:color="auto" w:fill="F6F3F0"/>
          </w:tcPr>
          <w:p>
            <w:pPr>
              <w:spacing w:after="0"/>
              <w:rPr>
                <w:sz w:val="21"/>
                <w:szCs w:val="21"/>
                <w:color w:val="auto"/>
              </w:rPr>
            </w:pPr>
          </w:p>
        </w:tc>
        <w:tc>
          <w:tcPr>
            <w:tcW w:w="1100" w:type="dxa"/>
            <w:vAlign w:val="bottom"/>
            <w:shd w:val="clear" w:color="auto" w:fill="F6F3F0"/>
          </w:tcPr>
          <w:p>
            <w:pPr>
              <w:spacing w:after="0"/>
              <w:rPr>
                <w:sz w:val="21"/>
                <w:szCs w:val="21"/>
                <w:color w:val="auto"/>
              </w:rPr>
            </w:pPr>
          </w:p>
        </w:tc>
        <w:tc>
          <w:tcPr>
            <w:tcW w:w="20" w:type="dxa"/>
            <w:vAlign w:val="bottom"/>
            <w:shd w:val="clear" w:color="auto" w:fill="F6F3F0"/>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320" w:type="dxa"/>
            <w:vAlign w:val="bottom"/>
            <w:shd w:val="clear" w:color="auto" w:fill="F6F3F0"/>
          </w:tcPr>
          <w:p>
            <w:pPr>
              <w:ind w:left="100"/>
              <w:spacing w:after="0"/>
              <w:rPr>
                <w:sz w:val="20"/>
                <w:szCs w:val="20"/>
                <w:color w:val="auto"/>
              </w:rPr>
            </w:pPr>
            <w:r>
              <w:rPr>
                <w:rFonts w:ascii="Arial" w:cs="Arial" w:eastAsia="Arial" w:hAnsi="Arial"/>
                <w:sz w:val="14"/>
                <w:szCs w:val="14"/>
                <w:b w:val="1"/>
                <w:bCs w:val="1"/>
                <w:color w:val="0E1020"/>
              </w:rPr>
              <w:t>Equity Vehicle</w:t>
            </w:r>
          </w:p>
        </w:tc>
        <w:tc>
          <w:tcPr>
            <w:tcW w:w="2060" w:type="dxa"/>
            <w:vAlign w:val="bottom"/>
            <w:gridSpan w:val="2"/>
            <w:shd w:val="clear" w:color="auto" w:fill="F6F3F0"/>
          </w:tcPr>
          <w:p>
            <w:pPr>
              <w:ind w:left="20"/>
              <w:spacing w:after="0"/>
              <w:rPr>
                <w:sz w:val="20"/>
                <w:szCs w:val="20"/>
                <w:color w:val="auto"/>
              </w:rPr>
            </w:pPr>
            <w:r>
              <w:rPr>
                <w:rFonts w:ascii="Arial" w:cs="Arial" w:eastAsia="Arial" w:hAnsi="Arial"/>
                <w:sz w:val="14"/>
                <w:szCs w:val="14"/>
                <w:b w:val="1"/>
                <w:bCs w:val="1"/>
                <w:color w:val="0E1020"/>
              </w:rPr>
              <w:t>Allocation</w:t>
            </w:r>
          </w:p>
        </w:tc>
        <w:tc>
          <w:tcPr>
            <w:tcW w:w="1540" w:type="dxa"/>
            <w:vAlign w:val="bottom"/>
            <w:shd w:val="clear" w:color="auto" w:fill="F6F3F0"/>
          </w:tcPr>
          <w:p>
            <w:pPr>
              <w:ind w:left="20"/>
              <w:spacing w:after="0"/>
              <w:rPr>
                <w:sz w:val="20"/>
                <w:szCs w:val="20"/>
                <w:color w:val="auto"/>
              </w:rPr>
            </w:pPr>
            <w:r>
              <w:rPr>
                <w:rFonts w:ascii="Arial" w:cs="Arial" w:eastAsia="Arial" w:hAnsi="Arial"/>
                <w:sz w:val="14"/>
                <w:szCs w:val="14"/>
                <w:b w:val="1"/>
                <w:bCs w:val="1"/>
                <w:color w:val="0E1020"/>
              </w:rPr>
              <w:t>Period</w:t>
            </w:r>
          </w:p>
        </w:tc>
        <w:tc>
          <w:tcPr>
            <w:tcW w:w="2900" w:type="dxa"/>
            <w:vAlign w:val="bottom"/>
            <w:shd w:val="clear" w:color="auto" w:fill="F6F3F0"/>
          </w:tcPr>
          <w:p>
            <w:pPr>
              <w:ind w:left="80"/>
              <w:spacing w:after="0"/>
              <w:rPr>
                <w:sz w:val="20"/>
                <w:szCs w:val="20"/>
                <w:color w:val="auto"/>
              </w:rPr>
            </w:pPr>
            <w:r>
              <w:rPr>
                <w:rFonts w:ascii="Arial" w:cs="Arial" w:eastAsia="Arial" w:hAnsi="Arial"/>
                <w:sz w:val="14"/>
                <w:szCs w:val="14"/>
                <w:b w:val="1"/>
                <w:bCs w:val="1"/>
                <w:color w:val="0E1020"/>
              </w:rPr>
              <w:t>Are Determined</w:t>
            </w:r>
          </w:p>
        </w:tc>
        <w:tc>
          <w:tcPr>
            <w:tcW w:w="3420" w:type="dxa"/>
            <w:vAlign w:val="bottom"/>
            <w:gridSpan w:val="4"/>
            <w:shd w:val="clear" w:color="auto" w:fill="F6F3F0"/>
          </w:tcPr>
          <w:p>
            <w:pPr>
              <w:ind w:left="160"/>
              <w:spacing w:after="0"/>
              <w:rPr>
                <w:sz w:val="20"/>
                <w:szCs w:val="20"/>
                <w:color w:val="auto"/>
              </w:rPr>
            </w:pPr>
            <w:r>
              <w:rPr>
                <w:rFonts w:ascii="Arial" w:cs="Arial" w:eastAsia="Arial" w:hAnsi="Arial"/>
                <w:sz w:val="14"/>
                <w:szCs w:val="14"/>
                <w:b w:val="1"/>
                <w:bCs w:val="1"/>
                <w:color w:val="0E1020"/>
              </w:rPr>
              <w:t>Rationale for Use</w:t>
            </w:r>
          </w:p>
        </w:tc>
        <w:tc>
          <w:tcPr>
            <w:tcW w:w="0" w:type="dxa"/>
            <w:vAlign w:val="bottom"/>
          </w:tcPr>
          <w:p>
            <w:pPr>
              <w:spacing w:after="0"/>
              <w:rPr>
                <w:sz w:val="1"/>
                <w:szCs w:val="1"/>
                <w:color w:val="auto"/>
              </w:rPr>
            </w:pPr>
          </w:p>
        </w:tc>
      </w:tr>
      <w:tr>
        <w:trPr>
          <w:trHeight w:val="69"/>
        </w:trPr>
        <w:tc>
          <w:tcPr>
            <w:tcW w:w="1320" w:type="dxa"/>
            <w:vAlign w:val="bottom"/>
            <w:tcBorders>
              <w:bottom w:val="single" w:sz="8" w:color="CFCFD2"/>
            </w:tcBorders>
            <w:shd w:val="clear" w:color="auto" w:fill="F6F3F0"/>
          </w:tcPr>
          <w:p>
            <w:pPr>
              <w:spacing w:after="0"/>
              <w:rPr>
                <w:sz w:val="5"/>
                <w:szCs w:val="5"/>
                <w:color w:val="auto"/>
              </w:rPr>
            </w:pPr>
          </w:p>
        </w:tc>
        <w:tc>
          <w:tcPr>
            <w:tcW w:w="100" w:type="dxa"/>
            <w:vAlign w:val="bottom"/>
            <w:tcBorders>
              <w:bottom w:val="single" w:sz="8" w:color="CFCFD2"/>
            </w:tcBorders>
            <w:shd w:val="clear" w:color="auto" w:fill="F6F3F0"/>
          </w:tcPr>
          <w:p>
            <w:pPr>
              <w:spacing w:after="0"/>
              <w:rPr>
                <w:sz w:val="5"/>
                <w:szCs w:val="5"/>
                <w:color w:val="auto"/>
              </w:rPr>
            </w:pPr>
          </w:p>
        </w:tc>
        <w:tc>
          <w:tcPr>
            <w:tcW w:w="1960" w:type="dxa"/>
            <w:vAlign w:val="bottom"/>
            <w:tcBorders>
              <w:bottom w:val="single" w:sz="8" w:color="CFCFD2"/>
            </w:tcBorders>
            <w:shd w:val="clear" w:color="auto" w:fill="F6F3F0"/>
          </w:tcPr>
          <w:p>
            <w:pPr>
              <w:spacing w:after="0"/>
              <w:rPr>
                <w:sz w:val="5"/>
                <w:szCs w:val="5"/>
                <w:color w:val="auto"/>
              </w:rPr>
            </w:pPr>
          </w:p>
        </w:tc>
        <w:tc>
          <w:tcPr>
            <w:tcW w:w="1540" w:type="dxa"/>
            <w:vAlign w:val="bottom"/>
            <w:tcBorders>
              <w:bottom w:val="single" w:sz="8" w:color="CFCFD2"/>
            </w:tcBorders>
            <w:shd w:val="clear" w:color="auto" w:fill="F6F3F0"/>
          </w:tcPr>
          <w:p>
            <w:pPr>
              <w:spacing w:after="0"/>
              <w:rPr>
                <w:sz w:val="5"/>
                <w:szCs w:val="5"/>
                <w:color w:val="auto"/>
              </w:rPr>
            </w:pPr>
          </w:p>
        </w:tc>
        <w:tc>
          <w:tcPr>
            <w:tcW w:w="2900" w:type="dxa"/>
            <w:vAlign w:val="bottom"/>
            <w:tcBorders>
              <w:bottom w:val="single" w:sz="8" w:color="CFCFD2"/>
            </w:tcBorders>
            <w:shd w:val="clear" w:color="auto" w:fill="F6F3F0"/>
          </w:tcPr>
          <w:p>
            <w:pPr>
              <w:spacing w:after="0"/>
              <w:rPr>
                <w:sz w:val="5"/>
                <w:szCs w:val="5"/>
                <w:color w:val="auto"/>
              </w:rPr>
            </w:pPr>
          </w:p>
        </w:tc>
        <w:tc>
          <w:tcPr>
            <w:tcW w:w="260" w:type="dxa"/>
            <w:vAlign w:val="bottom"/>
            <w:tcBorders>
              <w:bottom w:val="single" w:sz="8" w:color="CFCFD2"/>
            </w:tcBorders>
            <w:shd w:val="clear" w:color="auto" w:fill="F6F3F0"/>
          </w:tcPr>
          <w:p>
            <w:pPr>
              <w:spacing w:after="0"/>
              <w:rPr>
                <w:sz w:val="5"/>
                <w:szCs w:val="5"/>
                <w:color w:val="auto"/>
              </w:rPr>
            </w:pPr>
          </w:p>
        </w:tc>
        <w:tc>
          <w:tcPr>
            <w:tcW w:w="3160" w:type="dxa"/>
            <w:vAlign w:val="bottom"/>
            <w:tcBorders>
              <w:bottom w:val="single" w:sz="8" w:color="CFCFD2"/>
            </w:tcBorders>
            <w:gridSpan w:val="3"/>
            <w:shd w:val="clear" w:color="auto" w:fill="F6F3F0"/>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1320" w:type="dxa"/>
            <w:vAlign w:val="bottom"/>
          </w:tcPr>
          <w:p>
            <w:pPr>
              <w:ind w:left="100"/>
              <w:spacing w:after="0"/>
              <w:rPr>
                <w:sz w:val="20"/>
                <w:szCs w:val="20"/>
                <w:color w:val="auto"/>
              </w:rPr>
            </w:pPr>
            <w:r>
              <w:rPr>
                <w:rFonts w:ascii="Arial" w:cs="Arial" w:eastAsia="Arial" w:hAnsi="Arial"/>
                <w:sz w:val="14"/>
                <w:szCs w:val="14"/>
                <w:b w:val="1"/>
                <w:bCs w:val="1"/>
                <w:color w:val="0E1020"/>
              </w:rPr>
              <w:t>PSUs</w:t>
            </w:r>
          </w:p>
        </w:tc>
        <w:tc>
          <w:tcPr>
            <w:tcW w:w="100" w:type="dxa"/>
            <w:vAlign w:val="bottom"/>
          </w:tcPr>
          <w:p>
            <w:pPr>
              <w:ind w:left="20"/>
              <w:spacing w:after="0"/>
              <w:rPr>
                <w:sz w:val="20"/>
                <w:szCs w:val="20"/>
                <w:color w:val="auto"/>
              </w:rPr>
            </w:pPr>
            <w:r>
              <w:rPr>
                <w:rFonts w:ascii="Arial" w:cs="Arial" w:eastAsia="Arial" w:hAnsi="Arial"/>
                <w:sz w:val="14"/>
                <w:szCs w:val="14"/>
                <w:color w:val="0E1020"/>
              </w:rPr>
              <w:t>•</w:t>
            </w:r>
          </w:p>
        </w:tc>
        <w:tc>
          <w:tcPr>
            <w:tcW w:w="1960" w:type="dxa"/>
            <w:vAlign w:val="bottom"/>
          </w:tcPr>
          <w:p>
            <w:pPr>
              <w:ind w:left="40"/>
              <w:spacing w:after="0"/>
              <w:rPr>
                <w:sz w:val="20"/>
                <w:szCs w:val="20"/>
                <w:color w:val="auto"/>
              </w:rPr>
            </w:pPr>
            <w:r>
              <w:rPr>
                <w:rFonts w:ascii="Arial" w:cs="Arial" w:eastAsia="Arial" w:hAnsi="Arial"/>
                <w:sz w:val="14"/>
                <w:szCs w:val="14"/>
                <w:color w:val="0E1020"/>
              </w:rPr>
              <w:t>85% for CEO &amp; CFO</w:t>
            </w:r>
          </w:p>
        </w:tc>
        <w:tc>
          <w:tcPr>
            <w:tcW w:w="1540" w:type="dxa"/>
            <w:vAlign w:val="bottom"/>
          </w:tcPr>
          <w:p>
            <w:pPr>
              <w:ind w:left="20"/>
              <w:spacing w:after="0"/>
              <w:rPr>
                <w:sz w:val="20"/>
                <w:szCs w:val="20"/>
                <w:color w:val="auto"/>
              </w:rPr>
            </w:pPr>
            <w:r>
              <w:rPr>
                <w:rFonts w:ascii="Arial" w:cs="Arial" w:eastAsia="Arial" w:hAnsi="Arial"/>
                <w:sz w:val="14"/>
                <w:szCs w:val="14"/>
                <w:color w:val="0E1020"/>
              </w:rPr>
              <w:t>Three-year cliff</w:t>
            </w:r>
          </w:p>
        </w:tc>
        <w:tc>
          <w:tcPr>
            <w:tcW w:w="2900" w:type="dxa"/>
            <w:vAlign w:val="bottom"/>
          </w:tcPr>
          <w:p>
            <w:pPr>
              <w:ind w:left="80"/>
              <w:spacing w:after="0"/>
              <w:rPr>
                <w:sz w:val="20"/>
                <w:szCs w:val="20"/>
                <w:color w:val="auto"/>
              </w:rPr>
            </w:pPr>
            <w:r>
              <w:rPr>
                <w:rFonts w:ascii="Arial" w:cs="Arial" w:eastAsia="Arial" w:hAnsi="Arial"/>
                <w:sz w:val="14"/>
                <w:szCs w:val="14"/>
                <w:color w:val="0E1020"/>
              </w:rPr>
              <w:t>80% weighted metric of cumulative Free</w:t>
            </w:r>
          </w:p>
        </w:tc>
        <w:tc>
          <w:tcPr>
            <w:tcW w:w="260" w:type="dxa"/>
            <w:vAlign w:val="bottom"/>
          </w:tcPr>
          <w:p>
            <w:pPr>
              <w:ind w:left="160"/>
              <w:spacing w:after="0"/>
              <w:rPr>
                <w:sz w:val="20"/>
                <w:szCs w:val="20"/>
                <w:color w:val="auto"/>
              </w:rPr>
            </w:pPr>
            <w:r>
              <w:rPr>
                <w:rFonts w:ascii="Arial" w:cs="Arial" w:eastAsia="Arial" w:hAnsi="Arial"/>
                <w:sz w:val="14"/>
                <w:szCs w:val="14"/>
                <w:color w:val="0E1020"/>
              </w:rPr>
              <w:t>•</w:t>
            </w:r>
          </w:p>
        </w:tc>
        <w:tc>
          <w:tcPr>
            <w:tcW w:w="3160" w:type="dxa"/>
            <w:vAlign w:val="bottom"/>
            <w:gridSpan w:val="3"/>
          </w:tcPr>
          <w:p>
            <w:pPr>
              <w:ind w:left="40"/>
              <w:spacing w:after="0"/>
              <w:rPr>
                <w:sz w:val="20"/>
                <w:szCs w:val="20"/>
                <w:color w:val="auto"/>
              </w:rPr>
            </w:pPr>
            <w:r>
              <w:rPr>
                <w:rFonts w:ascii="Arial" w:cs="Arial" w:eastAsia="Arial" w:hAnsi="Arial"/>
                <w:sz w:val="14"/>
                <w:szCs w:val="14"/>
                <w:color w:val="0E1020"/>
              </w:rPr>
              <w:t>Cumulative FCF production aligns executive</w:t>
            </w:r>
          </w:p>
        </w:tc>
        <w:tc>
          <w:tcPr>
            <w:tcW w:w="0" w:type="dxa"/>
            <w:vAlign w:val="bottom"/>
          </w:tcPr>
          <w:p>
            <w:pPr>
              <w:spacing w:after="0"/>
              <w:rPr>
                <w:sz w:val="1"/>
                <w:szCs w:val="1"/>
                <w:color w:val="auto"/>
              </w:rPr>
            </w:pPr>
          </w:p>
        </w:tc>
      </w:tr>
      <w:tr>
        <w:trPr>
          <w:trHeight w:val="174"/>
        </w:trPr>
        <w:tc>
          <w:tcPr>
            <w:tcW w:w="1320" w:type="dxa"/>
            <w:vAlign w:val="bottom"/>
          </w:tcPr>
          <w:p>
            <w:pPr>
              <w:spacing w:after="0"/>
              <w:rPr>
                <w:sz w:val="15"/>
                <w:szCs w:val="15"/>
                <w:color w:val="auto"/>
              </w:rPr>
            </w:pPr>
          </w:p>
        </w:tc>
        <w:tc>
          <w:tcPr>
            <w:tcW w:w="2060" w:type="dxa"/>
            <w:vAlign w:val="bottom"/>
            <w:gridSpan w:val="2"/>
            <w:vMerge w:val="restart"/>
          </w:tcPr>
          <w:p>
            <w:pPr>
              <w:ind w:left="20"/>
              <w:spacing w:after="0"/>
              <w:rPr>
                <w:sz w:val="20"/>
                <w:szCs w:val="20"/>
                <w:color w:val="auto"/>
              </w:rPr>
            </w:pPr>
            <w:r>
              <w:rPr>
                <w:rFonts w:ascii="Arial" w:cs="Arial" w:eastAsia="Arial" w:hAnsi="Arial"/>
                <w:sz w:val="14"/>
                <w:szCs w:val="14"/>
                <w:color w:val="0E1020"/>
              </w:rPr>
              <w:t>• 60% for other NEOs</w:t>
            </w:r>
          </w:p>
        </w:tc>
        <w:tc>
          <w:tcPr>
            <w:tcW w:w="1540" w:type="dxa"/>
            <w:vAlign w:val="bottom"/>
          </w:tcPr>
          <w:p>
            <w:pPr>
              <w:spacing w:after="0"/>
              <w:rPr>
                <w:sz w:val="15"/>
                <w:szCs w:val="15"/>
                <w:color w:val="auto"/>
              </w:rPr>
            </w:pPr>
          </w:p>
        </w:tc>
        <w:tc>
          <w:tcPr>
            <w:tcW w:w="2900" w:type="dxa"/>
            <w:vAlign w:val="bottom"/>
          </w:tcPr>
          <w:p>
            <w:pPr>
              <w:ind w:left="80"/>
              <w:spacing w:after="0"/>
              <w:rPr>
                <w:sz w:val="20"/>
                <w:szCs w:val="20"/>
                <w:color w:val="auto"/>
              </w:rPr>
            </w:pPr>
            <w:r>
              <w:rPr>
                <w:rFonts w:ascii="Arial" w:cs="Arial" w:eastAsia="Arial" w:hAnsi="Arial"/>
                <w:sz w:val="14"/>
                <w:szCs w:val="14"/>
                <w:color w:val="0E1020"/>
              </w:rPr>
              <w:t>Cash Flow (“FCF”) achievement over the</w:t>
            </w:r>
          </w:p>
        </w:tc>
        <w:tc>
          <w:tcPr>
            <w:tcW w:w="260" w:type="dxa"/>
            <w:vAlign w:val="bottom"/>
          </w:tcPr>
          <w:p>
            <w:pPr>
              <w:spacing w:after="0"/>
              <w:rPr>
                <w:sz w:val="15"/>
                <w:szCs w:val="15"/>
                <w:color w:val="auto"/>
              </w:rPr>
            </w:pPr>
          </w:p>
        </w:tc>
        <w:tc>
          <w:tcPr>
            <w:tcW w:w="3160" w:type="dxa"/>
            <w:vAlign w:val="bottom"/>
            <w:gridSpan w:val="3"/>
          </w:tcPr>
          <w:p>
            <w:pPr>
              <w:ind w:left="60"/>
              <w:spacing w:after="0"/>
              <w:rPr>
                <w:sz w:val="20"/>
                <w:szCs w:val="20"/>
                <w:color w:val="auto"/>
              </w:rPr>
            </w:pPr>
            <w:r>
              <w:rPr>
                <w:rFonts w:ascii="Arial" w:cs="Arial" w:eastAsia="Arial" w:hAnsi="Arial"/>
                <w:sz w:val="14"/>
                <w:szCs w:val="14"/>
                <w:color w:val="0E1020"/>
              </w:rPr>
              <w:t>officer compensation directly with a key long-</w:t>
            </w:r>
          </w:p>
        </w:tc>
        <w:tc>
          <w:tcPr>
            <w:tcW w:w="0" w:type="dxa"/>
            <w:vAlign w:val="bottom"/>
          </w:tcPr>
          <w:p>
            <w:pPr>
              <w:spacing w:after="0"/>
              <w:rPr>
                <w:sz w:val="1"/>
                <w:szCs w:val="1"/>
                <w:color w:val="auto"/>
              </w:rPr>
            </w:pPr>
          </w:p>
        </w:tc>
      </w:tr>
      <w:tr>
        <w:trPr>
          <w:trHeight w:val="69"/>
        </w:trPr>
        <w:tc>
          <w:tcPr>
            <w:tcW w:w="1320" w:type="dxa"/>
            <w:vAlign w:val="bottom"/>
          </w:tcPr>
          <w:p>
            <w:pPr>
              <w:spacing w:after="0"/>
              <w:rPr>
                <w:sz w:val="5"/>
                <w:szCs w:val="5"/>
                <w:color w:val="auto"/>
              </w:rPr>
            </w:pPr>
          </w:p>
        </w:tc>
        <w:tc>
          <w:tcPr>
            <w:tcW w:w="2060" w:type="dxa"/>
            <w:vAlign w:val="bottom"/>
            <w:gridSpan w:val="2"/>
            <w:vMerge w:val="continue"/>
          </w:tcPr>
          <w:p>
            <w:pPr>
              <w:spacing w:after="0"/>
              <w:rPr>
                <w:sz w:val="5"/>
                <w:szCs w:val="5"/>
                <w:color w:val="auto"/>
              </w:rPr>
            </w:pPr>
          </w:p>
        </w:tc>
        <w:tc>
          <w:tcPr>
            <w:tcW w:w="1540" w:type="dxa"/>
            <w:vAlign w:val="bottom"/>
          </w:tcPr>
          <w:p>
            <w:pPr>
              <w:spacing w:after="0"/>
              <w:rPr>
                <w:sz w:val="5"/>
                <w:szCs w:val="5"/>
                <w:color w:val="auto"/>
              </w:rPr>
            </w:pPr>
          </w:p>
        </w:tc>
        <w:tc>
          <w:tcPr>
            <w:tcW w:w="2900" w:type="dxa"/>
            <w:vAlign w:val="bottom"/>
            <w:vMerge w:val="restart"/>
          </w:tcPr>
          <w:p>
            <w:pPr>
              <w:ind w:left="80"/>
              <w:spacing w:after="0"/>
              <w:rPr>
                <w:sz w:val="20"/>
                <w:szCs w:val="20"/>
                <w:color w:val="auto"/>
              </w:rPr>
            </w:pPr>
            <w:r>
              <w:rPr>
                <w:rFonts w:ascii="Arial" w:cs="Arial" w:eastAsia="Arial" w:hAnsi="Arial"/>
                <w:sz w:val="14"/>
                <w:szCs w:val="14"/>
                <w:color w:val="0E1020"/>
              </w:rPr>
              <w:t>three-year performance period</w:t>
            </w:r>
          </w:p>
        </w:tc>
        <w:tc>
          <w:tcPr>
            <w:tcW w:w="260" w:type="dxa"/>
            <w:vAlign w:val="bottom"/>
          </w:tcPr>
          <w:p>
            <w:pPr>
              <w:spacing w:after="0"/>
              <w:rPr>
                <w:sz w:val="5"/>
                <w:szCs w:val="5"/>
                <w:color w:val="auto"/>
              </w:rPr>
            </w:pPr>
          </w:p>
        </w:tc>
        <w:tc>
          <w:tcPr>
            <w:tcW w:w="3160" w:type="dxa"/>
            <w:vAlign w:val="bottom"/>
            <w:gridSpan w:val="3"/>
            <w:vMerge w:val="restart"/>
          </w:tcPr>
          <w:p>
            <w:pPr>
              <w:ind w:left="60"/>
              <w:spacing w:after="0"/>
              <w:rPr>
                <w:sz w:val="20"/>
                <w:szCs w:val="20"/>
                <w:color w:val="auto"/>
              </w:rPr>
            </w:pPr>
            <w:r>
              <w:rPr>
                <w:rFonts w:ascii="Arial" w:cs="Arial" w:eastAsia="Arial" w:hAnsi="Arial"/>
                <w:sz w:val="14"/>
                <w:szCs w:val="14"/>
                <w:color w:val="0E1020"/>
              </w:rPr>
              <w:t>term indicator of fiscal strength</w:t>
            </w:r>
          </w:p>
        </w:tc>
        <w:tc>
          <w:tcPr>
            <w:tcW w:w="0" w:type="dxa"/>
            <w:vAlign w:val="bottom"/>
          </w:tcPr>
          <w:p>
            <w:pPr>
              <w:spacing w:after="0"/>
              <w:rPr>
                <w:sz w:val="1"/>
                <w:szCs w:val="1"/>
                <w:color w:val="auto"/>
              </w:rPr>
            </w:pPr>
          </w:p>
        </w:tc>
      </w:tr>
      <w:tr>
        <w:trPr>
          <w:trHeight w:val="134"/>
        </w:trPr>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9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31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900" w:type="dxa"/>
            <w:vAlign w:val="bottom"/>
          </w:tcPr>
          <w:p>
            <w:pPr>
              <w:ind w:left="80"/>
              <w:spacing w:after="0"/>
              <w:rPr>
                <w:sz w:val="20"/>
                <w:szCs w:val="20"/>
                <w:color w:val="auto"/>
              </w:rPr>
            </w:pPr>
            <w:r>
              <w:rPr>
                <w:rFonts w:ascii="Arial" w:cs="Arial" w:eastAsia="Arial" w:hAnsi="Arial"/>
                <w:sz w:val="14"/>
                <w:szCs w:val="14"/>
                <w:color w:val="0E1020"/>
              </w:rPr>
              <w:t>20% weighted metric of cumulative</w:t>
            </w:r>
          </w:p>
        </w:tc>
        <w:tc>
          <w:tcPr>
            <w:tcW w:w="260" w:type="dxa"/>
            <w:vAlign w:val="bottom"/>
          </w:tcPr>
          <w:p>
            <w:pPr>
              <w:ind w:left="160"/>
              <w:spacing w:after="0"/>
              <w:rPr>
                <w:sz w:val="20"/>
                <w:szCs w:val="20"/>
                <w:color w:val="auto"/>
              </w:rPr>
            </w:pPr>
            <w:r>
              <w:rPr>
                <w:rFonts w:ascii="Arial" w:cs="Arial" w:eastAsia="Arial" w:hAnsi="Arial"/>
                <w:sz w:val="14"/>
                <w:szCs w:val="14"/>
                <w:color w:val="0E1020"/>
              </w:rPr>
              <w:t>•</w:t>
            </w:r>
          </w:p>
        </w:tc>
        <w:tc>
          <w:tcPr>
            <w:tcW w:w="3160" w:type="dxa"/>
            <w:vAlign w:val="bottom"/>
            <w:gridSpan w:val="3"/>
          </w:tcPr>
          <w:p>
            <w:pPr>
              <w:ind w:left="40"/>
              <w:spacing w:after="0"/>
              <w:rPr>
                <w:sz w:val="20"/>
                <w:szCs w:val="20"/>
                <w:color w:val="auto"/>
              </w:rPr>
            </w:pPr>
            <w:r>
              <w:rPr>
                <w:rFonts w:ascii="Arial" w:cs="Arial" w:eastAsia="Arial" w:hAnsi="Arial"/>
                <w:sz w:val="14"/>
                <w:szCs w:val="14"/>
                <w:color w:val="0E1020"/>
              </w:rPr>
              <w:t>Cumulative Revenue production aligns executive</w:t>
            </w:r>
          </w:p>
        </w:tc>
        <w:tc>
          <w:tcPr>
            <w:tcW w:w="0" w:type="dxa"/>
            <w:vAlign w:val="bottom"/>
          </w:tcPr>
          <w:p>
            <w:pPr>
              <w:spacing w:after="0"/>
              <w:rPr>
                <w:sz w:val="1"/>
                <w:szCs w:val="1"/>
                <w:color w:val="auto"/>
              </w:rPr>
            </w:pPr>
          </w:p>
        </w:tc>
      </w:tr>
      <w:tr>
        <w:trPr>
          <w:trHeight w:val="174"/>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900" w:type="dxa"/>
            <w:vAlign w:val="bottom"/>
          </w:tcPr>
          <w:p>
            <w:pPr>
              <w:ind w:left="80"/>
              <w:spacing w:after="0"/>
              <w:rPr>
                <w:sz w:val="20"/>
                <w:szCs w:val="20"/>
                <w:color w:val="auto"/>
              </w:rPr>
            </w:pPr>
            <w:r>
              <w:rPr>
                <w:rFonts w:ascii="Arial" w:cs="Arial" w:eastAsia="Arial" w:hAnsi="Arial"/>
                <w:sz w:val="14"/>
                <w:szCs w:val="14"/>
                <w:color w:val="0E1020"/>
              </w:rPr>
              <w:t>Revenue achievement over the three-year</w:t>
            </w:r>
          </w:p>
        </w:tc>
        <w:tc>
          <w:tcPr>
            <w:tcW w:w="260" w:type="dxa"/>
            <w:vAlign w:val="bottom"/>
          </w:tcPr>
          <w:p>
            <w:pPr>
              <w:spacing w:after="0"/>
              <w:rPr>
                <w:sz w:val="15"/>
                <w:szCs w:val="15"/>
                <w:color w:val="auto"/>
              </w:rPr>
            </w:pPr>
          </w:p>
        </w:tc>
        <w:tc>
          <w:tcPr>
            <w:tcW w:w="3160" w:type="dxa"/>
            <w:vAlign w:val="bottom"/>
            <w:gridSpan w:val="3"/>
          </w:tcPr>
          <w:p>
            <w:pPr>
              <w:ind w:left="60"/>
              <w:spacing w:after="0"/>
              <w:rPr>
                <w:sz w:val="20"/>
                <w:szCs w:val="20"/>
                <w:color w:val="auto"/>
              </w:rPr>
            </w:pPr>
            <w:r>
              <w:rPr>
                <w:rFonts w:ascii="Arial" w:cs="Arial" w:eastAsia="Arial" w:hAnsi="Arial"/>
                <w:sz w:val="14"/>
                <w:szCs w:val="14"/>
                <w:color w:val="0E1020"/>
              </w:rPr>
              <w:t>officer compensation directly with top-line</w:t>
            </w: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900" w:type="dxa"/>
            <w:vAlign w:val="bottom"/>
          </w:tcPr>
          <w:p>
            <w:pPr>
              <w:ind w:left="80"/>
              <w:spacing w:after="0"/>
              <w:rPr>
                <w:sz w:val="20"/>
                <w:szCs w:val="20"/>
                <w:color w:val="auto"/>
              </w:rPr>
            </w:pPr>
            <w:r>
              <w:rPr>
                <w:rFonts w:ascii="Arial" w:cs="Arial" w:eastAsia="Arial" w:hAnsi="Arial"/>
                <w:sz w:val="14"/>
                <w:szCs w:val="14"/>
                <w:color w:val="0E1020"/>
              </w:rPr>
              <w:t>performance period</w:t>
            </w:r>
          </w:p>
        </w:tc>
        <w:tc>
          <w:tcPr>
            <w:tcW w:w="260" w:type="dxa"/>
            <w:vAlign w:val="bottom"/>
          </w:tcPr>
          <w:p>
            <w:pPr>
              <w:spacing w:after="0"/>
              <w:rPr>
                <w:sz w:val="19"/>
                <w:szCs w:val="19"/>
                <w:color w:val="auto"/>
              </w:rPr>
            </w:pPr>
          </w:p>
        </w:tc>
        <w:tc>
          <w:tcPr>
            <w:tcW w:w="3160" w:type="dxa"/>
            <w:vAlign w:val="bottom"/>
            <w:gridSpan w:val="3"/>
          </w:tcPr>
          <w:p>
            <w:pPr>
              <w:ind w:left="60"/>
              <w:spacing w:after="0"/>
              <w:rPr>
                <w:sz w:val="20"/>
                <w:szCs w:val="20"/>
                <w:color w:val="auto"/>
              </w:rPr>
            </w:pPr>
            <w:r>
              <w:rPr>
                <w:rFonts w:ascii="Arial" w:cs="Arial" w:eastAsia="Arial" w:hAnsi="Arial"/>
                <w:sz w:val="14"/>
                <w:szCs w:val="14"/>
                <w:color w:val="0E1020"/>
              </w:rPr>
              <w:t>growth</w:t>
            </w: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900" w:type="dxa"/>
            <w:vAlign w:val="bottom"/>
          </w:tcPr>
          <w:p>
            <w:pPr>
              <w:ind w:left="80"/>
              <w:spacing w:after="0"/>
              <w:rPr>
                <w:sz w:val="20"/>
                <w:szCs w:val="20"/>
                <w:color w:val="auto"/>
              </w:rPr>
            </w:pPr>
            <w:r>
              <w:rPr>
                <w:rFonts w:ascii="Arial" w:cs="Arial" w:eastAsia="Arial" w:hAnsi="Arial"/>
                <w:sz w:val="14"/>
                <w:szCs w:val="14"/>
                <w:color w:val="0E1020"/>
              </w:rPr>
              <w:t>+/-20% modifier of relative Total</w:t>
            </w:r>
          </w:p>
        </w:tc>
        <w:tc>
          <w:tcPr>
            <w:tcW w:w="260" w:type="dxa"/>
            <w:vAlign w:val="bottom"/>
          </w:tcPr>
          <w:p>
            <w:pPr>
              <w:ind w:left="160"/>
              <w:spacing w:after="0"/>
              <w:rPr>
                <w:sz w:val="20"/>
                <w:szCs w:val="20"/>
                <w:color w:val="auto"/>
              </w:rPr>
            </w:pPr>
            <w:r>
              <w:rPr>
                <w:rFonts w:ascii="Arial" w:cs="Arial" w:eastAsia="Arial" w:hAnsi="Arial"/>
                <w:sz w:val="14"/>
                <w:szCs w:val="14"/>
                <w:color w:val="0E1020"/>
              </w:rPr>
              <w:t>•</w:t>
            </w:r>
          </w:p>
        </w:tc>
        <w:tc>
          <w:tcPr>
            <w:tcW w:w="3160" w:type="dxa"/>
            <w:vAlign w:val="bottom"/>
            <w:gridSpan w:val="3"/>
          </w:tcPr>
          <w:p>
            <w:pPr>
              <w:ind w:left="40"/>
              <w:spacing w:after="0"/>
              <w:rPr>
                <w:sz w:val="20"/>
                <w:szCs w:val="20"/>
                <w:color w:val="auto"/>
              </w:rPr>
            </w:pPr>
            <w:r>
              <w:rPr>
                <w:rFonts w:ascii="Arial" w:cs="Arial" w:eastAsia="Arial" w:hAnsi="Arial"/>
                <w:sz w:val="14"/>
                <w:szCs w:val="14"/>
                <w:color w:val="0E1020"/>
              </w:rPr>
              <w:t>rTSR performance aligns executive officer</w:t>
            </w:r>
          </w:p>
        </w:tc>
        <w:tc>
          <w:tcPr>
            <w:tcW w:w="0" w:type="dxa"/>
            <w:vAlign w:val="bottom"/>
          </w:tcPr>
          <w:p>
            <w:pPr>
              <w:spacing w:after="0"/>
              <w:rPr>
                <w:sz w:val="1"/>
                <w:szCs w:val="1"/>
                <w:color w:val="auto"/>
              </w:rPr>
            </w:pPr>
          </w:p>
        </w:tc>
      </w:tr>
      <w:tr>
        <w:trPr>
          <w:trHeight w:val="174"/>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900" w:type="dxa"/>
            <w:vAlign w:val="bottom"/>
          </w:tcPr>
          <w:p>
            <w:pPr>
              <w:ind w:left="80"/>
              <w:spacing w:after="0"/>
              <w:rPr>
                <w:sz w:val="20"/>
                <w:szCs w:val="20"/>
                <w:color w:val="auto"/>
              </w:rPr>
            </w:pPr>
            <w:r>
              <w:rPr>
                <w:rFonts w:ascii="Arial" w:cs="Arial" w:eastAsia="Arial" w:hAnsi="Arial"/>
                <w:sz w:val="14"/>
                <w:szCs w:val="14"/>
                <w:color w:val="0E1020"/>
              </w:rPr>
              <w:t>Shareholder Return (“rTSR”) against a</w:t>
            </w:r>
          </w:p>
        </w:tc>
        <w:tc>
          <w:tcPr>
            <w:tcW w:w="260" w:type="dxa"/>
            <w:vAlign w:val="bottom"/>
          </w:tcPr>
          <w:p>
            <w:pPr>
              <w:spacing w:after="0"/>
              <w:rPr>
                <w:sz w:val="15"/>
                <w:szCs w:val="15"/>
                <w:color w:val="auto"/>
              </w:rPr>
            </w:pPr>
          </w:p>
        </w:tc>
        <w:tc>
          <w:tcPr>
            <w:tcW w:w="3160" w:type="dxa"/>
            <w:vAlign w:val="bottom"/>
            <w:gridSpan w:val="3"/>
          </w:tcPr>
          <w:p>
            <w:pPr>
              <w:ind w:left="60"/>
              <w:spacing w:after="0"/>
              <w:rPr>
                <w:sz w:val="20"/>
                <w:szCs w:val="20"/>
                <w:color w:val="auto"/>
              </w:rPr>
            </w:pPr>
            <w:r>
              <w:rPr>
                <w:rFonts w:ascii="Arial" w:cs="Arial" w:eastAsia="Arial" w:hAnsi="Arial"/>
                <w:sz w:val="14"/>
                <w:szCs w:val="14"/>
                <w:color w:val="0E1020"/>
              </w:rPr>
              <w:t>compensation directly with the creation of</w:t>
            </w:r>
          </w:p>
        </w:tc>
        <w:tc>
          <w:tcPr>
            <w:tcW w:w="0" w:type="dxa"/>
            <w:vAlign w:val="bottom"/>
          </w:tcPr>
          <w:p>
            <w:pPr>
              <w:spacing w:after="0"/>
              <w:rPr>
                <w:sz w:val="1"/>
                <w:szCs w:val="1"/>
                <w:color w:val="auto"/>
              </w:rPr>
            </w:pPr>
          </w:p>
        </w:tc>
      </w:tr>
      <w:tr>
        <w:trPr>
          <w:trHeight w:val="188"/>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900" w:type="dxa"/>
            <w:vAlign w:val="bottom"/>
            <w:vMerge w:val="restart"/>
          </w:tcPr>
          <w:p>
            <w:pPr>
              <w:ind w:left="80"/>
              <w:spacing w:after="0"/>
              <w:rPr>
                <w:sz w:val="20"/>
                <w:szCs w:val="20"/>
                <w:color w:val="auto"/>
              </w:rPr>
            </w:pPr>
            <w:r>
              <w:rPr>
                <w:rFonts w:ascii="Arial" w:cs="Arial" w:eastAsia="Arial" w:hAnsi="Arial"/>
                <w:sz w:val="14"/>
                <w:szCs w:val="14"/>
                <w:color w:val="0E1020"/>
              </w:rPr>
              <w:t>custom comparator group over the three-</w:t>
            </w:r>
          </w:p>
        </w:tc>
        <w:tc>
          <w:tcPr>
            <w:tcW w:w="260" w:type="dxa"/>
            <w:vAlign w:val="bottom"/>
          </w:tcPr>
          <w:p>
            <w:pPr>
              <w:spacing w:after="0"/>
              <w:rPr>
                <w:sz w:val="16"/>
                <w:szCs w:val="16"/>
                <w:color w:val="auto"/>
              </w:rPr>
            </w:pPr>
          </w:p>
        </w:tc>
        <w:tc>
          <w:tcPr>
            <w:tcW w:w="3160" w:type="dxa"/>
            <w:vAlign w:val="bottom"/>
            <w:gridSpan w:val="3"/>
          </w:tcPr>
          <w:p>
            <w:pPr>
              <w:ind w:left="60"/>
              <w:spacing w:after="0"/>
              <w:rPr>
                <w:sz w:val="20"/>
                <w:szCs w:val="20"/>
                <w:color w:val="auto"/>
              </w:rPr>
            </w:pPr>
            <w:r>
              <w:rPr>
                <w:rFonts w:ascii="Arial" w:cs="Arial" w:eastAsia="Arial" w:hAnsi="Arial"/>
                <w:sz w:val="14"/>
                <w:szCs w:val="14"/>
                <w:color w:val="0E1020"/>
              </w:rPr>
              <w:t>stockholder value</w:t>
            </w:r>
          </w:p>
        </w:tc>
        <w:tc>
          <w:tcPr>
            <w:tcW w:w="0" w:type="dxa"/>
            <w:vAlign w:val="bottom"/>
          </w:tcPr>
          <w:p>
            <w:pPr>
              <w:spacing w:after="0"/>
              <w:rPr>
                <w:sz w:val="1"/>
                <w:szCs w:val="1"/>
                <w:color w:val="auto"/>
              </w:rPr>
            </w:pPr>
          </w:p>
        </w:tc>
      </w:tr>
      <w:tr>
        <w:trPr>
          <w:trHeight w:val="31"/>
        </w:trPr>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900" w:type="dxa"/>
            <w:vAlign w:val="bottom"/>
            <w:vMerge w:val="continue"/>
          </w:tcPr>
          <w:p>
            <w:pPr>
              <w:spacing w:after="0"/>
              <w:rPr>
                <w:sz w:val="2"/>
                <w:szCs w:val="2"/>
                <w:color w:val="auto"/>
              </w:rPr>
            </w:pPr>
          </w:p>
        </w:tc>
        <w:tc>
          <w:tcPr>
            <w:tcW w:w="260" w:type="dxa"/>
            <w:vAlign w:val="bottom"/>
            <w:vMerge w:val="restart"/>
          </w:tcPr>
          <w:p>
            <w:pPr>
              <w:ind w:left="160"/>
              <w:spacing w:after="0"/>
              <w:rPr>
                <w:sz w:val="20"/>
                <w:szCs w:val="20"/>
                <w:color w:val="auto"/>
              </w:rPr>
            </w:pPr>
            <w:r>
              <w:rPr>
                <w:rFonts w:ascii="Arial" w:cs="Arial" w:eastAsia="Arial" w:hAnsi="Arial"/>
                <w:sz w:val="14"/>
                <w:szCs w:val="14"/>
                <w:color w:val="0E1020"/>
              </w:rPr>
              <w:t>•</w:t>
            </w:r>
          </w:p>
        </w:tc>
        <w:tc>
          <w:tcPr>
            <w:tcW w:w="3160" w:type="dxa"/>
            <w:vAlign w:val="bottom"/>
            <w:gridSpan w:val="3"/>
            <w:vMerge w:val="restart"/>
          </w:tcPr>
          <w:p>
            <w:pPr>
              <w:ind w:left="40"/>
              <w:spacing w:after="0"/>
              <w:rPr>
                <w:sz w:val="20"/>
                <w:szCs w:val="20"/>
                <w:color w:val="auto"/>
              </w:rPr>
            </w:pPr>
            <w:r>
              <w:rPr>
                <w:rFonts w:ascii="Arial" w:cs="Arial" w:eastAsia="Arial" w:hAnsi="Arial"/>
                <w:sz w:val="14"/>
                <w:szCs w:val="14"/>
                <w:color w:val="0E1020"/>
              </w:rPr>
              <w:t>Overall, PSUs promote long-term focus</w:t>
            </w:r>
          </w:p>
        </w:tc>
        <w:tc>
          <w:tcPr>
            <w:tcW w:w="0" w:type="dxa"/>
            <w:vAlign w:val="bottom"/>
          </w:tcPr>
          <w:p>
            <w:pPr>
              <w:spacing w:after="0" w:line="20" w:lineRule="exact"/>
              <w:rPr>
                <w:sz w:val="1"/>
                <w:szCs w:val="1"/>
                <w:color w:val="auto"/>
              </w:rPr>
            </w:pPr>
          </w:p>
        </w:tc>
      </w:tr>
      <w:tr>
        <w:trPr>
          <w:trHeight w:val="189"/>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900" w:type="dxa"/>
            <w:vAlign w:val="bottom"/>
          </w:tcPr>
          <w:p>
            <w:pPr>
              <w:ind w:left="80"/>
              <w:spacing w:after="0"/>
              <w:rPr>
                <w:sz w:val="20"/>
                <w:szCs w:val="20"/>
                <w:color w:val="auto"/>
              </w:rPr>
            </w:pPr>
            <w:r>
              <w:rPr>
                <w:rFonts w:ascii="Arial" w:cs="Arial" w:eastAsia="Arial" w:hAnsi="Arial"/>
                <w:sz w:val="14"/>
                <w:szCs w:val="14"/>
                <w:color w:val="0E1020"/>
              </w:rPr>
              <w:t>year performance period*</w:t>
            </w:r>
          </w:p>
        </w:tc>
        <w:tc>
          <w:tcPr>
            <w:tcW w:w="260" w:type="dxa"/>
            <w:vAlign w:val="bottom"/>
            <w:vMerge w:val="continue"/>
          </w:tcPr>
          <w:p>
            <w:pPr>
              <w:spacing w:after="0"/>
              <w:rPr>
                <w:sz w:val="16"/>
                <w:szCs w:val="16"/>
                <w:color w:val="auto"/>
              </w:rPr>
            </w:pPr>
          </w:p>
        </w:tc>
        <w:tc>
          <w:tcPr>
            <w:tcW w:w="31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1320" w:type="dxa"/>
            <w:vAlign w:val="bottom"/>
            <w:tcBorders>
              <w:bottom w:val="single" w:sz="8" w:color="CFCFD2"/>
            </w:tcBorders>
          </w:tcPr>
          <w:p>
            <w:pPr>
              <w:spacing w:after="0"/>
              <w:rPr>
                <w:sz w:val="6"/>
                <w:szCs w:val="6"/>
                <w:color w:val="auto"/>
              </w:rPr>
            </w:pPr>
          </w:p>
        </w:tc>
        <w:tc>
          <w:tcPr>
            <w:tcW w:w="100" w:type="dxa"/>
            <w:vAlign w:val="bottom"/>
            <w:tcBorders>
              <w:bottom w:val="single" w:sz="8" w:color="CFCFD2"/>
            </w:tcBorders>
          </w:tcPr>
          <w:p>
            <w:pPr>
              <w:spacing w:after="0"/>
              <w:rPr>
                <w:sz w:val="6"/>
                <w:szCs w:val="6"/>
                <w:color w:val="auto"/>
              </w:rPr>
            </w:pPr>
          </w:p>
        </w:tc>
        <w:tc>
          <w:tcPr>
            <w:tcW w:w="1960" w:type="dxa"/>
            <w:vAlign w:val="bottom"/>
            <w:tcBorders>
              <w:bottom w:val="single" w:sz="8" w:color="CFCFD2"/>
            </w:tcBorders>
          </w:tcPr>
          <w:p>
            <w:pPr>
              <w:spacing w:after="0"/>
              <w:rPr>
                <w:sz w:val="6"/>
                <w:szCs w:val="6"/>
                <w:color w:val="auto"/>
              </w:rPr>
            </w:pPr>
          </w:p>
        </w:tc>
        <w:tc>
          <w:tcPr>
            <w:tcW w:w="1540" w:type="dxa"/>
            <w:vAlign w:val="bottom"/>
            <w:tcBorders>
              <w:bottom w:val="single" w:sz="8" w:color="CFCFD2"/>
            </w:tcBorders>
          </w:tcPr>
          <w:p>
            <w:pPr>
              <w:spacing w:after="0"/>
              <w:rPr>
                <w:sz w:val="6"/>
                <w:szCs w:val="6"/>
                <w:color w:val="auto"/>
              </w:rPr>
            </w:pPr>
          </w:p>
        </w:tc>
        <w:tc>
          <w:tcPr>
            <w:tcW w:w="2900" w:type="dxa"/>
            <w:vAlign w:val="bottom"/>
            <w:tcBorders>
              <w:bottom w:val="single" w:sz="8" w:color="CFCFD2"/>
            </w:tcBorders>
          </w:tcPr>
          <w:p>
            <w:pPr>
              <w:spacing w:after="0"/>
              <w:rPr>
                <w:sz w:val="6"/>
                <w:szCs w:val="6"/>
                <w:color w:val="auto"/>
              </w:rPr>
            </w:pPr>
          </w:p>
        </w:tc>
        <w:tc>
          <w:tcPr>
            <w:tcW w:w="260" w:type="dxa"/>
            <w:vAlign w:val="bottom"/>
            <w:tcBorders>
              <w:bottom w:val="single" w:sz="8" w:color="CFCFD2"/>
            </w:tcBorders>
          </w:tcPr>
          <w:p>
            <w:pPr>
              <w:spacing w:after="0"/>
              <w:rPr>
                <w:sz w:val="6"/>
                <w:szCs w:val="6"/>
                <w:color w:val="auto"/>
              </w:rPr>
            </w:pPr>
          </w:p>
        </w:tc>
        <w:tc>
          <w:tcPr>
            <w:tcW w:w="3160" w:type="dxa"/>
            <w:vAlign w:val="bottom"/>
            <w:tcBorders>
              <w:bottom w:val="single" w:sz="8" w:color="CFCFD2"/>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1320" w:type="dxa"/>
            <w:vAlign w:val="bottom"/>
          </w:tcPr>
          <w:p>
            <w:pPr>
              <w:ind w:left="100"/>
              <w:spacing w:after="0"/>
              <w:rPr>
                <w:sz w:val="20"/>
                <w:szCs w:val="20"/>
                <w:color w:val="auto"/>
              </w:rPr>
            </w:pPr>
            <w:r>
              <w:rPr>
                <w:rFonts w:ascii="Arial" w:cs="Arial" w:eastAsia="Arial" w:hAnsi="Arial"/>
                <w:sz w:val="14"/>
                <w:szCs w:val="14"/>
                <w:b w:val="1"/>
                <w:bCs w:val="1"/>
                <w:color w:val="0E1020"/>
              </w:rPr>
              <w:t>RSUs</w:t>
            </w:r>
          </w:p>
        </w:tc>
        <w:tc>
          <w:tcPr>
            <w:tcW w:w="100" w:type="dxa"/>
            <w:vAlign w:val="bottom"/>
          </w:tcPr>
          <w:p>
            <w:pPr>
              <w:ind w:left="20"/>
              <w:spacing w:after="0"/>
              <w:rPr>
                <w:sz w:val="20"/>
                <w:szCs w:val="20"/>
                <w:color w:val="auto"/>
              </w:rPr>
            </w:pPr>
            <w:r>
              <w:rPr>
                <w:rFonts w:ascii="Arial" w:cs="Arial" w:eastAsia="Arial" w:hAnsi="Arial"/>
                <w:sz w:val="14"/>
                <w:szCs w:val="14"/>
                <w:color w:val="0E1020"/>
              </w:rPr>
              <w:t>•</w:t>
            </w:r>
          </w:p>
        </w:tc>
        <w:tc>
          <w:tcPr>
            <w:tcW w:w="1960" w:type="dxa"/>
            <w:vAlign w:val="bottom"/>
          </w:tcPr>
          <w:p>
            <w:pPr>
              <w:ind w:left="40"/>
              <w:spacing w:after="0"/>
              <w:rPr>
                <w:sz w:val="20"/>
                <w:szCs w:val="20"/>
                <w:color w:val="auto"/>
              </w:rPr>
            </w:pPr>
            <w:r>
              <w:rPr>
                <w:rFonts w:ascii="Arial" w:cs="Arial" w:eastAsia="Arial" w:hAnsi="Arial"/>
                <w:sz w:val="14"/>
                <w:szCs w:val="14"/>
                <w:color w:val="0E1020"/>
              </w:rPr>
              <w:t>15% for CEO &amp; CFO</w:t>
            </w:r>
          </w:p>
        </w:tc>
        <w:tc>
          <w:tcPr>
            <w:tcW w:w="1540" w:type="dxa"/>
            <w:vAlign w:val="bottom"/>
          </w:tcPr>
          <w:p>
            <w:pPr>
              <w:ind w:left="20"/>
              <w:spacing w:after="0"/>
              <w:rPr>
                <w:sz w:val="20"/>
                <w:szCs w:val="20"/>
                <w:color w:val="auto"/>
              </w:rPr>
            </w:pPr>
            <w:r>
              <w:rPr>
                <w:rFonts w:ascii="Arial" w:cs="Arial" w:eastAsia="Arial" w:hAnsi="Arial"/>
                <w:sz w:val="14"/>
                <w:szCs w:val="14"/>
                <w:color w:val="0E1020"/>
              </w:rPr>
              <w:t>Three years: One-third</w:t>
            </w:r>
          </w:p>
        </w:tc>
        <w:tc>
          <w:tcPr>
            <w:tcW w:w="2900" w:type="dxa"/>
            <w:vAlign w:val="bottom"/>
          </w:tcPr>
          <w:p>
            <w:pPr>
              <w:ind w:left="80"/>
              <w:spacing w:after="0"/>
              <w:rPr>
                <w:sz w:val="20"/>
                <w:szCs w:val="20"/>
                <w:color w:val="auto"/>
              </w:rPr>
            </w:pPr>
            <w:r>
              <w:rPr>
                <w:rFonts w:ascii="Arial" w:cs="Arial" w:eastAsia="Arial" w:hAnsi="Arial"/>
                <w:sz w:val="14"/>
                <w:szCs w:val="14"/>
                <w:color w:val="0E1020"/>
              </w:rPr>
              <w:t>Value of stock at vesting</w:t>
            </w:r>
          </w:p>
        </w:tc>
        <w:tc>
          <w:tcPr>
            <w:tcW w:w="260" w:type="dxa"/>
            <w:vAlign w:val="bottom"/>
          </w:tcPr>
          <w:p>
            <w:pPr>
              <w:ind w:left="160"/>
              <w:spacing w:after="0"/>
              <w:rPr>
                <w:sz w:val="20"/>
                <w:szCs w:val="20"/>
                <w:color w:val="auto"/>
              </w:rPr>
            </w:pPr>
            <w:r>
              <w:rPr>
                <w:rFonts w:ascii="Arial" w:cs="Arial" w:eastAsia="Arial" w:hAnsi="Arial"/>
                <w:sz w:val="14"/>
                <w:szCs w:val="14"/>
                <w:color w:val="0E1020"/>
              </w:rPr>
              <w:t>•</w:t>
            </w:r>
          </w:p>
        </w:tc>
        <w:tc>
          <w:tcPr>
            <w:tcW w:w="3160" w:type="dxa"/>
            <w:vAlign w:val="bottom"/>
            <w:gridSpan w:val="3"/>
          </w:tcPr>
          <w:p>
            <w:pPr>
              <w:ind w:left="40"/>
              <w:spacing w:after="0"/>
              <w:rPr>
                <w:sz w:val="20"/>
                <w:szCs w:val="20"/>
                <w:color w:val="auto"/>
              </w:rPr>
            </w:pPr>
            <w:r>
              <w:rPr>
                <w:rFonts w:ascii="Arial" w:cs="Arial" w:eastAsia="Arial" w:hAnsi="Arial"/>
                <w:sz w:val="14"/>
                <w:szCs w:val="14"/>
                <w:color w:val="0E1020"/>
              </w:rPr>
              <w:t>Aligns with stockholders</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0E1020"/>
              </w:rPr>
              <w:t>•</w:t>
            </w:r>
          </w:p>
        </w:tc>
        <w:tc>
          <w:tcPr>
            <w:tcW w:w="1960" w:type="dxa"/>
            <w:vAlign w:val="bottom"/>
            <w:vMerge w:val="restart"/>
          </w:tcPr>
          <w:p>
            <w:pPr>
              <w:ind w:left="40"/>
              <w:spacing w:after="0"/>
              <w:rPr>
                <w:sz w:val="20"/>
                <w:szCs w:val="20"/>
                <w:color w:val="auto"/>
              </w:rPr>
            </w:pPr>
            <w:r>
              <w:rPr>
                <w:rFonts w:ascii="Arial" w:cs="Arial" w:eastAsia="Arial" w:hAnsi="Arial"/>
                <w:sz w:val="14"/>
                <w:szCs w:val="14"/>
                <w:color w:val="0E1020"/>
              </w:rPr>
              <w:t>40% for other NEOs</w:t>
            </w:r>
          </w:p>
        </w:tc>
        <w:tc>
          <w:tcPr>
            <w:tcW w:w="1540" w:type="dxa"/>
            <w:vAlign w:val="bottom"/>
          </w:tcPr>
          <w:p>
            <w:pPr>
              <w:ind w:left="20"/>
              <w:spacing w:after="0"/>
              <w:rPr>
                <w:sz w:val="20"/>
                <w:szCs w:val="20"/>
                <w:color w:val="auto"/>
              </w:rPr>
            </w:pPr>
            <w:r>
              <w:rPr>
                <w:rFonts w:ascii="Arial" w:cs="Arial" w:eastAsia="Arial" w:hAnsi="Arial"/>
                <w:sz w:val="14"/>
                <w:szCs w:val="14"/>
                <w:color w:val="0E1020"/>
              </w:rPr>
              <w:t>per year</w:t>
            </w:r>
          </w:p>
        </w:tc>
        <w:tc>
          <w:tcPr>
            <w:tcW w:w="2900" w:type="dxa"/>
            <w:vAlign w:val="bottom"/>
          </w:tcPr>
          <w:p>
            <w:pPr>
              <w:spacing w:after="0"/>
              <w:rPr>
                <w:sz w:val="16"/>
                <w:szCs w:val="16"/>
                <w:color w:val="auto"/>
              </w:rPr>
            </w:pPr>
          </w:p>
        </w:tc>
        <w:tc>
          <w:tcPr>
            <w:tcW w:w="260" w:type="dxa"/>
            <w:vAlign w:val="bottom"/>
            <w:vMerge w:val="restart"/>
          </w:tcPr>
          <w:p>
            <w:pPr>
              <w:ind w:left="160"/>
              <w:spacing w:after="0"/>
              <w:rPr>
                <w:sz w:val="20"/>
                <w:szCs w:val="20"/>
                <w:color w:val="auto"/>
              </w:rPr>
            </w:pPr>
            <w:r>
              <w:rPr>
                <w:rFonts w:ascii="Arial" w:cs="Arial" w:eastAsia="Arial" w:hAnsi="Arial"/>
                <w:sz w:val="14"/>
                <w:szCs w:val="14"/>
                <w:color w:val="0E1020"/>
              </w:rPr>
              <w:t>•</w:t>
            </w:r>
          </w:p>
        </w:tc>
        <w:tc>
          <w:tcPr>
            <w:tcW w:w="3160" w:type="dxa"/>
            <w:vAlign w:val="bottom"/>
            <w:gridSpan w:val="3"/>
            <w:vMerge w:val="restart"/>
          </w:tcPr>
          <w:p>
            <w:pPr>
              <w:ind w:left="40"/>
              <w:spacing w:after="0"/>
              <w:rPr>
                <w:sz w:val="20"/>
                <w:szCs w:val="20"/>
                <w:color w:val="auto"/>
              </w:rPr>
            </w:pPr>
            <w:r>
              <w:rPr>
                <w:rFonts w:ascii="Arial" w:cs="Arial" w:eastAsia="Arial" w:hAnsi="Arial"/>
                <w:sz w:val="14"/>
                <w:szCs w:val="14"/>
                <w:color w:val="0E1020"/>
              </w:rPr>
              <w:t>Promotes retention</w:t>
            </w:r>
          </w:p>
        </w:tc>
        <w:tc>
          <w:tcPr>
            <w:tcW w:w="0" w:type="dxa"/>
            <w:vAlign w:val="bottom"/>
          </w:tcPr>
          <w:p>
            <w:pPr>
              <w:spacing w:after="0"/>
              <w:rPr>
                <w:sz w:val="1"/>
                <w:szCs w:val="1"/>
                <w:color w:val="auto"/>
              </w:rPr>
            </w:pPr>
          </w:p>
        </w:tc>
      </w:tr>
      <w:tr>
        <w:trPr>
          <w:trHeight w:val="54"/>
        </w:trPr>
        <w:tc>
          <w:tcPr>
            <w:tcW w:w="13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9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31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60" w:type="dxa"/>
            <w:vAlign w:val="bottom"/>
          </w:tcPr>
          <w:p>
            <w:pPr>
              <w:ind w:left="160"/>
              <w:spacing w:after="0"/>
              <w:rPr>
                <w:sz w:val="20"/>
                <w:szCs w:val="20"/>
                <w:color w:val="auto"/>
              </w:rPr>
            </w:pPr>
            <w:r>
              <w:rPr>
                <w:rFonts w:ascii="Arial" w:cs="Arial" w:eastAsia="Arial" w:hAnsi="Arial"/>
                <w:sz w:val="14"/>
                <w:szCs w:val="14"/>
                <w:color w:val="0E1020"/>
              </w:rPr>
              <w:t>•</w:t>
            </w:r>
          </w:p>
        </w:tc>
        <w:tc>
          <w:tcPr>
            <w:tcW w:w="3160" w:type="dxa"/>
            <w:vAlign w:val="bottom"/>
            <w:gridSpan w:val="3"/>
          </w:tcPr>
          <w:p>
            <w:pPr>
              <w:ind w:left="40"/>
              <w:spacing w:after="0"/>
              <w:rPr>
                <w:sz w:val="20"/>
                <w:szCs w:val="20"/>
                <w:color w:val="auto"/>
              </w:rPr>
            </w:pPr>
            <w:r>
              <w:rPr>
                <w:rFonts w:ascii="Arial" w:cs="Arial" w:eastAsia="Arial" w:hAnsi="Arial"/>
                <w:sz w:val="14"/>
                <w:szCs w:val="14"/>
                <w:color w:val="0E1020"/>
              </w:rPr>
              <w:t>Provides alignment to stockholders’ interests,</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60" w:type="dxa"/>
            <w:vAlign w:val="bottom"/>
            <w:gridSpan w:val="3"/>
          </w:tcPr>
          <w:p>
            <w:pPr>
              <w:ind w:left="60"/>
              <w:spacing w:after="0"/>
              <w:rPr>
                <w:sz w:val="20"/>
                <w:szCs w:val="20"/>
                <w:color w:val="auto"/>
              </w:rPr>
            </w:pPr>
            <w:r>
              <w:rPr>
                <w:rFonts w:ascii="Arial" w:cs="Arial" w:eastAsia="Arial" w:hAnsi="Arial"/>
                <w:sz w:val="14"/>
                <w:szCs w:val="14"/>
                <w:color w:val="0E1020"/>
              </w:rPr>
              <w:t>even during periods of market volatility</w:t>
            </w:r>
          </w:p>
        </w:tc>
        <w:tc>
          <w:tcPr>
            <w:tcW w:w="0" w:type="dxa"/>
            <w:vAlign w:val="bottom"/>
          </w:tcPr>
          <w:p>
            <w:pPr>
              <w:spacing w:after="0"/>
              <w:rPr>
                <w:sz w:val="1"/>
                <w:szCs w:val="1"/>
                <w:color w:val="auto"/>
              </w:rPr>
            </w:pPr>
          </w:p>
        </w:tc>
      </w:tr>
      <w:tr>
        <w:trPr>
          <w:trHeight w:val="75"/>
        </w:trPr>
        <w:tc>
          <w:tcPr>
            <w:tcW w:w="1320" w:type="dxa"/>
            <w:vAlign w:val="bottom"/>
            <w:tcBorders>
              <w:bottom w:val="single" w:sz="8" w:color="CFCFD2"/>
            </w:tcBorders>
          </w:tcPr>
          <w:p>
            <w:pPr>
              <w:spacing w:after="0"/>
              <w:rPr>
                <w:sz w:val="6"/>
                <w:szCs w:val="6"/>
                <w:color w:val="auto"/>
              </w:rPr>
            </w:pPr>
          </w:p>
        </w:tc>
        <w:tc>
          <w:tcPr>
            <w:tcW w:w="100" w:type="dxa"/>
            <w:vAlign w:val="bottom"/>
            <w:tcBorders>
              <w:bottom w:val="single" w:sz="8" w:color="CFCFD2"/>
            </w:tcBorders>
          </w:tcPr>
          <w:p>
            <w:pPr>
              <w:spacing w:after="0"/>
              <w:rPr>
                <w:sz w:val="6"/>
                <w:szCs w:val="6"/>
                <w:color w:val="auto"/>
              </w:rPr>
            </w:pPr>
          </w:p>
        </w:tc>
        <w:tc>
          <w:tcPr>
            <w:tcW w:w="1960" w:type="dxa"/>
            <w:vAlign w:val="bottom"/>
            <w:tcBorders>
              <w:bottom w:val="single" w:sz="8" w:color="CFCFD2"/>
            </w:tcBorders>
          </w:tcPr>
          <w:p>
            <w:pPr>
              <w:spacing w:after="0"/>
              <w:rPr>
                <w:sz w:val="6"/>
                <w:szCs w:val="6"/>
                <w:color w:val="auto"/>
              </w:rPr>
            </w:pPr>
          </w:p>
        </w:tc>
        <w:tc>
          <w:tcPr>
            <w:tcW w:w="1540" w:type="dxa"/>
            <w:vAlign w:val="bottom"/>
            <w:tcBorders>
              <w:bottom w:val="single" w:sz="8" w:color="CFCFD2"/>
            </w:tcBorders>
          </w:tcPr>
          <w:p>
            <w:pPr>
              <w:spacing w:after="0"/>
              <w:rPr>
                <w:sz w:val="6"/>
                <w:szCs w:val="6"/>
                <w:color w:val="auto"/>
              </w:rPr>
            </w:pPr>
          </w:p>
        </w:tc>
        <w:tc>
          <w:tcPr>
            <w:tcW w:w="2900" w:type="dxa"/>
            <w:vAlign w:val="bottom"/>
            <w:tcBorders>
              <w:bottom w:val="single" w:sz="8" w:color="CFCFD2"/>
            </w:tcBorders>
          </w:tcPr>
          <w:p>
            <w:pPr>
              <w:spacing w:after="0"/>
              <w:rPr>
                <w:sz w:val="6"/>
                <w:szCs w:val="6"/>
                <w:color w:val="auto"/>
              </w:rPr>
            </w:pPr>
          </w:p>
        </w:tc>
        <w:tc>
          <w:tcPr>
            <w:tcW w:w="260" w:type="dxa"/>
            <w:vAlign w:val="bottom"/>
            <w:tcBorders>
              <w:bottom w:val="single" w:sz="8" w:color="CFCFD2"/>
            </w:tcBorders>
          </w:tcPr>
          <w:p>
            <w:pPr>
              <w:spacing w:after="0"/>
              <w:rPr>
                <w:sz w:val="6"/>
                <w:szCs w:val="6"/>
                <w:color w:val="auto"/>
              </w:rPr>
            </w:pPr>
          </w:p>
        </w:tc>
        <w:tc>
          <w:tcPr>
            <w:tcW w:w="2040" w:type="dxa"/>
            <w:vAlign w:val="bottom"/>
            <w:tcBorders>
              <w:bottom w:val="single" w:sz="8" w:color="CFCFD2"/>
            </w:tcBorders>
          </w:tcPr>
          <w:p>
            <w:pPr>
              <w:spacing w:after="0"/>
              <w:rPr>
                <w:sz w:val="6"/>
                <w:szCs w:val="6"/>
                <w:color w:val="auto"/>
              </w:rPr>
            </w:pPr>
          </w:p>
        </w:tc>
        <w:tc>
          <w:tcPr>
            <w:tcW w:w="1100" w:type="dxa"/>
            <w:vAlign w:val="bottom"/>
            <w:tcBorders>
              <w:bottom w:val="single" w:sz="8" w:color="CFCFD2"/>
            </w:tcBorders>
          </w:tcPr>
          <w:p>
            <w:pPr>
              <w:spacing w:after="0"/>
              <w:rPr>
                <w:sz w:val="6"/>
                <w:szCs w:val="6"/>
                <w:color w:val="auto"/>
              </w:rPr>
            </w:pPr>
          </w:p>
        </w:tc>
        <w:tc>
          <w:tcPr>
            <w:tcW w:w="20" w:type="dxa"/>
            <w:vAlign w:val="bottom"/>
            <w:tcBorders>
              <w:bottom w:val="single" w:sz="8" w:color="CFCFD2"/>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80" w:right="20" w:hanging="312"/>
        <w:spacing w:after="0" w:line="265" w:lineRule="auto"/>
        <w:tabs>
          <w:tab w:leader="none" w:pos="455" w:val="left"/>
        </w:tabs>
        <w:numPr>
          <w:ilvl w:val="0"/>
          <w:numId w:val="78"/>
        </w:numPr>
        <w:rPr>
          <w:rFonts w:ascii="Arial" w:cs="Arial" w:eastAsia="Arial" w:hAnsi="Arial"/>
          <w:sz w:val="14"/>
          <w:szCs w:val="14"/>
          <w:color w:val="0E1020"/>
        </w:rPr>
      </w:pPr>
      <w:r>
        <w:rPr>
          <w:rFonts w:ascii="Arial" w:cs="Arial" w:eastAsia="Arial" w:hAnsi="Arial"/>
          <w:sz w:val="14"/>
          <w:szCs w:val="14"/>
          <w:color w:val="0E1020"/>
        </w:rPr>
        <w:t>rTSR is defined as the Company’s Total Shareholder Return (“TSR”) for the fiscal 2026 PSU performance period (4/1/2025 - 3/31/2028), in relation to the TSRs of the companies that are members of the comparison peer group described below. TSR means the difference between (i) the average price of a share of the relevant company’s stock during the 20 trading days immediately preceding and including the start date of the performance period and (ii) the average price of a share of the same company’s stock during the last 20 trading days of the performance period, plus the value of gross dividends paid as if reinvested in the relevant company’s stock on the ex-dividend date and other appropriate adjustments for such events as stock splits.</w:t>
      </w:r>
    </w:p>
    <w:p>
      <w:pPr>
        <w:spacing w:after="0" w:line="15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0E1020"/>
        </w:rPr>
        <w:t>Based on objective criteria to identify business and capital-market competitors that avoids self-selection, the 15 relative TSR comparison companies selected for the fiscal 2026 PSUs are composed of U.S. S&amp;P companies with annual revenues greater than or equal to $2B in the following designated service sectors of (1) IT Consulting &amp; Other Services and (2) Data Processing &amp; Outsourced Services. These comparison companies were reviewed and approved by the Compensation Committee. The group of companies is partially different than the fiscal 2026 compensation peer group identified under “Compensation Peer Group and Peer Selection Process” above:</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AAC"/>
        </w:rPr>
        <w:t>DXC Technology’s Fiscal 2026 PSU rTSR Peer Group</w:t>
      </w:r>
    </w:p>
    <w:p>
      <w:pPr>
        <w:spacing w:after="0" w:line="96" w:lineRule="exact"/>
        <w:rPr>
          <w:sz w:val="20"/>
          <w:szCs w:val="20"/>
          <w:color w:val="auto"/>
        </w:rPr>
      </w:pPr>
    </w:p>
    <w:p>
      <w:pPr>
        <w:ind w:left="20" w:right="700"/>
        <w:spacing w:after="0" w:line="299" w:lineRule="auto"/>
        <w:rPr>
          <w:sz w:val="20"/>
          <w:szCs w:val="20"/>
          <w:color w:val="auto"/>
        </w:rPr>
      </w:pPr>
      <w:r>
        <w:rPr>
          <w:rFonts w:ascii="Arial" w:cs="Arial" w:eastAsia="Arial" w:hAnsi="Arial"/>
          <w:sz w:val="14"/>
          <w:szCs w:val="14"/>
          <w:i w:val="1"/>
          <w:iCs w:val="1"/>
          <w:color w:val="auto"/>
        </w:rPr>
        <w:t>(U.S. S&amp;P companies with annual revenues greater than or equal to $2B in the following designated service sectors of (1) IT Consulting &amp; Other Services and (2) Data Processing &amp; Outsourced Services, as of the start of the performance period of April 1, 2025)</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40" w:type="dxa"/>
            <w:vAlign w:val="bottom"/>
            <w:shd w:val="clear" w:color="auto" w:fill="F6F3F0"/>
          </w:tcPr>
          <w:p>
            <w:pPr>
              <w:spacing w:after="0"/>
              <w:rPr>
                <w:sz w:val="23"/>
                <w:szCs w:val="23"/>
                <w:color w:val="auto"/>
              </w:rPr>
            </w:pPr>
          </w:p>
        </w:tc>
        <w:tc>
          <w:tcPr>
            <w:tcW w:w="3260" w:type="dxa"/>
            <w:vAlign w:val="bottom"/>
            <w:vMerge w:val="restart"/>
            <w:shd w:val="clear" w:color="auto" w:fill="F6F3F0"/>
          </w:tcPr>
          <w:p>
            <w:pPr>
              <w:ind w:left="20"/>
              <w:spacing w:after="0"/>
              <w:rPr>
                <w:sz w:val="20"/>
                <w:szCs w:val="20"/>
                <w:color w:val="auto"/>
              </w:rPr>
            </w:pPr>
            <w:r>
              <w:rPr>
                <w:rFonts w:ascii="Arial" w:cs="Arial" w:eastAsia="Arial" w:hAnsi="Arial"/>
                <w:sz w:val="14"/>
                <w:szCs w:val="14"/>
                <w:color w:val="0E1020"/>
              </w:rPr>
              <w:t>Accenture plc</w:t>
            </w:r>
          </w:p>
        </w:tc>
        <w:tc>
          <w:tcPr>
            <w:tcW w:w="260" w:type="dxa"/>
            <w:vAlign w:val="bottom"/>
            <w:tcBorders>
              <w:right w:val="single" w:sz="8" w:color="F6F3F0"/>
            </w:tcBorders>
            <w:shd w:val="clear" w:color="auto" w:fill="F6F3F0"/>
          </w:tcPr>
          <w:p>
            <w:pPr>
              <w:spacing w:after="0"/>
              <w:rPr>
                <w:sz w:val="23"/>
                <w:szCs w:val="23"/>
                <w:color w:val="auto"/>
              </w:rPr>
            </w:pPr>
          </w:p>
        </w:tc>
        <w:tc>
          <w:tcPr>
            <w:tcW w:w="3740" w:type="dxa"/>
            <w:vAlign w:val="bottom"/>
            <w:vMerge w:val="restart"/>
            <w:shd w:val="clear" w:color="auto" w:fill="F6F3F0"/>
          </w:tcPr>
          <w:p>
            <w:pPr>
              <w:ind w:left="240"/>
              <w:spacing w:after="0"/>
              <w:rPr>
                <w:sz w:val="20"/>
                <w:szCs w:val="20"/>
                <w:color w:val="auto"/>
              </w:rPr>
            </w:pPr>
            <w:r>
              <w:rPr>
                <w:rFonts w:ascii="Arial" w:cs="Arial" w:eastAsia="Arial" w:hAnsi="Arial"/>
                <w:sz w:val="14"/>
                <w:szCs w:val="14"/>
                <w:color w:val="0E1020"/>
              </w:rPr>
              <w:t>Conduent Incorporated</w:t>
            </w:r>
          </w:p>
        </w:tc>
        <w:tc>
          <w:tcPr>
            <w:tcW w:w="20" w:type="dxa"/>
            <w:vAlign w:val="bottom"/>
            <w:shd w:val="clear" w:color="auto" w:fill="F6F3F0"/>
          </w:tcPr>
          <w:p>
            <w:pPr>
              <w:spacing w:after="0"/>
              <w:rPr>
                <w:sz w:val="23"/>
                <w:szCs w:val="23"/>
                <w:color w:val="auto"/>
              </w:rPr>
            </w:pPr>
          </w:p>
        </w:tc>
        <w:tc>
          <w:tcPr>
            <w:tcW w:w="3720" w:type="dxa"/>
            <w:vAlign w:val="bottom"/>
            <w:vMerge w:val="restart"/>
            <w:shd w:val="clear" w:color="auto" w:fill="F6F3F0"/>
          </w:tcPr>
          <w:p>
            <w:pPr>
              <w:ind w:left="240"/>
              <w:spacing w:after="0"/>
              <w:rPr>
                <w:sz w:val="20"/>
                <w:szCs w:val="20"/>
                <w:color w:val="auto"/>
              </w:rPr>
            </w:pPr>
            <w:r>
              <w:rPr>
                <w:rFonts w:ascii="Arial" w:cs="Arial" w:eastAsia="Arial" w:hAnsi="Arial"/>
                <w:sz w:val="14"/>
                <w:szCs w:val="14"/>
                <w:color w:val="0E1020"/>
              </w:rPr>
              <w:t>Kyndryl Holdings, Inc.</w:t>
            </w:r>
          </w:p>
        </w:tc>
        <w:tc>
          <w:tcPr>
            <w:tcW w:w="0" w:type="dxa"/>
            <w:vAlign w:val="bottom"/>
          </w:tcPr>
          <w:p>
            <w:pPr>
              <w:spacing w:after="0"/>
              <w:rPr>
                <w:sz w:val="1"/>
                <w:szCs w:val="1"/>
                <w:color w:val="auto"/>
              </w:rPr>
            </w:pPr>
          </w:p>
        </w:tc>
      </w:tr>
      <w:tr>
        <w:trPr>
          <w:trHeight w:val="207"/>
        </w:trPr>
        <w:tc>
          <w:tcPr>
            <w:tcW w:w="240" w:type="dxa"/>
            <w:vAlign w:val="bottom"/>
            <w:shd w:val="clear" w:color="auto" w:fill="F6F3F0"/>
          </w:tcPr>
          <w:p>
            <w:pPr>
              <w:spacing w:after="0"/>
              <w:rPr>
                <w:sz w:val="17"/>
                <w:szCs w:val="17"/>
                <w:color w:val="auto"/>
              </w:rPr>
            </w:pPr>
          </w:p>
        </w:tc>
        <w:tc>
          <w:tcPr>
            <w:tcW w:w="3260" w:type="dxa"/>
            <w:vAlign w:val="bottom"/>
            <w:vMerge w:val="continue"/>
            <w:shd w:val="clear" w:color="auto" w:fill="F6F3F0"/>
          </w:tcPr>
          <w:p>
            <w:pPr>
              <w:spacing w:after="0"/>
              <w:rPr>
                <w:sz w:val="17"/>
                <w:szCs w:val="17"/>
                <w:color w:val="auto"/>
              </w:rPr>
            </w:pPr>
          </w:p>
        </w:tc>
        <w:tc>
          <w:tcPr>
            <w:tcW w:w="260" w:type="dxa"/>
            <w:vAlign w:val="bottom"/>
            <w:tcBorders>
              <w:right w:val="single" w:sz="8" w:color="CFCFD2"/>
            </w:tcBorders>
            <w:shd w:val="clear" w:color="auto" w:fill="F6F3F0"/>
          </w:tcPr>
          <w:p>
            <w:pPr>
              <w:spacing w:after="0"/>
              <w:rPr>
                <w:sz w:val="17"/>
                <w:szCs w:val="17"/>
                <w:color w:val="auto"/>
              </w:rPr>
            </w:pPr>
          </w:p>
        </w:tc>
        <w:tc>
          <w:tcPr>
            <w:tcW w:w="3740" w:type="dxa"/>
            <w:vAlign w:val="bottom"/>
            <w:vMerge w:val="continue"/>
            <w:shd w:val="clear" w:color="auto" w:fill="F6F3F0"/>
          </w:tcPr>
          <w:p>
            <w:pPr>
              <w:spacing w:after="0"/>
              <w:rPr>
                <w:sz w:val="17"/>
                <w:szCs w:val="17"/>
                <w:color w:val="auto"/>
              </w:rPr>
            </w:pPr>
          </w:p>
        </w:tc>
        <w:tc>
          <w:tcPr>
            <w:tcW w:w="20" w:type="dxa"/>
            <w:vAlign w:val="bottom"/>
            <w:shd w:val="clear" w:color="auto" w:fill="CFCFD2"/>
          </w:tcPr>
          <w:p>
            <w:pPr>
              <w:spacing w:after="0"/>
              <w:rPr>
                <w:sz w:val="17"/>
                <w:szCs w:val="17"/>
                <w:color w:val="auto"/>
              </w:rPr>
            </w:pPr>
          </w:p>
        </w:tc>
        <w:tc>
          <w:tcPr>
            <w:tcW w:w="3720" w:type="dxa"/>
            <w:vAlign w:val="bottom"/>
            <w:vMerge w:val="continue"/>
            <w:shd w:val="clear" w:color="auto" w:fill="F6F3F0"/>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40" w:type="dxa"/>
            <w:vAlign w:val="bottom"/>
            <w:shd w:val="clear" w:color="auto" w:fill="F6F3F0"/>
          </w:tcPr>
          <w:p>
            <w:pPr>
              <w:spacing w:after="0"/>
              <w:rPr>
                <w:sz w:val="23"/>
                <w:szCs w:val="23"/>
                <w:color w:val="auto"/>
              </w:rPr>
            </w:pPr>
          </w:p>
        </w:tc>
        <w:tc>
          <w:tcPr>
            <w:tcW w:w="3260" w:type="dxa"/>
            <w:vAlign w:val="bottom"/>
            <w:shd w:val="clear" w:color="auto" w:fill="F6F3F0"/>
          </w:tcPr>
          <w:p>
            <w:pPr>
              <w:ind w:left="20"/>
              <w:spacing w:after="0"/>
              <w:rPr>
                <w:sz w:val="20"/>
                <w:szCs w:val="20"/>
                <w:color w:val="auto"/>
              </w:rPr>
            </w:pPr>
            <w:r>
              <w:rPr>
                <w:rFonts w:ascii="Arial" w:cs="Arial" w:eastAsia="Arial" w:hAnsi="Arial"/>
                <w:sz w:val="14"/>
                <w:szCs w:val="14"/>
                <w:color w:val="0E1020"/>
              </w:rPr>
              <w:t>ASGN Incorporated</w:t>
            </w:r>
          </w:p>
        </w:tc>
        <w:tc>
          <w:tcPr>
            <w:tcW w:w="260" w:type="dxa"/>
            <w:vAlign w:val="bottom"/>
            <w:tcBorders>
              <w:right w:val="single" w:sz="8" w:color="CFCFD2"/>
            </w:tcBorders>
            <w:shd w:val="clear" w:color="auto" w:fill="F6F3F0"/>
          </w:tcPr>
          <w:p>
            <w:pPr>
              <w:spacing w:after="0"/>
              <w:rPr>
                <w:sz w:val="23"/>
                <w:szCs w:val="23"/>
                <w:color w:val="auto"/>
              </w:rPr>
            </w:pPr>
          </w:p>
        </w:tc>
        <w:tc>
          <w:tcPr>
            <w:tcW w:w="3740" w:type="dxa"/>
            <w:vAlign w:val="bottom"/>
            <w:shd w:val="clear" w:color="auto" w:fill="F6F3F0"/>
          </w:tcPr>
          <w:p>
            <w:pPr>
              <w:ind w:left="240"/>
              <w:spacing w:after="0"/>
              <w:rPr>
                <w:sz w:val="20"/>
                <w:szCs w:val="20"/>
                <w:color w:val="auto"/>
              </w:rPr>
            </w:pPr>
            <w:r>
              <w:rPr>
                <w:rFonts w:ascii="Arial" w:cs="Arial" w:eastAsia="Arial" w:hAnsi="Arial"/>
                <w:sz w:val="14"/>
                <w:szCs w:val="14"/>
                <w:color w:val="0E1020"/>
              </w:rPr>
              <w:t>EPAM Systems, Inc.</w:t>
            </w:r>
          </w:p>
        </w:tc>
        <w:tc>
          <w:tcPr>
            <w:tcW w:w="20" w:type="dxa"/>
            <w:vAlign w:val="bottom"/>
            <w:shd w:val="clear" w:color="auto" w:fill="CFCFD2"/>
          </w:tcPr>
          <w:p>
            <w:pPr>
              <w:spacing w:after="0"/>
              <w:rPr>
                <w:sz w:val="23"/>
                <w:szCs w:val="23"/>
                <w:color w:val="auto"/>
              </w:rPr>
            </w:pPr>
          </w:p>
        </w:tc>
        <w:tc>
          <w:tcPr>
            <w:tcW w:w="3720" w:type="dxa"/>
            <w:vAlign w:val="bottom"/>
            <w:shd w:val="clear" w:color="auto" w:fill="F6F3F0"/>
          </w:tcPr>
          <w:p>
            <w:pPr>
              <w:ind w:left="240"/>
              <w:spacing w:after="0"/>
              <w:rPr>
                <w:sz w:val="20"/>
                <w:szCs w:val="20"/>
                <w:color w:val="auto"/>
              </w:rPr>
            </w:pPr>
            <w:r>
              <w:rPr>
                <w:rFonts w:ascii="Arial" w:cs="Arial" w:eastAsia="Arial" w:hAnsi="Arial"/>
                <w:sz w:val="14"/>
                <w:szCs w:val="14"/>
                <w:color w:val="0E1020"/>
              </w:rPr>
              <w:t>Maximus, Inc.</w:t>
            </w:r>
          </w:p>
        </w:tc>
        <w:tc>
          <w:tcPr>
            <w:tcW w:w="0" w:type="dxa"/>
            <w:vAlign w:val="bottom"/>
          </w:tcPr>
          <w:p>
            <w:pPr>
              <w:spacing w:after="0"/>
              <w:rPr>
                <w:sz w:val="1"/>
                <w:szCs w:val="1"/>
                <w:color w:val="auto"/>
              </w:rPr>
            </w:pPr>
          </w:p>
        </w:tc>
      </w:tr>
      <w:tr>
        <w:trPr>
          <w:trHeight w:val="282"/>
        </w:trPr>
        <w:tc>
          <w:tcPr>
            <w:tcW w:w="240" w:type="dxa"/>
            <w:vAlign w:val="bottom"/>
            <w:shd w:val="clear" w:color="auto" w:fill="F6F3F0"/>
          </w:tcPr>
          <w:p>
            <w:pPr>
              <w:spacing w:after="0"/>
              <w:rPr>
                <w:sz w:val="24"/>
                <w:szCs w:val="24"/>
                <w:color w:val="auto"/>
              </w:rPr>
            </w:pPr>
          </w:p>
        </w:tc>
        <w:tc>
          <w:tcPr>
            <w:tcW w:w="3260" w:type="dxa"/>
            <w:vAlign w:val="bottom"/>
            <w:shd w:val="clear" w:color="auto" w:fill="F6F3F0"/>
          </w:tcPr>
          <w:p>
            <w:pPr>
              <w:ind w:left="20"/>
              <w:spacing w:after="0"/>
              <w:rPr>
                <w:sz w:val="20"/>
                <w:szCs w:val="20"/>
                <w:color w:val="auto"/>
              </w:rPr>
            </w:pPr>
            <w:r>
              <w:rPr>
                <w:rFonts w:ascii="Arial" w:cs="Arial" w:eastAsia="Arial" w:hAnsi="Arial"/>
                <w:sz w:val="14"/>
                <w:szCs w:val="14"/>
                <w:color w:val="0E1020"/>
              </w:rPr>
              <w:t>Broadridge Financial Solutions, Inc.</w:t>
            </w:r>
          </w:p>
        </w:tc>
        <w:tc>
          <w:tcPr>
            <w:tcW w:w="260" w:type="dxa"/>
            <w:vAlign w:val="bottom"/>
            <w:tcBorders>
              <w:right w:val="single" w:sz="8" w:color="CFCFD2"/>
            </w:tcBorders>
            <w:shd w:val="clear" w:color="auto" w:fill="F6F3F0"/>
          </w:tcPr>
          <w:p>
            <w:pPr>
              <w:spacing w:after="0"/>
              <w:rPr>
                <w:sz w:val="24"/>
                <w:szCs w:val="24"/>
                <w:color w:val="auto"/>
              </w:rPr>
            </w:pPr>
          </w:p>
        </w:tc>
        <w:tc>
          <w:tcPr>
            <w:tcW w:w="3740" w:type="dxa"/>
            <w:vAlign w:val="bottom"/>
            <w:shd w:val="clear" w:color="auto" w:fill="F6F3F0"/>
          </w:tcPr>
          <w:p>
            <w:pPr>
              <w:ind w:left="240"/>
              <w:spacing w:after="0"/>
              <w:rPr>
                <w:sz w:val="20"/>
                <w:szCs w:val="20"/>
                <w:color w:val="auto"/>
              </w:rPr>
            </w:pPr>
            <w:r>
              <w:rPr>
                <w:rFonts w:ascii="Arial" w:cs="Arial" w:eastAsia="Arial" w:hAnsi="Arial"/>
                <w:sz w:val="14"/>
                <w:szCs w:val="14"/>
                <w:color w:val="0E1020"/>
              </w:rPr>
              <w:t>Gartner, Inc.</w:t>
            </w:r>
          </w:p>
        </w:tc>
        <w:tc>
          <w:tcPr>
            <w:tcW w:w="20" w:type="dxa"/>
            <w:vAlign w:val="bottom"/>
            <w:shd w:val="clear" w:color="auto" w:fill="CFCFD2"/>
          </w:tcPr>
          <w:p>
            <w:pPr>
              <w:spacing w:after="0"/>
              <w:rPr>
                <w:sz w:val="24"/>
                <w:szCs w:val="24"/>
                <w:color w:val="auto"/>
              </w:rPr>
            </w:pPr>
          </w:p>
        </w:tc>
        <w:tc>
          <w:tcPr>
            <w:tcW w:w="3720" w:type="dxa"/>
            <w:vAlign w:val="bottom"/>
            <w:shd w:val="clear" w:color="auto" w:fill="F6F3F0"/>
          </w:tcPr>
          <w:p>
            <w:pPr>
              <w:ind w:left="240"/>
              <w:spacing w:after="0"/>
              <w:rPr>
                <w:sz w:val="20"/>
                <w:szCs w:val="20"/>
                <w:color w:val="auto"/>
              </w:rPr>
            </w:pPr>
            <w:r>
              <w:rPr>
                <w:rFonts w:ascii="Arial" w:cs="Arial" w:eastAsia="Arial" w:hAnsi="Arial"/>
                <w:sz w:val="14"/>
                <w:szCs w:val="14"/>
                <w:color w:val="0E1020"/>
              </w:rPr>
              <w:t>SS&amp;C Technologies Holdings, Inc.</w:t>
            </w:r>
          </w:p>
        </w:tc>
        <w:tc>
          <w:tcPr>
            <w:tcW w:w="0" w:type="dxa"/>
            <w:vAlign w:val="bottom"/>
          </w:tcPr>
          <w:p>
            <w:pPr>
              <w:spacing w:after="0"/>
              <w:rPr>
                <w:sz w:val="1"/>
                <w:szCs w:val="1"/>
                <w:color w:val="auto"/>
              </w:rPr>
            </w:pPr>
          </w:p>
        </w:tc>
      </w:tr>
      <w:tr>
        <w:trPr>
          <w:trHeight w:val="266"/>
        </w:trPr>
        <w:tc>
          <w:tcPr>
            <w:tcW w:w="240" w:type="dxa"/>
            <w:vAlign w:val="bottom"/>
            <w:shd w:val="clear" w:color="auto" w:fill="F6F3F0"/>
          </w:tcPr>
          <w:p>
            <w:pPr>
              <w:spacing w:after="0"/>
              <w:rPr>
                <w:sz w:val="23"/>
                <w:szCs w:val="23"/>
                <w:color w:val="auto"/>
              </w:rPr>
            </w:pPr>
          </w:p>
        </w:tc>
        <w:tc>
          <w:tcPr>
            <w:tcW w:w="3260" w:type="dxa"/>
            <w:vAlign w:val="bottom"/>
            <w:shd w:val="clear" w:color="auto" w:fill="F6F3F0"/>
          </w:tcPr>
          <w:p>
            <w:pPr>
              <w:ind w:left="20"/>
              <w:spacing w:after="0"/>
              <w:rPr>
                <w:sz w:val="20"/>
                <w:szCs w:val="20"/>
                <w:color w:val="auto"/>
              </w:rPr>
            </w:pPr>
            <w:r>
              <w:rPr>
                <w:rFonts w:ascii="Arial" w:cs="Arial" w:eastAsia="Arial" w:hAnsi="Arial"/>
                <w:sz w:val="14"/>
                <w:szCs w:val="14"/>
                <w:color w:val="0E1020"/>
              </w:rPr>
              <w:t>Cognizant Technology Solutions</w:t>
            </w:r>
          </w:p>
        </w:tc>
        <w:tc>
          <w:tcPr>
            <w:tcW w:w="260" w:type="dxa"/>
            <w:vAlign w:val="bottom"/>
            <w:tcBorders>
              <w:right w:val="single" w:sz="8" w:color="CFCFD2"/>
            </w:tcBorders>
            <w:shd w:val="clear" w:color="auto" w:fill="F6F3F0"/>
          </w:tcPr>
          <w:p>
            <w:pPr>
              <w:spacing w:after="0"/>
              <w:rPr>
                <w:sz w:val="23"/>
                <w:szCs w:val="23"/>
                <w:color w:val="auto"/>
              </w:rPr>
            </w:pPr>
          </w:p>
        </w:tc>
        <w:tc>
          <w:tcPr>
            <w:tcW w:w="3740" w:type="dxa"/>
            <w:vAlign w:val="bottom"/>
            <w:shd w:val="clear" w:color="auto" w:fill="F6F3F0"/>
          </w:tcPr>
          <w:p>
            <w:pPr>
              <w:ind w:left="240"/>
              <w:spacing w:after="0"/>
              <w:rPr>
                <w:sz w:val="20"/>
                <w:szCs w:val="20"/>
                <w:color w:val="auto"/>
              </w:rPr>
            </w:pPr>
            <w:r>
              <w:rPr>
                <w:rFonts w:ascii="Arial" w:cs="Arial" w:eastAsia="Arial" w:hAnsi="Arial"/>
                <w:sz w:val="14"/>
                <w:szCs w:val="14"/>
                <w:color w:val="0E1020"/>
              </w:rPr>
              <w:t>Genpact Limited</w:t>
            </w:r>
          </w:p>
        </w:tc>
        <w:tc>
          <w:tcPr>
            <w:tcW w:w="20" w:type="dxa"/>
            <w:vAlign w:val="bottom"/>
            <w:shd w:val="clear" w:color="auto" w:fill="CFCFD2"/>
          </w:tcPr>
          <w:p>
            <w:pPr>
              <w:spacing w:after="0"/>
              <w:rPr>
                <w:sz w:val="23"/>
                <w:szCs w:val="23"/>
                <w:color w:val="auto"/>
              </w:rPr>
            </w:pPr>
          </w:p>
        </w:tc>
        <w:tc>
          <w:tcPr>
            <w:tcW w:w="3720" w:type="dxa"/>
            <w:vAlign w:val="bottom"/>
            <w:shd w:val="clear" w:color="auto" w:fill="F6F3F0"/>
          </w:tcPr>
          <w:p>
            <w:pPr>
              <w:ind w:left="240"/>
              <w:spacing w:after="0"/>
              <w:rPr>
                <w:sz w:val="20"/>
                <w:szCs w:val="20"/>
                <w:color w:val="auto"/>
              </w:rPr>
            </w:pPr>
            <w:r>
              <w:rPr>
                <w:rFonts w:ascii="Arial" w:cs="Arial" w:eastAsia="Arial" w:hAnsi="Arial"/>
                <w:sz w:val="14"/>
                <w:szCs w:val="14"/>
                <w:color w:val="0E1020"/>
              </w:rPr>
              <w:t>TTEC Holdings, Inc.</w:t>
            </w:r>
          </w:p>
        </w:tc>
        <w:tc>
          <w:tcPr>
            <w:tcW w:w="0" w:type="dxa"/>
            <w:vAlign w:val="bottom"/>
          </w:tcPr>
          <w:p>
            <w:pPr>
              <w:spacing w:after="0"/>
              <w:rPr>
                <w:sz w:val="1"/>
                <w:szCs w:val="1"/>
                <w:color w:val="auto"/>
              </w:rPr>
            </w:pPr>
          </w:p>
        </w:tc>
      </w:tr>
      <w:tr>
        <w:trPr>
          <w:trHeight w:val="189"/>
        </w:trPr>
        <w:tc>
          <w:tcPr>
            <w:tcW w:w="240" w:type="dxa"/>
            <w:vAlign w:val="bottom"/>
            <w:shd w:val="clear" w:color="auto" w:fill="F6F3F0"/>
          </w:tcPr>
          <w:p>
            <w:pPr>
              <w:spacing w:after="0"/>
              <w:rPr>
                <w:sz w:val="16"/>
                <w:szCs w:val="16"/>
                <w:color w:val="auto"/>
              </w:rPr>
            </w:pPr>
          </w:p>
        </w:tc>
        <w:tc>
          <w:tcPr>
            <w:tcW w:w="3260" w:type="dxa"/>
            <w:vAlign w:val="bottom"/>
            <w:shd w:val="clear" w:color="auto" w:fill="F6F3F0"/>
          </w:tcPr>
          <w:p>
            <w:pPr>
              <w:ind w:left="20"/>
              <w:spacing w:after="0"/>
              <w:rPr>
                <w:sz w:val="20"/>
                <w:szCs w:val="20"/>
                <w:color w:val="auto"/>
              </w:rPr>
            </w:pPr>
            <w:r>
              <w:rPr>
                <w:rFonts w:ascii="Arial" w:cs="Arial" w:eastAsia="Arial" w:hAnsi="Arial"/>
                <w:sz w:val="14"/>
                <w:szCs w:val="14"/>
                <w:color w:val="0E1020"/>
              </w:rPr>
              <w:t>Corporation</w:t>
            </w:r>
          </w:p>
        </w:tc>
        <w:tc>
          <w:tcPr>
            <w:tcW w:w="260" w:type="dxa"/>
            <w:vAlign w:val="bottom"/>
            <w:tcBorders>
              <w:right w:val="single" w:sz="8" w:color="CFCFD2"/>
            </w:tcBorders>
            <w:shd w:val="clear" w:color="auto" w:fill="F6F3F0"/>
          </w:tcPr>
          <w:p>
            <w:pPr>
              <w:spacing w:after="0"/>
              <w:rPr>
                <w:sz w:val="16"/>
                <w:szCs w:val="16"/>
                <w:color w:val="auto"/>
              </w:rPr>
            </w:pPr>
          </w:p>
        </w:tc>
        <w:tc>
          <w:tcPr>
            <w:tcW w:w="3740" w:type="dxa"/>
            <w:vAlign w:val="bottom"/>
            <w:vMerge w:val="restart"/>
            <w:shd w:val="clear" w:color="auto" w:fill="F6F3F0"/>
          </w:tcPr>
          <w:p>
            <w:pPr>
              <w:ind w:left="240"/>
              <w:spacing w:after="0"/>
              <w:rPr>
                <w:sz w:val="20"/>
                <w:szCs w:val="20"/>
                <w:color w:val="auto"/>
              </w:rPr>
            </w:pPr>
            <w:r>
              <w:rPr>
                <w:rFonts w:ascii="Arial" w:cs="Arial" w:eastAsia="Arial" w:hAnsi="Arial"/>
                <w:sz w:val="14"/>
                <w:szCs w:val="14"/>
                <w:color w:val="0E1020"/>
              </w:rPr>
              <w:t>International Business Machines</w:t>
            </w:r>
          </w:p>
        </w:tc>
        <w:tc>
          <w:tcPr>
            <w:tcW w:w="20" w:type="dxa"/>
            <w:vAlign w:val="bottom"/>
            <w:shd w:val="clear" w:color="auto" w:fill="CFCFD2"/>
          </w:tcPr>
          <w:p>
            <w:pPr>
              <w:spacing w:after="0"/>
              <w:rPr>
                <w:sz w:val="16"/>
                <w:szCs w:val="16"/>
                <w:color w:val="auto"/>
              </w:rPr>
            </w:pPr>
          </w:p>
        </w:tc>
        <w:tc>
          <w:tcPr>
            <w:tcW w:w="3720" w:type="dxa"/>
            <w:vAlign w:val="bottom"/>
            <w:vMerge w:val="restart"/>
            <w:shd w:val="clear" w:color="auto" w:fill="F6F3F0"/>
          </w:tcPr>
          <w:p>
            <w:pPr>
              <w:ind w:left="240"/>
              <w:spacing w:after="0"/>
              <w:rPr>
                <w:sz w:val="20"/>
                <w:szCs w:val="20"/>
                <w:color w:val="auto"/>
              </w:rPr>
            </w:pPr>
            <w:r>
              <w:rPr>
                <w:rFonts w:ascii="Arial" w:cs="Arial" w:eastAsia="Arial" w:hAnsi="Arial"/>
                <w:sz w:val="14"/>
                <w:szCs w:val="14"/>
                <w:color w:val="0E1020"/>
              </w:rPr>
              <w:t>Unisys Corporation</w:t>
            </w:r>
          </w:p>
        </w:tc>
        <w:tc>
          <w:tcPr>
            <w:tcW w:w="0" w:type="dxa"/>
            <w:vAlign w:val="bottom"/>
          </w:tcPr>
          <w:p>
            <w:pPr>
              <w:spacing w:after="0"/>
              <w:rPr>
                <w:sz w:val="1"/>
                <w:szCs w:val="1"/>
                <w:color w:val="auto"/>
              </w:rPr>
            </w:pPr>
          </w:p>
        </w:tc>
      </w:tr>
      <w:tr>
        <w:trPr>
          <w:trHeight w:val="92"/>
        </w:trPr>
        <w:tc>
          <w:tcPr>
            <w:tcW w:w="240" w:type="dxa"/>
            <w:vAlign w:val="bottom"/>
            <w:shd w:val="clear" w:color="auto" w:fill="F6F3F0"/>
          </w:tcPr>
          <w:p>
            <w:pPr>
              <w:spacing w:after="0"/>
              <w:rPr>
                <w:sz w:val="8"/>
                <w:szCs w:val="8"/>
                <w:color w:val="auto"/>
              </w:rPr>
            </w:pPr>
          </w:p>
        </w:tc>
        <w:tc>
          <w:tcPr>
            <w:tcW w:w="3260" w:type="dxa"/>
            <w:vAlign w:val="bottom"/>
            <w:shd w:val="clear" w:color="auto" w:fill="F6F3F0"/>
          </w:tcPr>
          <w:p>
            <w:pPr>
              <w:spacing w:after="0"/>
              <w:rPr>
                <w:sz w:val="8"/>
                <w:szCs w:val="8"/>
                <w:color w:val="auto"/>
              </w:rPr>
            </w:pPr>
          </w:p>
        </w:tc>
        <w:tc>
          <w:tcPr>
            <w:tcW w:w="260" w:type="dxa"/>
            <w:vAlign w:val="bottom"/>
            <w:tcBorders>
              <w:right w:val="single" w:sz="8" w:color="CFCFD2"/>
            </w:tcBorders>
            <w:shd w:val="clear" w:color="auto" w:fill="F6F3F0"/>
          </w:tcPr>
          <w:p>
            <w:pPr>
              <w:spacing w:after="0"/>
              <w:rPr>
                <w:sz w:val="8"/>
                <w:szCs w:val="8"/>
                <w:color w:val="auto"/>
              </w:rPr>
            </w:pPr>
          </w:p>
        </w:tc>
        <w:tc>
          <w:tcPr>
            <w:tcW w:w="3740" w:type="dxa"/>
            <w:vAlign w:val="bottom"/>
            <w:vMerge w:val="continue"/>
            <w:shd w:val="clear" w:color="auto" w:fill="F6F3F0"/>
          </w:tcPr>
          <w:p>
            <w:pPr>
              <w:spacing w:after="0"/>
              <w:rPr>
                <w:sz w:val="8"/>
                <w:szCs w:val="8"/>
                <w:color w:val="auto"/>
              </w:rPr>
            </w:pPr>
          </w:p>
        </w:tc>
        <w:tc>
          <w:tcPr>
            <w:tcW w:w="20" w:type="dxa"/>
            <w:vAlign w:val="bottom"/>
            <w:shd w:val="clear" w:color="auto" w:fill="CFCFD2"/>
          </w:tcPr>
          <w:p>
            <w:pPr>
              <w:spacing w:after="0"/>
              <w:rPr>
                <w:sz w:val="8"/>
                <w:szCs w:val="8"/>
                <w:color w:val="auto"/>
              </w:rPr>
            </w:pPr>
          </w:p>
        </w:tc>
        <w:tc>
          <w:tcPr>
            <w:tcW w:w="3720" w:type="dxa"/>
            <w:vAlign w:val="bottom"/>
            <w:vMerge w:val="continue"/>
            <w:shd w:val="clear" w:color="auto" w:fill="F6F3F0"/>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0" w:type="dxa"/>
            <w:vAlign w:val="bottom"/>
            <w:shd w:val="clear" w:color="auto" w:fill="F6F3F0"/>
          </w:tcPr>
          <w:p>
            <w:pPr>
              <w:spacing w:after="0"/>
              <w:rPr>
                <w:sz w:val="16"/>
                <w:szCs w:val="16"/>
                <w:color w:val="auto"/>
              </w:rPr>
            </w:pPr>
          </w:p>
        </w:tc>
        <w:tc>
          <w:tcPr>
            <w:tcW w:w="3260" w:type="dxa"/>
            <w:vAlign w:val="bottom"/>
            <w:shd w:val="clear" w:color="auto" w:fill="F6F3F0"/>
          </w:tcPr>
          <w:p>
            <w:pPr>
              <w:ind w:left="20"/>
              <w:spacing w:after="0"/>
              <w:rPr>
                <w:sz w:val="20"/>
                <w:szCs w:val="20"/>
                <w:color w:val="auto"/>
              </w:rPr>
            </w:pPr>
            <w:r>
              <w:rPr>
                <w:rFonts w:ascii="Arial" w:cs="Arial" w:eastAsia="Arial" w:hAnsi="Arial"/>
                <w:sz w:val="14"/>
                <w:szCs w:val="14"/>
                <w:color w:val="0E1020"/>
              </w:rPr>
              <w:t>Concentrix Corporation</w:t>
            </w:r>
          </w:p>
        </w:tc>
        <w:tc>
          <w:tcPr>
            <w:tcW w:w="260" w:type="dxa"/>
            <w:vAlign w:val="bottom"/>
            <w:tcBorders>
              <w:right w:val="single" w:sz="8" w:color="CFCFD2"/>
            </w:tcBorders>
            <w:shd w:val="clear" w:color="auto" w:fill="F6F3F0"/>
          </w:tcPr>
          <w:p>
            <w:pPr>
              <w:spacing w:after="0"/>
              <w:rPr>
                <w:sz w:val="16"/>
                <w:szCs w:val="16"/>
                <w:color w:val="auto"/>
              </w:rPr>
            </w:pPr>
          </w:p>
        </w:tc>
        <w:tc>
          <w:tcPr>
            <w:tcW w:w="3740" w:type="dxa"/>
            <w:vAlign w:val="bottom"/>
            <w:shd w:val="clear" w:color="auto" w:fill="F6F3F0"/>
          </w:tcPr>
          <w:p>
            <w:pPr>
              <w:ind w:left="240"/>
              <w:spacing w:after="0"/>
              <w:rPr>
                <w:sz w:val="20"/>
                <w:szCs w:val="20"/>
                <w:color w:val="auto"/>
              </w:rPr>
            </w:pPr>
            <w:r>
              <w:rPr>
                <w:rFonts w:ascii="Arial" w:cs="Arial" w:eastAsia="Arial" w:hAnsi="Arial"/>
                <w:sz w:val="14"/>
                <w:szCs w:val="14"/>
                <w:color w:val="0E1020"/>
              </w:rPr>
              <w:t>Corporation</w:t>
            </w:r>
          </w:p>
        </w:tc>
        <w:tc>
          <w:tcPr>
            <w:tcW w:w="20" w:type="dxa"/>
            <w:vAlign w:val="bottom"/>
            <w:shd w:val="clear" w:color="auto" w:fill="CFCFD2"/>
          </w:tcPr>
          <w:p>
            <w:pPr>
              <w:spacing w:after="0"/>
              <w:rPr>
                <w:sz w:val="16"/>
                <w:szCs w:val="16"/>
                <w:color w:val="auto"/>
              </w:rPr>
            </w:pPr>
          </w:p>
        </w:tc>
        <w:tc>
          <w:tcPr>
            <w:tcW w:w="3720" w:type="dxa"/>
            <w:vAlign w:val="bottom"/>
            <w:shd w:val="clear" w:color="auto" w:fill="F6F3F0"/>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40" w:type="dxa"/>
            <w:vAlign w:val="bottom"/>
            <w:shd w:val="clear" w:color="auto" w:fill="F6F3F0"/>
          </w:tcPr>
          <w:p>
            <w:pPr>
              <w:spacing w:after="0"/>
              <w:rPr>
                <w:sz w:val="11"/>
                <w:szCs w:val="11"/>
                <w:color w:val="auto"/>
              </w:rPr>
            </w:pPr>
          </w:p>
        </w:tc>
        <w:tc>
          <w:tcPr>
            <w:tcW w:w="3260" w:type="dxa"/>
            <w:vAlign w:val="bottom"/>
            <w:shd w:val="clear" w:color="auto" w:fill="F6F3F0"/>
          </w:tcPr>
          <w:p>
            <w:pPr>
              <w:spacing w:after="0"/>
              <w:rPr>
                <w:sz w:val="11"/>
                <w:szCs w:val="11"/>
                <w:color w:val="auto"/>
              </w:rPr>
            </w:pPr>
          </w:p>
        </w:tc>
        <w:tc>
          <w:tcPr>
            <w:tcW w:w="260" w:type="dxa"/>
            <w:vAlign w:val="bottom"/>
            <w:tcBorders>
              <w:right w:val="single" w:sz="8" w:color="CFCFD2"/>
            </w:tcBorders>
            <w:shd w:val="clear" w:color="auto" w:fill="F6F3F0"/>
          </w:tcPr>
          <w:p>
            <w:pPr>
              <w:spacing w:after="0"/>
              <w:rPr>
                <w:sz w:val="11"/>
                <w:szCs w:val="11"/>
                <w:color w:val="auto"/>
              </w:rPr>
            </w:pPr>
          </w:p>
        </w:tc>
        <w:tc>
          <w:tcPr>
            <w:tcW w:w="3740" w:type="dxa"/>
            <w:vAlign w:val="bottom"/>
            <w:shd w:val="clear" w:color="auto" w:fill="F6F3F0"/>
          </w:tcPr>
          <w:p>
            <w:pPr>
              <w:spacing w:after="0"/>
              <w:rPr>
                <w:sz w:val="11"/>
                <w:szCs w:val="11"/>
                <w:color w:val="auto"/>
              </w:rPr>
            </w:pPr>
          </w:p>
        </w:tc>
        <w:tc>
          <w:tcPr>
            <w:tcW w:w="20" w:type="dxa"/>
            <w:vAlign w:val="bottom"/>
            <w:shd w:val="clear" w:color="auto" w:fill="CFCFD2"/>
          </w:tcPr>
          <w:p>
            <w:pPr>
              <w:spacing w:after="0"/>
              <w:rPr>
                <w:sz w:val="11"/>
                <w:szCs w:val="11"/>
                <w:color w:val="auto"/>
              </w:rPr>
            </w:pPr>
          </w:p>
        </w:tc>
        <w:tc>
          <w:tcPr>
            <w:tcW w:w="3720" w:type="dxa"/>
            <w:vAlign w:val="bottom"/>
            <w:shd w:val="clear" w:color="auto" w:fill="F6F3F0"/>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240" w:type="dxa"/>
            <w:vAlign w:val="bottom"/>
            <w:shd w:val="clear" w:color="auto" w:fill="F6F3F0"/>
          </w:tcPr>
          <w:p>
            <w:pPr>
              <w:spacing w:after="0"/>
              <w:rPr>
                <w:sz w:val="23"/>
                <w:szCs w:val="23"/>
                <w:color w:val="auto"/>
              </w:rPr>
            </w:pPr>
          </w:p>
        </w:tc>
        <w:tc>
          <w:tcPr>
            <w:tcW w:w="3260" w:type="dxa"/>
            <w:vAlign w:val="bottom"/>
            <w:shd w:val="clear" w:color="auto" w:fill="F6F3F0"/>
          </w:tcPr>
          <w:p>
            <w:pPr>
              <w:spacing w:after="0"/>
              <w:rPr>
                <w:sz w:val="23"/>
                <w:szCs w:val="23"/>
                <w:color w:val="auto"/>
              </w:rPr>
            </w:pPr>
          </w:p>
        </w:tc>
        <w:tc>
          <w:tcPr>
            <w:tcW w:w="260" w:type="dxa"/>
            <w:vAlign w:val="bottom"/>
            <w:tcBorders>
              <w:right w:val="single" w:sz="8" w:color="F6F3F0"/>
            </w:tcBorders>
            <w:shd w:val="clear" w:color="auto" w:fill="F6F3F0"/>
          </w:tcPr>
          <w:p>
            <w:pPr>
              <w:spacing w:after="0"/>
              <w:rPr>
                <w:sz w:val="23"/>
                <w:szCs w:val="23"/>
                <w:color w:val="auto"/>
              </w:rPr>
            </w:pPr>
          </w:p>
        </w:tc>
        <w:tc>
          <w:tcPr>
            <w:tcW w:w="3740" w:type="dxa"/>
            <w:vAlign w:val="bottom"/>
            <w:shd w:val="clear" w:color="auto" w:fill="F6F3F0"/>
          </w:tcPr>
          <w:p>
            <w:pPr>
              <w:spacing w:after="0"/>
              <w:rPr>
                <w:sz w:val="23"/>
                <w:szCs w:val="23"/>
                <w:color w:val="auto"/>
              </w:rPr>
            </w:pPr>
          </w:p>
        </w:tc>
        <w:tc>
          <w:tcPr>
            <w:tcW w:w="20" w:type="dxa"/>
            <w:vAlign w:val="bottom"/>
            <w:shd w:val="clear" w:color="auto" w:fill="F6F3F0"/>
          </w:tcPr>
          <w:p>
            <w:pPr>
              <w:spacing w:after="0"/>
              <w:rPr>
                <w:sz w:val="23"/>
                <w:szCs w:val="23"/>
                <w:color w:val="auto"/>
              </w:rPr>
            </w:pPr>
          </w:p>
        </w:tc>
        <w:tc>
          <w:tcPr>
            <w:tcW w:w="3720" w:type="dxa"/>
            <w:vAlign w:val="bottom"/>
            <w:shd w:val="clear" w:color="auto" w:fill="F6F3F0"/>
          </w:tcPr>
          <w:p>
            <w:pPr>
              <w:spacing w:after="0"/>
              <w:rPr>
                <w:sz w:val="23"/>
                <w:szCs w:val="23"/>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0E1020"/>
        </w:rPr>
        <w:t>Stockholder feedback continues to reflect support and encouragement for use of these PSU components.</w:t>
      </w:r>
    </w:p>
    <w:p>
      <w:pPr>
        <w:spacing w:after="0" w:line="138" w:lineRule="exact"/>
        <w:rPr>
          <w:sz w:val="20"/>
          <w:szCs w:val="20"/>
          <w:color w:val="auto"/>
        </w:rPr>
      </w:pPr>
    </w:p>
    <w:p>
      <w:pPr>
        <w:ind w:right="420"/>
        <w:spacing w:after="0" w:line="335" w:lineRule="auto"/>
        <w:rPr>
          <w:sz w:val="20"/>
          <w:szCs w:val="20"/>
          <w:color w:val="auto"/>
        </w:rPr>
      </w:pPr>
      <w:r>
        <w:rPr>
          <w:rFonts w:ascii="Arial" w:cs="Arial" w:eastAsia="Arial" w:hAnsi="Arial"/>
          <w:sz w:val="16"/>
          <w:szCs w:val="16"/>
          <w:color w:val="0E1020"/>
        </w:rPr>
        <w:t>The time-based RSUs are complementary to performance-based PSUs because they provide strong retention value, help balance periods of stock price volatility, and reinforce an ownership culture and commitment to creating stockholder value.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76</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4" w:name="page85"/>
    <w:bookmarkEnd w:id="84"/>
    <w:p>
      <w:pPr>
        <w:ind w:left="20"/>
        <w:spacing w:after="0"/>
        <w:tabs>
          <w:tab w:leader="none" w:pos="962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auto"/>
        </w:rPr>
        <w:t>Executive Compensation</w:t>
      </w:r>
    </w:p>
    <w:p>
      <w:pPr>
        <w:spacing w:after="0" w:line="200" w:lineRule="exact"/>
        <w:rPr>
          <w:sz w:val="20"/>
          <w:szCs w:val="20"/>
          <w:color w:val="auto"/>
        </w:rPr>
      </w:pPr>
    </w:p>
    <w:p>
      <w:pPr>
        <w:spacing w:after="0" w:line="358" w:lineRule="exact"/>
        <w:rPr>
          <w:sz w:val="20"/>
          <w:szCs w:val="20"/>
          <w:color w:val="auto"/>
        </w:rPr>
      </w:pPr>
    </w:p>
    <w:p>
      <w:pPr>
        <w:ind w:right="60"/>
        <w:spacing w:after="0" w:line="335" w:lineRule="auto"/>
        <w:rPr>
          <w:sz w:val="20"/>
          <w:szCs w:val="20"/>
          <w:color w:val="auto"/>
        </w:rPr>
      </w:pPr>
      <w:r>
        <w:rPr>
          <w:rFonts w:ascii="Arial" w:cs="Arial" w:eastAsia="Arial" w:hAnsi="Arial"/>
          <w:sz w:val="16"/>
          <w:szCs w:val="16"/>
          <w:color w:val="0E1020"/>
        </w:rPr>
        <w:t>The PSUs granted to all the NEOs represent the opportunity to earn shares at the end of the three-year performance cycle based on an 80% cumulative FCF weighted metric, a 20% cumulative Revenue weighted metric, and +/-20% rTSR modifier for the performance period of fiscal 2026-2028.</w:t>
      </w:r>
    </w:p>
    <w:p>
      <w:pPr>
        <w:spacing w:after="0" w:line="23"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color w:val="0E1020"/>
        </w:rPr>
        <w:t>The PSUs, if any, will vest after the end of the three-year performance period. The vesting for the PSUs range from 0% to 200% of the target number of shares of the grant, inclusive of the +/-20% rTSR modifier, and the rTSR modifier will be capped at 0% for negative TSR. Since this is a three-year cliff plan, the actual value received by all the NEOs will be based on the stock price at the time of vesting after the three-year performance period ends. Moreover, the vested shares are also subject to significant shareholding requirements, including 7x salary for the CEO.</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Target Opportunities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0E1020"/>
        </w:rPr>
        <w:t>The Compensation Committee established target long-term incentive opportunities for each of the NEOs, considering the following:</w:t>
      </w:r>
    </w:p>
    <w:p>
      <w:pPr>
        <w:spacing w:after="0" w:line="124" w:lineRule="exact"/>
        <w:rPr>
          <w:sz w:val="20"/>
          <w:szCs w:val="20"/>
          <w:color w:val="auto"/>
        </w:rPr>
      </w:pPr>
    </w:p>
    <w:p>
      <w:pPr>
        <w:ind w:left="300" w:hanging="293"/>
        <w:spacing w:after="0"/>
        <w:tabs>
          <w:tab w:leader="none" w:pos="300" w:val="left"/>
        </w:tabs>
        <w:numPr>
          <w:ilvl w:val="0"/>
          <w:numId w:val="79"/>
        </w:numPr>
        <w:rPr>
          <w:rFonts w:ascii="Arial" w:cs="Arial" w:eastAsia="Arial" w:hAnsi="Arial"/>
          <w:sz w:val="16"/>
          <w:szCs w:val="16"/>
          <w:color w:val="0E1020"/>
        </w:rPr>
      </w:pPr>
      <w:r>
        <w:rPr>
          <w:rFonts w:ascii="Arial" w:cs="Arial" w:eastAsia="Arial" w:hAnsi="Arial"/>
          <w:sz w:val="16"/>
          <w:szCs w:val="16"/>
          <w:color w:val="0E1020"/>
        </w:rPr>
        <w:t>The values of, allocations to, and proportion of total compensation represented by the long-term incentive opportunities at the peer group companies</w:t>
      </w:r>
    </w:p>
    <w:p>
      <w:pPr>
        <w:spacing w:after="0" w:line="137" w:lineRule="exact"/>
        <w:rPr>
          <w:rFonts w:ascii="Arial" w:cs="Arial" w:eastAsia="Arial" w:hAnsi="Arial"/>
          <w:sz w:val="16"/>
          <w:szCs w:val="16"/>
          <w:color w:val="0E1020"/>
        </w:rPr>
      </w:pPr>
    </w:p>
    <w:p>
      <w:pPr>
        <w:ind w:left="300" w:hanging="293"/>
        <w:spacing w:after="0"/>
        <w:tabs>
          <w:tab w:leader="none" w:pos="300" w:val="left"/>
        </w:tabs>
        <w:numPr>
          <w:ilvl w:val="0"/>
          <w:numId w:val="79"/>
        </w:numPr>
        <w:rPr>
          <w:rFonts w:ascii="Arial" w:cs="Arial" w:eastAsia="Arial" w:hAnsi="Arial"/>
          <w:sz w:val="16"/>
          <w:szCs w:val="16"/>
          <w:color w:val="0E1020"/>
        </w:rPr>
      </w:pPr>
      <w:r>
        <w:rPr>
          <w:rFonts w:ascii="Arial" w:cs="Arial" w:eastAsia="Arial" w:hAnsi="Arial"/>
          <w:sz w:val="16"/>
          <w:szCs w:val="16"/>
          <w:color w:val="0E1020"/>
        </w:rPr>
        <w:t>Individual performance and criticality of, and expected future, contributions of the NEO</w:t>
      </w:r>
    </w:p>
    <w:p>
      <w:pPr>
        <w:spacing w:after="0" w:line="124" w:lineRule="exact"/>
        <w:rPr>
          <w:rFonts w:ascii="Arial" w:cs="Arial" w:eastAsia="Arial" w:hAnsi="Arial"/>
          <w:sz w:val="16"/>
          <w:szCs w:val="16"/>
          <w:color w:val="0E1020"/>
        </w:rPr>
      </w:pPr>
    </w:p>
    <w:p>
      <w:pPr>
        <w:ind w:left="300" w:hanging="293"/>
        <w:spacing w:after="0"/>
        <w:tabs>
          <w:tab w:leader="none" w:pos="300" w:val="left"/>
        </w:tabs>
        <w:numPr>
          <w:ilvl w:val="0"/>
          <w:numId w:val="79"/>
        </w:numPr>
        <w:rPr>
          <w:rFonts w:ascii="Arial" w:cs="Arial" w:eastAsia="Arial" w:hAnsi="Arial"/>
          <w:sz w:val="16"/>
          <w:szCs w:val="16"/>
          <w:color w:val="0E1020"/>
        </w:rPr>
      </w:pPr>
      <w:r>
        <w:rPr>
          <w:rFonts w:ascii="Arial" w:cs="Arial" w:eastAsia="Arial" w:hAnsi="Arial"/>
          <w:sz w:val="16"/>
          <w:szCs w:val="16"/>
          <w:color w:val="0E1020"/>
        </w:rPr>
        <w:t>Time in role, skills, and level of experience</w:t>
      </w:r>
    </w:p>
    <w:p>
      <w:pPr>
        <w:spacing w:after="0" w:line="137" w:lineRule="exact"/>
        <w:rPr>
          <w:rFonts w:ascii="Arial" w:cs="Arial" w:eastAsia="Arial" w:hAnsi="Arial"/>
          <w:sz w:val="16"/>
          <w:szCs w:val="16"/>
          <w:color w:val="0E1020"/>
        </w:rPr>
      </w:pPr>
    </w:p>
    <w:p>
      <w:pPr>
        <w:ind w:left="300" w:hanging="293"/>
        <w:spacing w:after="0"/>
        <w:tabs>
          <w:tab w:leader="none" w:pos="300" w:val="left"/>
        </w:tabs>
        <w:numPr>
          <w:ilvl w:val="0"/>
          <w:numId w:val="79"/>
        </w:numPr>
        <w:rPr>
          <w:rFonts w:ascii="Arial" w:cs="Arial" w:eastAsia="Arial" w:hAnsi="Arial"/>
          <w:sz w:val="16"/>
          <w:szCs w:val="16"/>
          <w:color w:val="0E1020"/>
        </w:rPr>
      </w:pPr>
      <w:r>
        <w:rPr>
          <w:rFonts w:ascii="Arial" w:cs="Arial" w:eastAsia="Arial" w:hAnsi="Arial"/>
          <w:sz w:val="16"/>
          <w:szCs w:val="16"/>
          <w:color w:val="0E1020"/>
        </w:rPr>
        <w:t>Retention considerations</w:t>
      </w:r>
    </w:p>
    <w:p>
      <w:pPr>
        <w:spacing w:after="0" w:line="218" w:lineRule="exact"/>
        <w:rPr>
          <w:sz w:val="20"/>
          <w:szCs w:val="20"/>
          <w:color w:val="auto"/>
        </w:rPr>
      </w:pPr>
    </w:p>
    <w:p>
      <w:pPr>
        <w:ind w:right="180"/>
        <w:spacing w:after="0" w:line="307" w:lineRule="auto"/>
        <w:rPr>
          <w:sz w:val="20"/>
          <w:szCs w:val="20"/>
          <w:color w:val="auto"/>
        </w:rPr>
      </w:pPr>
      <w:r>
        <w:rPr>
          <w:rFonts w:ascii="Arial" w:cs="Arial" w:eastAsia="Arial" w:hAnsi="Arial"/>
          <w:sz w:val="16"/>
          <w:szCs w:val="16"/>
          <w:color w:val="0E1020"/>
        </w:rPr>
        <w:t>The Compensation Committee determined the aggregate target value of the long-term incentive equity grants, and then allocated the target value 85%/60% PSUs and 15%/40% RSUs for both the CEO and CFO, and other NEOs, respectively. The 85% allocation to PSUs for the CEO and CFO underscores the significant emphasis on performance-based equity.</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0E1020"/>
        </w:rPr>
        <w:t>The specific long-term incentive opportunity for each NEO for fiscal 2026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00" w:type="dxa"/>
            <w:vAlign w:val="bottom"/>
            <w:shd w:val="clear" w:color="auto" w:fill="F6F3F0"/>
          </w:tcPr>
          <w:p>
            <w:pPr>
              <w:spacing w:after="0"/>
              <w:rPr>
                <w:sz w:val="21"/>
                <w:szCs w:val="21"/>
                <w:color w:val="auto"/>
              </w:rPr>
            </w:pPr>
          </w:p>
        </w:tc>
        <w:tc>
          <w:tcPr>
            <w:tcW w:w="1240" w:type="dxa"/>
            <w:vAlign w:val="bottom"/>
            <w:shd w:val="clear" w:color="auto" w:fill="F6F3F0"/>
          </w:tcPr>
          <w:p>
            <w:pPr>
              <w:spacing w:after="0"/>
              <w:rPr>
                <w:sz w:val="21"/>
                <w:szCs w:val="21"/>
                <w:color w:val="auto"/>
              </w:rPr>
            </w:pPr>
          </w:p>
        </w:tc>
        <w:tc>
          <w:tcPr>
            <w:tcW w:w="1500" w:type="dxa"/>
            <w:vAlign w:val="bottom"/>
            <w:shd w:val="clear" w:color="auto" w:fill="F6F3F0"/>
          </w:tcPr>
          <w:p>
            <w:pPr>
              <w:jc w:val="right"/>
              <w:ind w:right="189"/>
              <w:spacing w:after="0"/>
              <w:rPr>
                <w:sz w:val="20"/>
                <w:szCs w:val="20"/>
                <w:color w:val="auto"/>
              </w:rPr>
            </w:pPr>
            <w:r>
              <w:rPr>
                <w:rFonts w:ascii="Arial" w:cs="Arial" w:eastAsia="Arial" w:hAnsi="Arial"/>
                <w:sz w:val="14"/>
                <w:szCs w:val="14"/>
                <w:b w:val="1"/>
                <w:bCs w:val="1"/>
                <w:color w:val="0E1020"/>
              </w:rPr>
              <w:t>Target LTI</w:t>
            </w:r>
          </w:p>
        </w:tc>
        <w:tc>
          <w:tcPr>
            <w:tcW w:w="1260" w:type="dxa"/>
            <w:vAlign w:val="bottom"/>
            <w:shd w:val="clear" w:color="auto" w:fill="F6F3F0"/>
          </w:tcPr>
          <w:p>
            <w:pPr>
              <w:jc w:val="right"/>
              <w:ind w:right="189"/>
              <w:spacing w:after="0"/>
              <w:rPr>
                <w:sz w:val="20"/>
                <w:szCs w:val="20"/>
                <w:color w:val="auto"/>
              </w:rPr>
            </w:pPr>
            <w:r>
              <w:rPr>
                <w:rFonts w:ascii="Arial" w:cs="Arial" w:eastAsia="Arial" w:hAnsi="Arial"/>
                <w:sz w:val="14"/>
                <w:szCs w:val="14"/>
                <w:b w:val="1"/>
                <w:bCs w:val="1"/>
                <w:color w:val="0E1020"/>
              </w:rPr>
              <w:t>Value</w:t>
            </w:r>
          </w:p>
        </w:tc>
        <w:tc>
          <w:tcPr>
            <w:tcW w:w="1300" w:type="dxa"/>
            <w:vAlign w:val="bottom"/>
            <w:shd w:val="clear" w:color="auto" w:fill="F6F3F0"/>
          </w:tcPr>
          <w:p>
            <w:pPr>
              <w:jc w:val="right"/>
              <w:ind w:right="229"/>
              <w:spacing w:after="0"/>
              <w:rPr>
                <w:sz w:val="20"/>
                <w:szCs w:val="20"/>
                <w:color w:val="auto"/>
              </w:rPr>
            </w:pPr>
            <w:r>
              <w:rPr>
                <w:rFonts w:ascii="Arial" w:cs="Arial" w:eastAsia="Arial" w:hAnsi="Arial"/>
                <w:sz w:val="14"/>
                <w:szCs w:val="14"/>
                <w:b w:val="1"/>
                <w:bCs w:val="1"/>
                <w:color w:val="0E1020"/>
              </w:rPr>
              <w:t>PSUs</w:t>
            </w:r>
          </w:p>
        </w:tc>
        <w:tc>
          <w:tcPr>
            <w:tcW w:w="1260" w:type="dxa"/>
            <w:vAlign w:val="bottom"/>
            <w:shd w:val="clear" w:color="auto" w:fill="F6F3F0"/>
          </w:tcPr>
          <w:p>
            <w:pPr>
              <w:jc w:val="right"/>
              <w:ind w:right="229"/>
              <w:spacing w:after="0"/>
              <w:rPr>
                <w:sz w:val="20"/>
                <w:szCs w:val="20"/>
                <w:color w:val="auto"/>
              </w:rPr>
            </w:pPr>
            <w:r>
              <w:rPr>
                <w:rFonts w:ascii="Arial" w:cs="Arial" w:eastAsia="Arial" w:hAnsi="Arial"/>
                <w:sz w:val="14"/>
                <w:szCs w:val="14"/>
                <w:b w:val="1"/>
                <w:bCs w:val="1"/>
                <w:color w:val="0E1020"/>
              </w:rPr>
              <w:t>PSUs</w:t>
            </w:r>
          </w:p>
        </w:tc>
        <w:tc>
          <w:tcPr>
            <w:tcW w:w="1320" w:type="dxa"/>
            <w:vAlign w:val="bottom"/>
            <w:shd w:val="clear" w:color="auto" w:fill="F6F3F0"/>
          </w:tcPr>
          <w:p>
            <w:pPr>
              <w:jc w:val="right"/>
              <w:ind w:right="289"/>
              <w:spacing w:after="0"/>
              <w:rPr>
                <w:sz w:val="20"/>
                <w:szCs w:val="20"/>
                <w:color w:val="auto"/>
              </w:rPr>
            </w:pPr>
            <w:r>
              <w:rPr>
                <w:rFonts w:ascii="Arial" w:cs="Arial" w:eastAsia="Arial" w:hAnsi="Arial"/>
                <w:sz w:val="14"/>
                <w:szCs w:val="14"/>
                <w:b w:val="1"/>
                <w:bCs w:val="1"/>
                <w:color w:val="0E1020"/>
              </w:rPr>
              <w:t>RSUs</w:t>
            </w:r>
          </w:p>
        </w:tc>
        <w:tc>
          <w:tcPr>
            <w:tcW w:w="1060" w:type="dxa"/>
            <w:vAlign w:val="bottom"/>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RSUs</w:t>
            </w:r>
          </w:p>
        </w:tc>
      </w:tr>
      <w:tr>
        <w:trPr>
          <w:trHeight w:val="195"/>
        </w:trPr>
        <w:tc>
          <w:tcPr>
            <w:tcW w:w="2300" w:type="dxa"/>
            <w:vAlign w:val="bottom"/>
            <w:shd w:val="clear" w:color="auto" w:fill="F6F3F0"/>
          </w:tcPr>
          <w:p>
            <w:pPr>
              <w:ind w:left="100"/>
              <w:spacing w:after="0"/>
              <w:rPr>
                <w:sz w:val="20"/>
                <w:szCs w:val="20"/>
                <w:color w:val="auto"/>
              </w:rPr>
            </w:pPr>
            <w:r>
              <w:rPr>
                <w:rFonts w:ascii="Arial" w:cs="Arial" w:eastAsia="Arial" w:hAnsi="Arial"/>
                <w:sz w:val="14"/>
                <w:szCs w:val="14"/>
                <w:b w:val="1"/>
                <w:bCs w:val="1"/>
                <w:color w:val="0E1020"/>
              </w:rPr>
              <w:t>NEO</w:t>
            </w:r>
          </w:p>
        </w:tc>
        <w:tc>
          <w:tcPr>
            <w:tcW w:w="12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Base Salary ($)</w:t>
            </w:r>
          </w:p>
        </w:tc>
        <w:tc>
          <w:tcPr>
            <w:tcW w:w="1500" w:type="dxa"/>
            <w:vAlign w:val="bottom"/>
            <w:shd w:val="clear" w:color="auto" w:fill="F6F3F0"/>
          </w:tcPr>
          <w:p>
            <w:pPr>
              <w:jc w:val="right"/>
              <w:ind w:right="189"/>
              <w:spacing w:after="0"/>
              <w:rPr>
                <w:sz w:val="20"/>
                <w:szCs w:val="20"/>
                <w:color w:val="auto"/>
              </w:rPr>
            </w:pPr>
            <w:r>
              <w:rPr>
                <w:rFonts w:ascii="Arial" w:cs="Arial" w:eastAsia="Arial" w:hAnsi="Arial"/>
                <w:sz w:val="14"/>
                <w:szCs w:val="14"/>
                <w:b w:val="1"/>
                <w:bCs w:val="1"/>
                <w:color w:val="0E1020"/>
              </w:rPr>
              <w:t>(%)</w:t>
            </w:r>
          </w:p>
        </w:tc>
        <w:tc>
          <w:tcPr>
            <w:tcW w:w="1260" w:type="dxa"/>
            <w:vAlign w:val="bottom"/>
            <w:shd w:val="clear" w:color="auto" w:fill="F6F3F0"/>
          </w:tcPr>
          <w:p>
            <w:pPr>
              <w:jc w:val="right"/>
              <w:ind w:right="189"/>
              <w:spacing w:after="0"/>
              <w:rPr>
                <w:sz w:val="20"/>
                <w:szCs w:val="20"/>
                <w:color w:val="auto"/>
              </w:rPr>
            </w:pPr>
            <w:r>
              <w:rPr>
                <w:rFonts w:ascii="Arial" w:cs="Arial" w:eastAsia="Arial" w:hAnsi="Arial"/>
                <w:sz w:val="14"/>
                <w:szCs w:val="14"/>
                <w:b w:val="1"/>
                <w:bCs w:val="1"/>
                <w:color w:val="0E1020"/>
              </w:rPr>
              <w:t>($)</w:t>
            </w:r>
          </w:p>
        </w:tc>
        <w:tc>
          <w:tcPr>
            <w:tcW w:w="1300" w:type="dxa"/>
            <w:vAlign w:val="bottom"/>
            <w:shd w:val="clear" w:color="auto" w:fill="F6F3F0"/>
          </w:tcPr>
          <w:p>
            <w:pPr>
              <w:jc w:val="right"/>
              <w:ind w:right="229"/>
              <w:spacing w:after="0"/>
              <w:rPr>
                <w:sz w:val="20"/>
                <w:szCs w:val="20"/>
                <w:color w:val="auto"/>
              </w:rPr>
            </w:pPr>
            <w:r>
              <w:rPr>
                <w:rFonts w:ascii="Arial" w:cs="Arial" w:eastAsia="Arial" w:hAnsi="Arial"/>
                <w:sz w:val="14"/>
                <w:szCs w:val="14"/>
                <w:b w:val="1"/>
                <w:bCs w:val="1"/>
                <w:color w:val="0E1020"/>
              </w:rPr>
              <w:t>($)</w:t>
            </w:r>
          </w:p>
        </w:tc>
        <w:tc>
          <w:tcPr>
            <w:tcW w:w="1260" w:type="dxa"/>
            <w:vAlign w:val="bottom"/>
            <w:shd w:val="clear" w:color="auto" w:fill="F6F3F0"/>
          </w:tcPr>
          <w:p>
            <w:pPr>
              <w:jc w:val="right"/>
              <w:ind w:right="229"/>
              <w:spacing w:after="0"/>
              <w:rPr>
                <w:sz w:val="20"/>
                <w:szCs w:val="20"/>
                <w:color w:val="auto"/>
              </w:rPr>
            </w:pPr>
            <w:r>
              <w:rPr>
                <w:rFonts w:ascii="Arial" w:cs="Arial" w:eastAsia="Arial" w:hAnsi="Arial"/>
                <w:sz w:val="14"/>
                <w:szCs w:val="14"/>
                <w:b w:val="1"/>
                <w:bCs w:val="1"/>
                <w:color w:val="0E1020"/>
              </w:rPr>
              <w:t>(#)</w:t>
            </w:r>
          </w:p>
        </w:tc>
        <w:tc>
          <w:tcPr>
            <w:tcW w:w="1320" w:type="dxa"/>
            <w:vAlign w:val="bottom"/>
            <w:shd w:val="clear" w:color="auto" w:fill="F6F3F0"/>
          </w:tcPr>
          <w:p>
            <w:pPr>
              <w:jc w:val="right"/>
              <w:ind w:right="289"/>
              <w:spacing w:after="0"/>
              <w:rPr>
                <w:sz w:val="20"/>
                <w:szCs w:val="20"/>
                <w:color w:val="auto"/>
              </w:rPr>
            </w:pPr>
            <w:r>
              <w:rPr>
                <w:rFonts w:ascii="Arial" w:cs="Arial" w:eastAsia="Arial" w:hAnsi="Arial"/>
                <w:sz w:val="14"/>
                <w:szCs w:val="14"/>
                <w:b w:val="1"/>
                <w:bCs w:val="1"/>
                <w:color w:val="0E1020"/>
              </w:rPr>
              <w:t>($)</w:t>
            </w:r>
          </w:p>
        </w:tc>
        <w:tc>
          <w:tcPr>
            <w:tcW w:w="1060" w:type="dxa"/>
            <w:vAlign w:val="bottom"/>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w:t>
            </w:r>
          </w:p>
        </w:tc>
      </w:tr>
      <w:tr>
        <w:trPr>
          <w:trHeight w:val="69"/>
        </w:trPr>
        <w:tc>
          <w:tcPr>
            <w:tcW w:w="2300" w:type="dxa"/>
            <w:vAlign w:val="bottom"/>
            <w:tcBorders>
              <w:bottom w:val="single" w:sz="8" w:color="CFCFD2"/>
            </w:tcBorders>
            <w:shd w:val="clear" w:color="auto" w:fill="F6F3F0"/>
          </w:tcPr>
          <w:p>
            <w:pPr>
              <w:spacing w:after="0"/>
              <w:rPr>
                <w:sz w:val="5"/>
                <w:szCs w:val="5"/>
                <w:color w:val="auto"/>
              </w:rPr>
            </w:pPr>
          </w:p>
        </w:tc>
        <w:tc>
          <w:tcPr>
            <w:tcW w:w="1240" w:type="dxa"/>
            <w:vAlign w:val="bottom"/>
            <w:tcBorders>
              <w:bottom w:val="single" w:sz="8" w:color="CFCFD2"/>
            </w:tcBorders>
            <w:shd w:val="clear" w:color="auto" w:fill="F6F3F0"/>
          </w:tcPr>
          <w:p>
            <w:pPr>
              <w:spacing w:after="0"/>
              <w:rPr>
                <w:sz w:val="5"/>
                <w:szCs w:val="5"/>
                <w:color w:val="auto"/>
              </w:rPr>
            </w:pPr>
          </w:p>
        </w:tc>
        <w:tc>
          <w:tcPr>
            <w:tcW w:w="1500" w:type="dxa"/>
            <w:vAlign w:val="bottom"/>
            <w:tcBorders>
              <w:bottom w:val="single" w:sz="8" w:color="CFCFD2"/>
            </w:tcBorders>
            <w:shd w:val="clear" w:color="auto" w:fill="F6F3F0"/>
          </w:tcPr>
          <w:p>
            <w:pPr>
              <w:spacing w:after="0"/>
              <w:rPr>
                <w:sz w:val="5"/>
                <w:szCs w:val="5"/>
                <w:color w:val="auto"/>
              </w:rPr>
            </w:pPr>
          </w:p>
        </w:tc>
        <w:tc>
          <w:tcPr>
            <w:tcW w:w="1260" w:type="dxa"/>
            <w:vAlign w:val="bottom"/>
            <w:tcBorders>
              <w:bottom w:val="single" w:sz="8" w:color="CFCFD2"/>
            </w:tcBorders>
            <w:shd w:val="clear" w:color="auto" w:fill="F6F3F0"/>
          </w:tcPr>
          <w:p>
            <w:pPr>
              <w:spacing w:after="0"/>
              <w:rPr>
                <w:sz w:val="5"/>
                <w:szCs w:val="5"/>
                <w:color w:val="auto"/>
              </w:rPr>
            </w:pPr>
          </w:p>
        </w:tc>
        <w:tc>
          <w:tcPr>
            <w:tcW w:w="1300" w:type="dxa"/>
            <w:vAlign w:val="bottom"/>
            <w:tcBorders>
              <w:bottom w:val="single" w:sz="8" w:color="CFCFD2"/>
            </w:tcBorders>
            <w:shd w:val="clear" w:color="auto" w:fill="F6F3F0"/>
          </w:tcPr>
          <w:p>
            <w:pPr>
              <w:spacing w:after="0"/>
              <w:rPr>
                <w:sz w:val="5"/>
                <w:szCs w:val="5"/>
                <w:color w:val="auto"/>
              </w:rPr>
            </w:pPr>
          </w:p>
        </w:tc>
        <w:tc>
          <w:tcPr>
            <w:tcW w:w="1260" w:type="dxa"/>
            <w:vAlign w:val="bottom"/>
            <w:tcBorders>
              <w:bottom w:val="single" w:sz="8" w:color="CFCFD2"/>
            </w:tcBorders>
            <w:shd w:val="clear" w:color="auto" w:fill="F6F3F0"/>
          </w:tcPr>
          <w:p>
            <w:pPr>
              <w:spacing w:after="0"/>
              <w:rPr>
                <w:sz w:val="5"/>
                <w:szCs w:val="5"/>
                <w:color w:val="auto"/>
              </w:rPr>
            </w:pPr>
          </w:p>
        </w:tc>
        <w:tc>
          <w:tcPr>
            <w:tcW w:w="1320" w:type="dxa"/>
            <w:vAlign w:val="bottom"/>
            <w:tcBorders>
              <w:bottom w:val="single" w:sz="8" w:color="CFCFD2"/>
            </w:tcBorders>
            <w:shd w:val="clear" w:color="auto" w:fill="F6F3F0"/>
          </w:tcPr>
          <w:p>
            <w:pPr>
              <w:spacing w:after="0"/>
              <w:rPr>
                <w:sz w:val="5"/>
                <w:szCs w:val="5"/>
                <w:color w:val="auto"/>
              </w:rPr>
            </w:pPr>
          </w:p>
        </w:tc>
        <w:tc>
          <w:tcPr>
            <w:tcW w:w="1060" w:type="dxa"/>
            <w:vAlign w:val="bottom"/>
            <w:tcBorders>
              <w:bottom w:val="single" w:sz="8" w:color="CFCFD2"/>
            </w:tcBorders>
            <w:shd w:val="clear" w:color="auto" w:fill="F6F3F0"/>
          </w:tcPr>
          <w:p>
            <w:pPr>
              <w:spacing w:after="0"/>
              <w:rPr>
                <w:sz w:val="5"/>
                <w:szCs w:val="5"/>
                <w:color w:val="auto"/>
              </w:rPr>
            </w:pPr>
          </w:p>
        </w:tc>
      </w:tr>
      <w:tr>
        <w:trPr>
          <w:trHeight w:val="215"/>
        </w:trPr>
        <w:tc>
          <w:tcPr>
            <w:tcW w:w="230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Raul J. Fernandez</w:t>
            </w:r>
            <w:r>
              <w:rPr>
                <w:rFonts w:ascii="Arial" w:cs="Arial" w:eastAsia="Arial" w:hAnsi="Arial"/>
                <w:sz w:val="9"/>
                <w:szCs w:val="9"/>
                <w:b w:val="1"/>
                <w:bCs w:val="1"/>
                <w:color w:val="004AAC"/>
              </w:rPr>
              <w:t>(1)</w:t>
            </w:r>
          </w:p>
        </w:tc>
        <w:tc>
          <w:tcPr>
            <w:tcW w:w="124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1,500,000</w:t>
            </w:r>
          </w:p>
        </w:tc>
        <w:tc>
          <w:tcPr>
            <w:tcW w:w="1500" w:type="dxa"/>
            <w:vAlign w:val="bottom"/>
            <w:tcBorders>
              <w:bottom w:val="single" w:sz="8" w:color="CFCFD2"/>
            </w:tcBorders>
          </w:tcPr>
          <w:p>
            <w:pPr>
              <w:jc w:val="right"/>
              <w:ind w:right="189"/>
              <w:spacing w:after="0"/>
              <w:rPr>
                <w:sz w:val="20"/>
                <w:szCs w:val="20"/>
                <w:color w:val="auto"/>
              </w:rPr>
            </w:pPr>
            <w:r>
              <w:rPr>
                <w:rFonts w:ascii="Arial" w:cs="Arial" w:eastAsia="Arial" w:hAnsi="Arial"/>
                <w:sz w:val="14"/>
                <w:szCs w:val="14"/>
                <w:color w:val="0E1020"/>
              </w:rPr>
              <w:t>997%*</w:t>
            </w:r>
          </w:p>
        </w:tc>
        <w:tc>
          <w:tcPr>
            <w:tcW w:w="1260" w:type="dxa"/>
            <w:vAlign w:val="bottom"/>
            <w:tcBorders>
              <w:bottom w:val="single" w:sz="8" w:color="CFCFD2"/>
            </w:tcBorders>
          </w:tcPr>
          <w:p>
            <w:pPr>
              <w:jc w:val="right"/>
              <w:ind w:right="189"/>
              <w:spacing w:after="0"/>
              <w:rPr>
                <w:sz w:val="20"/>
                <w:szCs w:val="20"/>
                <w:color w:val="auto"/>
              </w:rPr>
            </w:pPr>
            <w:r>
              <w:rPr>
                <w:rFonts w:ascii="Arial" w:cs="Arial" w:eastAsia="Arial" w:hAnsi="Arial"/>
                <w:sz w:val="14"/>
                <w:szCs w:val="14"/>
                <w:color w:val="0E1020"/>
              </w:rPr>
              <w:t>14,950,000</w:t>
            </w:r>
          </w:p>
        </w:tc>
        <w:tc>
          <w:tcPr>
            <w:tcW w:w="1300" w:type="dxa"/>
            <w:vAlign w:val="bottom"/>
            <w:tcBorders>
              <w:bottom w:val="single" w:sz="8" w:color="CFCFD2"/>
            </w:tcBorders>
          </w:tcPr>
          <w:p>
            <w:pPr>
              <w:jc w:val="right"/>
              <w:ind w:right="229"/>
              <w:spacing w:after="0"/>
              <w:rPr>
                <w:sz w:val="20"/>
                <w:szCs w:val="20"/>
                <w:color w:val="auto"/>
              </w:rPr>
            </w:pPr>
            <w:r>
              <w:rPr>
                <w:rFonts w:ascii="Arial" w:cs="Arial" w:eastAsia="Arial" w:hAnsi="Arial"/>
                <w:sz w:val="14"/>
                <w:szCs w:val="14"/>
                <w:color w:val="0E1020"/>
              </w:rPr>
              <w:t>12,707,500</w:t>
            </w:r>
          </w:p>
        </w:tc>
        <w:tc>
          <w:tcPr>
            <w:tcW w:w="1260" w:type="dxa"/>
            <w:vAlign w:val="bottom"/>
            <w:tcBorders>
              <w:bottom w:val="single" w:sz="8" w:color="CFCFD2"/>
            </w:tcBorders>
          </w:tcPr>
          <w:p>
            <w:pPr>
              <w:jc w:val="right"/>
              <w:ind w:right="229"/>
              <w:spacing w:after="0"/>
              <w:rPr>
                <w:sz w:val="20"/>
                <w:szCs w:val="20"/>
                <w:color w:val="auto"/>
              </w:rPr>
            </w:pPr>
            <w:r>
              <w:rPr>
                <w:rFonts w:ascii="Arial" w:cs="Arial" w:eastAsia="Arial" w:hAnsi="Arial"/>
                <w:sz w:val="14"/>
                <w:szCs w:val="14"/>
                <w:color w:val="0E1020"/>
              </w:rPr>
              <w:t>2,282,784</w:t>
            </w:r>
          </w:p>
        </w:tc>
        <w:tc>
          <w:tcPr>
            <w:tcW w:w="1320" w:type="dxa"/>
            <w:vAlign w:val="bottom"/>
            <w:tcBorders>
              <w:bottom w:val="single" w:sz="8" w:color="CFCFD2"/>
            </w:tcBorders>
          </w:tcPr>
          <w:p>
            <w:pPr>
              <w:jc w:val="right"/>
              <w:ind w:right="289"/>
              <w:spacing w:after="0"/>
              <w:rPr>
                <w:sz w:val="20"/>
                <w:szCs w:val="20"/>
                <w:color w:val="auto"/>
              </w:rPr>
            </w:pPr>
            <w:r>
              <w:rPr>
                <w:rFonts w:ascii="Arial" w:cs="Arial" w:eastAsia="Arial" w:hAnsi="Arial"/>
                <w:sz w:val="14"/>
                <w:szCs w:val="14"/>
                <w:color w:val="0E1020"/>
              </w:rPr>
              <w:t>2,242,500</w:t>
            </w:r>
          </w:p>
        </w:tc>
        <w:tc>
          <w:tcPr>
            <w:tcW w:w="1060" w:type="dxa"/>
            <w:vAlign w:val="bottom"/>
            <w:tcBorders>
              <w:bottom w:val="single" w:sz="8" w:color="CFCFD2"/>
            </w:tcBorders>
          </w:tcPr>
          <w:p>
            <w:pPr>
              <w:jc w:val="right"/>
              <w:ind w:right="89"/>
              <w:spacing w:after="0"/>
              <w:rPr>
                <w:sz w:val="20"/>
                <w:szCs w:val="20"/>
                <w:color w:val="auto"/>
              </w:rPr>
            </w:pPr>
            <w:r>
              <w:rPr>
                <w:rFonts w:ascii="Arial" w:cs="Arial" w:eastAsia="Arial" w:hAnsi="Arial"/>
                <w:sz w:val="14"/>
                <w:szCs w:val="14"/>
                <w:color w:val="0E1020"/>
              </w:rPr>
              <w:t>402,844</w:t>
            </w:r>
          </w:p>
        </w:tc>
      </w:tr>
      <w:tr>
        <w:trPr>
          <w:trHeight w:val="221"/>
        </w:trPr>
        <w:tc>
          <w:tcPr>
            <w:tcW w:w="230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Robert Del Bene</w:t>
            </w:r>
            <w:r>
              <w:rPr>
                <w:rFonts w:ascii="Arial" w:cs="Arial" w:eastAsia="Arial" w:hAnsi="Arial"/>
                <w:sz w:val="9"/>
                <w:szCs w:val="9"/>
                <w:b w:val="1"/>
                <w:bCs w:val="1"/>
                <w:color w:val="004AAC"/>
              </w:rPr>
              <w:t>(1)</w:t>
            </w:r>
          </w:p>
        </w:tc>
        <w:tc>
          <w:tcPr>
            <w:tcW w:w="124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800,000</w:t>
            </w:r>
          </w:p>
        </w:tc>
        <w:tc>
          <w:tcPr>
            <w:tcW w:w="1500" w:type="dxa"/>
            <w:vAlign w:val="bottom"/>
            <w:tcBorders>
              <w:bottom w:val="single" w:sz="8" w:color="CFCFD2"/>
            </w:tcBorders>
          </w:tcPr>
          <w:p>
            <w:pPr>
              <w:jc w:val="right"/>
              <w:ind w:right="189"/>
              <w:spacing w:after="0"/>
              <w:rPr>
                <w:sz w:val="20"/>
                <w:szCs w:val="20"/>
                <w:color w:val="auto"/>
              </w:rPr>
            </w:pPr>
            <w:r>
              <w:rPr>
                <w:rFonts w:ascii="Arial" w:cs="Arial" w:eastAsia="Arial" w:hAnsi="Arial"/>
                <w:sz w:val="14"/>
                <w:szCs w:val="14"/>
                <w:color w:val="0E1020"/>
              </w:rPr>
              <w:t>860%</w:t>
            </w:r>
          </w:p>
        </w:tc>
        <w:tc>
          <w:tcPr>
            <w:tcW w:w="1260" w:type="dxa"/>
            <w:vAlign w:val="bottom"/>
            <w:tcBorders>
              <w:bottom w:val="single" w:sz="8" w:color="CFCFD2"/>
            </w:tcBorders>
          </w:tcPr>
          <w:p>
            <w:pPr>
              <w:jc w:val="right"/>
              <w:ind w:right="189"/>
              <w:spacing w:after="0"/>
              <w:rPr>
                <w:sz w:val="20"/>
                <w:szCs w:val="20"/>
                <w:color w:val="auto"/>
              </w:rPr>
            </w:pPr>
            <w:r>
              <w:rPr>
                <w:rFonts w:ascii="Arial" w:cs="Arial" w:eastAsia="Arial" w:hAnsi="Arial"/>
                <w:sz w:val="14"/>
                <w:szCs w:val="14"/>
                <w:color w:val="0E1020"/>
              </w:rPr>
              <w:t>6,880,000</w:t>
            </w:r>
          </w:p>
        </w:tc>
        <w:tc>
          <w:tcPr>
            <w:tcW w:w="1300" w:type="dxa"/>
            <w:vAlign w:val="bottom"/>
            <w:tcBorders>
              <w:bottom w:val="single" w:sz="8" w:color="CFCFD2"/>
            </w:tcBorders>
          </w:tcPr>
          <w:p>
            <w:pPr>
              <w:jc w:val="right"/>
              <w:ind w:right="229"/>
              <w:spacing w:after="0"/>
              <w:rPr>
                <w:sz w:val="20"/>
                <w:szCs w:val="20"/>
                <w:color w:val="auto"/>
              </w:rPr>
            </w:pPr>
            <w:r>
              <w:rPr>
                <w:rFonts w:ascii="Arial" w:cs="Arial" w:eastAsia="Arial" w:hAnsi="Arial"/>
                <w:sz w:val="14"/>
                <w:szCs w:val="14"/>
                <w:color w:val="0E1020"/>
              </w:rPr>
              <w:t>5,848,000</w:t>
            </w:r>
          </w:p>
        </w:tc>
        <w:tc>
          <w:tcPr>
            <w:tcW w:w="1260" w:type="dxa"/>
            <w:vAlign w:val="bottom"/>
            <w:tcBorders>
              <w:bottom w:val="single" w:sz="8" w:color="CFCFD2"/>
            </w:tcBorders>
          </w:tcPr>
          <w:p>
            <w:pPr>
              <w:jc w:val="right"/>
              <w:ind w:right="229"/>
              <w:spacing w:after="0"/>
              <w:rPr>
                <w:sz w:val="20"/>
                <w:szCs w:val="20"/>
                <w:color w:val="auto"/>
              </w:rPr>
            </w:pPr>
            <w:r>
              <w:rPr>
                <w:rFonts w:ascii="Arial" w:cs="Arial" w:eastAsia="Arial" w:hAnsi="Arial"/>
                <w:sz w:val="14"/>
                <w:szCs w:val="14"/>
                <w:color w:val="0E1020"/>
              </w:rPr>
              <w:t>1,050,539</w:t>
            </w:r>
          </w:p>
        </w:tc>
        <w:tc>
          <w:tcPr>
            <w:tcW w:w="1320" w:type="dxa"/>
            <w:vAlign w:val="bottom"/>
            <w:tcBorders>
              <w:bottom w:val="single" w:sz="8" w:color="CFCFD2"/>
            </w:tcBorders>
          </w:tcPr>
          <w:p>
            <w:pPr>
              <w:jc w:val="right"/>
              <w:ind w:right="289"/>
              <w:spacing w:after="0"/>
              <w:rPr>
                <w:sz w:val="20"/>
                <w:szCs w:val="20"/>
                <w:color w:val="auto"/>
              </w:rPr>
            </w:pPr>
            <w:r>
              <w:rPr>
                <w:rFonts w:ascii="Arial" w:cs="Arial" w:eastAsia="Arial" w:hAnsi="Arial"/>
                <w:sz w:val="14"/>
                <w:szCs w:val="14"/>
                <w:color w:val="0E1020"/>
              </w:rPr>
              <w:t>1,032,000</w:t>
            </w:r>
          </w:p>
        </w:tc>
        <w:tc>
          <w:tcPr>
            <w:tcW w:w="1060" w:type="dxa"/>
            <w:vAlign w:val="bottom"/>
            <w:tcBorders>
              <w:bottom w:val="single" w:sz="8" w:color="CFCFD2"/>
            </w:tcBorders>
          </w:tcPr>
          <w:p>
            <w:pPr>
              <w:jc w:val="right"/>
              <w:ind w:right="89"/>
              <w:spacing w:after="0"/>
              <w:rPr>
                <w:sz w:val="20"/>
                <w:szCs w:val="20"/>
                <w:color w:val="auto"/>
              </w:rPr>
            </w:pPr>
            <w:r>
              <w:rPr>
                <w:rFonts w:ascii="Arial" w:cs="Arial" w:eastAsia="Arial" w:hAnsi="Arial"/>
                <w:sz w:val="14"/>
                <w:szCs w:val="14"/>
                <w:color w:val="0E1020"/>
              </w:rPr>
              <w:t>185,389</w:t>
            </w:r>
          </w:p>
        </w:tc>
      </w:tr>
      <w:tr>
        <w:trPr>
          <w:trHeight w:val="221"/>
        </w:trPr>
        <w:tc>
          <w:tcPr>
            <w:tcW w:w="230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Christopher Drumgoole</w:t>
            </w:r>
          </w:p>
        </w:tc>
        <w:tc>
          <w:tcPr>
            <w:tcW w:w="124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800,000</w:t>
            </w:r>
          </w:p>
        </w:tc>
        <w:tc>
          <w:tcPr>
            <w:tcW w:w="1500" w:type="dxa"/>
            <w:vAlign w:val="bottom"/>
            <w:tcBorders>
              <w:bottom w:val="single" w:sz="8" w:color="CFCFD2"/>
            </w:tcBorders>
          </w:tcPr>
          <w:p>
            <w:pPr>
              <w:jc w:val="right"/>
              <w:ind w:right="189"/>
              <w:spacing w:after="0"/>
              <w:rPr>
                <w:sz w:val="20"/>
                <w:szCs w:val="20"/>
                <w:color w:val="auto"/>
              </w:rPr>
            </w:pPr>
            <w:r>
              <w:rPr>
                <w:rFonts w:ascii="Arial" w:cs="Arial" w:eastAsia="Arial" w:hAnsi="Arial"/>
                <w:sz w:val="14"/>
                <w:szCs w:val="14"/>
                <w:color w:val="0E1020"/>
              </w:rPr>
              <w:t>765%</w:t>
            </w:r>
          </w:p>
        </w:tc>
        <w:tc>
          <w:tcPr>
            <w:tcW w:w="1260" w:type="dxa"/>
            <w:vAlign w:val="bottom"/>
            <w:tcBorders>
              <w:bottom w:val="single" w:sz="8" w:color="CFCFD2"/>
            </w:tcBorders>
          </w:tcPr>
          <w:p>
            <w:pPr>
              <w:jc w:val="right"/>
              <w:ind w:right="189"/>
              <w:spacing w:after="0"/>
              <w:rPr>
                <w:sz w:val="20"/>
                <w:szCs w:val="20"/>
                <w:color w:val="auto"/>
              </w:rPr>
            </w:pPr>
            <w:r>
              <w:rPr>
                <w:rFonts w:ascii="Arial" w:cs="Arial" w:eastAsia="Arial" w:hAnsi="Arial"/>
                <w:sz w:val="14"/>
                <w:szCs w:val="14"/>
                <w:color w:val="0E1020"/>
              </w:rPr>
              <w:t>6,120,000</w:t>
            </w:r>
          </w:p>
        </w:tc>
        <w:tc>
          <w:tcPr>
            <w:tcW w:w="1300" w:type="dxa"/>
            <w:vAlign w:val="bottom"/>
            <w:tcBorders>
              <w:bottom w:val="single" w:sz="8" w:color="CFCFD2"/>
            </w:tcBorders>
          </w:tcPr>
          <w:p>
            <w:pPr>
              <w:jc w:val="right"/>
              <w:ind w:right="229"/>
              <w:spacing w:after="0"/>
              <w:rPr>
                <w:sz w:val="20"/>
                <w:szCs w:val="20"/>
                <w:color w:val="auto"/>
              </w:rPr>
            </w:pPr>
            <w:r>
              <w:rPr>
                <w:rFonts w:ascii="Arial" w:cs="Arial" w:eastAsia="Arial" w:hAnsi="Arial"/>
                <w:sz w:val="14"/>
                <w:szCs w:val="14"/>
                <w:color w:val="0E1020"/>
              </w:rPr>
              <w:t>3,672,000</w:t>
            </w:r>
          </w:p>
        </w:tc>
        <w:tc>
          <w:tcPr>
            <w:tcW w:w="1260" w:type="dxa"/>
            <w:vAlign w:val="bottom"/>
            <w:tcBorders>
              <w:bottom w:val="single" w:sz="8" w:color="CFCFD2"/>
            </w:tcBorders>
          </w:tcPr>
          <w:p>
            <w:pPr>
              <w:jc w:val="right"/>
              <w:ind w:right="229"/>
              <w:spacing w:after="0"/>
              <w:rPr>
                <w:sz w:val="20"/>
                <w:szCs w:val="20"/>
                <w:color w:val="auto"/>
              </w:rPr>
            </w:pPr>
            <w:r>
              <w:rPr>
                <w:rFonts w:ascii="Arial" w:cs="Arial" w:eastAsia="Arial" w:hAnsi="Arial"/>
                <w:sz w:val="14"/>
                <w:szCs w:val="14"/>
                <w:color w:val="0E1020"/>
              </w:rPr>
              <w:t>219,880</w:t>
            </w:r>
          </w:p>
        </w:tc>
        <w:tc>
          <w:tcPr>
            <w:tcW w:w="1320" w:type="dxa"/>
            <w:vAlign w:val="bottom"/>
            <w:tcBorders>
              <w:bottom w:val="single" w:sz="8" w:color="CFCFD2"/>
            </w:tcBorders>
          </w:tcPr>
          <w:p>
            <w:pPr>
              <w:jc w:val="right"/>
              <w:ind w:right="289"/>
              <w:spacing w:after="0"/>
              <w:rPr>
                <w:sz w:val="20"/>
                <w:szCs w:val="20"/>
                <w:color w:val="auto"/>
              </w:rPr>
            </w:pPr>
            <w:r>
              <w:rPr>
                <w:rFonts w:ascii="Arial" w:cs="Arial" w:eastAsia="Arial" w:hAnsi="Arial"/>
                <w:sz w:val="14"/>
                <w:szCs w:val="14"/>
                <w:color w:val="0E1020"/>
              </w:rPr>
              <w:t>2,448,000</w:t>
            </w:r>
          </w:p>
        </w:tc>
        <w:tc>
          <w:tcPr>
            <w:tcW w:w="1060" w:type="dxa"/>
            <w:vAlign w:val="bottom"/>
            <w:tcBorders>
              <w:bottom w:val="single" w:sz="8" w:color="CFCFD2"/>
            </w:tcBorders>
          </w:tcPr>
          <w:p>
            <w:pPr>
              <w:jc w:val="right"/>
              <w:ind w:right="89"/>
              <w:spacing w:after="0"/>
              <w:rPr>
                <w:sz w:val="20"/>
                <w:szCs w:val="20"/>
                <w:color w:val="auto"/>
              </w:rPr>
            </w:pPr>
            <w:r>
              <w:rPr>
                <w:rFonts w:ascii="Arial" w:cs="Arial" w:eastAsia="Arial" w:hAnsi="Arial"/>
                <w:sz w:val="14"/>
                <w:szCs w:val="14"/>
                <w:color w:val="0E1020"/>
              </w:rPr>
              <w:t>146,587</w:t>
            </w:r>
          </w:p>
        </w:tc>
      </w:tr>
      <w:tr>
        <w:trPr>
          <w:trHeight w:val="221"/>
        </w:trPr>
        <w:tc>
          <w:tcPr>
            <w:tcW w:w="230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Raymond A. August</w:t>
            </w:r>
            <w:r>
              <w:rPr>
                <w:rFonts w:ascii="Arial" w:cs="Arial" w:eastAsia="Arial" w:hAnsi="Arial"/>
                <w:sz w:val="9"/>
                <w:szCs w:val="9"/>
                <w:b w:val="1"/>
                <w:bCs w:val="1"/>
                <w:color w:val="004AAC"/>
              </w:rPr>
              <w:t>(2)</w:t>
            </w:r>
          </w:p>
        </w:tc>
        <w:tc>
          <w:tcPr>
            <w:tcW w:w="124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700,000</w:t>
            </w:r>
          </w:p>
        </w:tc>
        <w:tc>
          <w:tcPr>
            <w:tcW w:w="1500" w:type="dxa"/>
            <w:vAlign w:val="bottom"/>
            <w:tcBorders>
              <w:bottom w:val="single" w:sz="8" w:color="CFCFD2"/>
            </w:tcBorders>
          </w:tcPr>
          <w:p>
            <w:pPr>
              <w:jc w:val="right"/>
              <w:ind w:right="189"/>
              <w:spacing w:after="0"/>
              <w:rPr>
                <w:sz w:val="20"/>
                <w:szCs w:val="20"/>
                <w:color w:val="auto"/>
              </w:rPr>
            </w:pPr>
            <w:r>
              <w:rPr>
                <w:rFonts w:ascii="Arial" w:cs="Arial" w:eastAsia="Arial" w:hAnsi="Arial"/>
                <w:sz w:val="14"/>
                <w:szCs w:val="14"/>
                <w:color w:val="0E1020"/>
              </w:rPr>
              <w:t>425%</w:t>
            </w:r>
          </w:p>
        </w:tc>
        <w:tc>
          <w:tcPr>
            <w:tcW w:w="1260" w:type="dxa"/>
            <w:vAlign w:val="bottom"/>
            <w:tcBorders>
              <w:bottom w:val="single" w:sz="8" w:color="CFCFD2"/>
            </w:tcBorders>
          </w:tcPr>
          <w:p>
            <w:pPr>
              <w:jc w:val="right"/>
              <w:ind w:right="189"/>
              <w:spacing w:after="0"/>
              <w:rPr>
                <w:sz w:val="20"/>
                <w:szCs w:val="20"/>
                <w:color w:val="auto"/>
              </w:rPr>
            </w:pPr>
            <w:r>
              <w:rPr>
                <w:rFonts w:ascii="Arial" w:cs="Arial" w:eastAsia="Arial" w:hAnsi="Arial"/>
                <w:sz w:val="14"/>
                <w:szCs w:val="14"/>
                <w:color w:val="0E1020"/>
              </w:rPr>
              <w:t>3,150,000</w:t>
            </w:r>
          </w:p>
        </w:tc>
        <w:tc>
          <w:tcPr>
            <w:tcW w:w="1300" w:type="dxa"/>
            <w:vAlign w:val="bottom"/>
            <w:tcBorders>
              <w:bottom w:val="single" w:sz="8" w:color="CFCFD2"/>
            </w:tcBorders>
          </w:tcPr>
          <w:p>
            <w:pPr>
              <w:jc w:val="right"/>
              <w:ind w:right="229"/>
              <w:spacing w:after="0"/>
              <w:rPr>
                <w:sz w:val="20"/>
                <w:szCs w:val="20"/>
                <w:color w:val="auto"/>
              </w:rPr>
            </w:pPr>
            <w:r>
              <w:rPr>
                <w:rFonts w:ascii="Arial" w:cs="Arial" w:eastAsia="Arial" w:hAnsi="Arial"/>
                <w:sz w:val="14"/>
                <w:szCs w:val="14"/>
                <w:color w:val="0E1020"/>
              </w:rPr>
              <w:t>1,890,000</w:t>
            </w:r>
          </w:p>
        </w:tc>
        <w:tc>
          <w:tcPr>
            <w:tcW w:w="1260" w:type="dxa"/>
            <w:vAlign w:val="bottom"/>
            <w:tcBorders>
              <w:bottom w:val="single" w:sz="8" w:color="CFCFD2"/>
            </w:tcBorders>
          </w:tcPr>
          <w:p>
            <w:pPr>
              <w:jc w:val="right"/>
              <w:ind w:right="229"/>
              <w:spacing w:after="0"/>
              <w:rPr>
                <w:sz w:val="20"/>
                <w:szCs w:val="20"/>
                <w:color w:val="auto"/>
              </w:rPr>
            </w:pPr>
            <w:r>
              <w:rPr>
                <w:rFonts w:ascii="Arial" w:cs="Arial" w:eastAsia="Arial" w:hAnsi="Arial"/>
                <w:sz w:val="14"/>
                <w:szCs w:val="14"/>
                <w:color w:val="0E1020"/>
              </w:rPr>
              <w:t>113,174</w:t>
            </w:r>
          </w:p>
        </w:tc>
        <w:tc>
          <w:tcPr>
            <w:tcW w:w="1320" w:type="dxa"/>
            <w:vAlign w:val="bottom"/>
            <w:tcBorders>
              <w:bottom w:val="single" w:sz="8" w:color="CFCFD2"/>
            </w:tcBorders>
          </w:tcPr>
          <w:p>
            <w:pPr>
              <w:jc w:val="right"/>
              <w:ind w:right="289"/>
              <w:spacing w:after="0"/>
              <w:rPr>
                <w:sz w:val="20"/>
                <w:szCs w:val="20"/>
                <w:color w:val="auto"/>
              </w:rPr>
            </w:pPr>
            <w:r>
              <w:rPr>
                <w:rFonts w:ascii="Arial" w:cs="Arial" w:eastAsia="Arial" w:hAnsi="Arial"/>
                <w:sz w:val="14"/>
                <w:szCs w:val="14"/>
                <w:color w:val="0E1020"/>
              </w:rPr>
              <w:t>1,260,000</w:t>
            </w:r>
          </w:p>
        </w:tc>
        <w:tc>
          <w:tcPr>
            <w:tcW w:w="1060" w:type="dxa"/>
            <w:vAlign w:val="bottom"/>
            <w:tcBorders>
              <w:bottom w:val="single" w:sz="8" w:color="CFCFD2"/>
            </w:tcBorders>
          </w:tcPr>
          <w:p>
            <w:pPr>
              <w:jc w:val="right"/>
              <w:ind w:right="89"/>
              <w:spacing w:after="0"/>
              <w:rPr>
                <w:sz w:val="20"/>
                <w:szCs w:val="20"/>
                <w:color w:val="auto"/>
              </w:rPr>
            </w:pPr>
            <w:r>
              <w:rPr>
                <w:rFonts w:ascii="Arial" w:cs="Arial" w:eastAsia="Arial" w:hAnsi="Arial"/>
                <w:sz w:val="14"/>
                <w:szCs w:val="14"/>
                <w:color w:val="0E1020"/>
              </w:rPr>
              <w:t>75,449</w:t>
            </w:r>
          </w:p>
        </w:tc>
      </w:tr>
      <w:tr>
        <w:trPr>
          <w:trHeight w:val="221"/>
        </w:trPr>
        <w:tc>
          <w:tcPr>
            <w:tcW w:w="230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Matthew K. Fawcett</w:t>
            </w:r>
          </w:p>
        </w:tc>
        <w:tc>
          <w:tcPr>
            <w:tcW w:w="124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675,000</w:t>
            </w:r>
          </w:p>
        </w:tc>
        <w:tc>
          <w:tcPr>
            <w:tcW w:w="1500" w:type="dxa"/>
            <w:vAlign w:val="bottom"/>
            <w:tcBorders>
              <w:bottom w:val="single" w:sz="8" w:color="CFCFD2"/>
            </w:tcBorders>
          </w:tcPr>
          <w:p>
            <w:pPr>
              <w:jc w:val="right"/>
              <w:ind w:right="189"/>
              <w:spacing w:after="0"/>
              <w:rPr>
                <w:sz w:val="20"/>
                <w:szCs w:val="20"/>
                <w:color w:val="auto"/>
              </w:rPr>
            </w:pPr>
            <w:r>
              <w:rPr>
                <w:rFonts w:ascii="Arial" w:cs="Arial" w:eastAsia="Arial" w:hAnsi="Arial"/>
                <w:sz w:val="14"/>
                <w:szCs w:val="14"/>
                <w:color w:val="0E1020"/>
              </w:rPr>
              <w:t>550%</w:t>
            </w:r>
          </w:p>
        </w:tc>
        <w:tc>
          <w:tcPr>
            <w:tcW w:w="1260" w:type="dxa"/>
            <w:vAlign w:val="bottom"/>
            <w:tcBorders>
              <w:bottom w:val="single" w:sz="8" w:color="CFCFD2"/>
            </w:tcBorders>
          </w:tcPr>
          <w:p>
            <w:pPr>
              <w:jc w:val="right"/>
              <w:ind w:right="189"/>
              <w:spacing w:after="0"/>
              <w:rPr>
                <w:sz w:val="20"/>
                <w:szCs w:val="20"/>
                <w:color w:val="auto"/>
              </w:rPr>
            </w:pPr>
            <w:r>
              <w:rPr>
                <w:rFonts w:ascii="Arial" w:cs="Arial" w:eastAsia="Arial" w:hAnsi="Arial"/>
                <w:sz w:val="14"/>
                <w:szCs w:val="14"/>
                <w:color w:val="0E1020"/>
              </w:rPr>
              <w:t>3,712,500</w:t>
            </w:r>
          </w:p>
        </w:tc>
        <w:tc>
          <w:tcPr>
            <w:tcW w:w="1300" w:type="dxa"/>
            <w:vAlign w:val="bottom"/>
            <w:tcBorders>
              <w:bottom w:val="single" w:sz="8" w:color="CFCFD2"/>
            </w:tcBorders>
          </w:tcPr>
          <w:p>
            <w:pPr>
              <w:jc w:val="right"/>
              <w:ind w:right="229"/>
              <w:spacing w:after="0"/>
              <w:rPr>
                <w:sz w:val="20"/>
                <w:szCs w:val="20"/>
                <w:color w:val="auto"/>
              </w:rPr>
            </w:pPr>
            <w:r>
              <w:rPr>
                <w:rFonts w:ascii="Arial" w:cs="Arial" w:eastAsia="Arial" w:hAnsi="Arial"/>
                <w:sz w:val="14"/>
                <w:szCs w:val="14"/>
                <w:color w:val="0E1020"/>
              </w:rPr>
              <w:t>2,227,500</w:t>
            </w:r>
          </w:p>
        </w:tc>
        <w:tc>
          <w:tcPr>
            <w:tcW w:w="1260" w:type="dxa"/>
            <w:vAlign w:val="bottom"/>
            <w:tcBorders>
              <w:bottom w:val="single" w:sz="8" w:color="CFCFD2"/>
            </w:tcBorders>
          </w:tcPr>
          <w:p>
            <w:pPr>
              <w:jc w:val="right"/>
              <w:ind w:right="229"/>
              <w:spacing w:after="0"/>
              <w:rPr>
                <w:sz w:val="20"/>
                <w:szCs w:val="20"/>
                <w:color w:val="auto"/>
              </w:rPr>
            </w:pPr>
            <w:r>
              <w:rPr>
                <w:rFonts w:ascii="Arial" w:cs="Arial" w:eastAsia="Arial" w:hAnsi="Arial"/>
                <w:sz w:val="14"/>
                <w:szCs w:val="14"/>
                <w:color w:val="0E1020"/>
              </w:rPr>
              <w:t>133,383</w:t>
            </w:r>
          </w:p>
        </w:tc>
        <w:tc>
          <w:tcPr>
            <w:tcW w:w="1320" w:type="dxa"/>
            <w:vAlign w:val="bottom"/>
            <w:tcBorders>
              <w:bottom w:val="single" w:sz="8" w:color="CFCFD2"/>
            </w:tcBorders>
          </w:tcPr>
          <w:p>
            <w:pPr>
              <w:jc w:val="right"/>
              <w:ind w:right="289"/>
              <w:spacing w:after="0"/>
              <w:rPr>
                <w:sz w:val="20"/>
                <w:szCs w:val="20"/>
                <w:color w:val="auto"/>
              </w:rPr>
            </w:pPr>
            <w:r>
              <w:rPr>
                <w:rFonts w:ascii="Arial" w:cs="Arial" w:eastAsia="Arial" w:hAnsi="Arial"/>
                <w:sz w:val="14"/>
                <w:szCs w:val="14"/>
                <w:color w:val="0E1020"/>
              </w:rPr>
              <w:t>1,485,000</w:t>
            </w:r>
          </w:p>
        </w:tc>
        <w:tc>
          <w:tcPr>
            <w:tcW w:w="1060" w:type="dxa"/>
            <w:vAlign w:val="bottom"/>
            <w:tcBorders>
              <w:bottom w:val="single" w:sz="8" w:color="CFCFD2"/>
            </w:tcBorders>
          </w:tcPr>
          <w:p>
            <w:pPr>
              <w:jc w:val="right"/>
              <w:ind w:right="89"/>
              <w:spacing w:after="0"/>
              <w:rPr>
                <w:sz w:val="20"/>
                <w:szCs w:val="20"/>
                <w:color w:val="auto"/>
              </w:rPr>
            </w:pPr>
            <w:r>
              <w:rPr>
                <w:rFonts w:ascii="Arial" w:cs="Arial" w:eastAsia="Arial" w:hAnsi="Arial"/>
                <w:sz w:val="14"/>
                <w:szCs w:val="14"/>
                <w:color w:val="0E1020"/>
              </w:rPr>
              <w:t>88,922</w:t>
            </w:r>
          </w:p>
        </w:tc>
      </w:tr>
      <w:tr>
        <w:trPr>
          <w:trHeight w:val="221"/>
        </w:trPr>
        <w:tc>
          <w:tcPr>
            <w:tcW w:w="230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Howard Boville</w:t>
            </w:r>
            <w:r>
              <w:rPr>
                <w:rFonts w:ascii="Arial" w:cs="Arial" w:eastAsia="Arial" w:hAnsi="Arial"/>
                <w:sz w:val="9"/>
                <w:szCs w:val="9"/>
                <w:b w:val="1"/>
                <w:bCs w:val="1"/>
                <w:color w:val="004AAC"/>
              </w:rPr>
              <w:t>(3)</w:t>
            </w:r>
          </w:p>
        </w:tc>
        <w:tc>
          <w:tcPr>
            <w:tcW w:w="124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1,000,000</w:t>
            </w:r>
          </w:p>
        </w:tc>
        <w:tc>
          <w:tcPr>
            <w:tcW w:w="1500" w:type="dxa"/>
            <w:vAlign w:val="bottom"/>
            <w:tcBorders>
              <w:bottom w:val="single" w:sz="8" w:color="CFCFD2"/>
            </w:tcBorders>
          </w:tcPr>
          <w:p>
            <w:pPr>
              <w:jc w:val="right"/>
              <w:ind w:right="189"/>
              <w:spacing w:after="0"/>
              <w:rPr>
                <w:sz w:val="20"/>
                <w:szCs w:val="20"/>
                <w:color w:val="auto"/>
              </w:rPr>
            </w:pPr>
            <w:r>
              <w:rPr>
                <w:rFonts w:ascii="Arial" w:cs="Arial" w:eastAsia="Arial" w:hAnsi="Arial"/>
                <w:sz w:val="14"/>
                <w:szCs w:val="14"/>
                <w:color w:val="0E1020"/>
              </w:rPr>
              <w:t>800%</w:t>
            </w:r>
          </w:p>
        </w:tc>
        <w:tc>
          <w:tcPr>
            <w:tcW w:w="1260" w:type="dxa"/>
            <w:vAlign w:val="bottom"/>
            <w:tcBorders>
              <w:bottom w:val="single" w:sz="8" w:color="CFCFD2"/>
            </w:tcBorders>
          </w:tcPr>
          <w:p>
            <w:pPr>
              <w:jc w:val="right"/>
              <w:ind w:right="189"/>
              <w:spacing w:after="0"/>
              <w:rPr>
                <w:sz w:val="20"/>
                <w:szCs w:val="20"/>
                <w:color w:val="auto"/>
              </w:rPr>
            </w:pPr>
            <w:r>
              <w:rPr>
                <w:rFonts w:ascii="Arial" w:cs="Arial" w:eastAsia="Arial" w:hAnsi="Arial"/>
                <w:sz w:val="14"/>
                <w:szCs w:val="14"/>
                <w:color w:val="0E1020"/>
              </w:rPr>
              <w:t>8,000,000</w:t>
            </w:r>
          </w:p>
        </w:tc>
        <w:tc>
          <w:tcPr>
            <w:tcW w:w="1300" w:type="dxa"/>
            <w:vAlign w:val="bottom"/>
            <w:tcBorders>
              <w:bottom w:val="single" w:sz="8" w:color="CFCFD2"/>
            </w:tcBorders>
          </w:tcPr>
          <w:p>
            <w:pPr>
              <w:jc w:val="right"/>
              <w:ind w:right="229"/>
              <w:spacing w:after="0"/>
              <w:rPr>
                <w:sz w:val="20"/>
                <w:szCs w:val="20"/>
                <w:color w:val="auto"/>
              </w:rPr>
            </w:pPr>
            <w:r>
              <w:rPr>
                <w:rFonts w:ascii="Arial" w:cs="Arial" w:eastAsia="Arial" w:hAnsi="Arial"/>
                <w:sz w:val="14"/>
                <w:szCs w:val="14"/>
                <w:color w:val="0E1020"/>
              </w:rPr>
              <w:t>4,800,000</w:t>
            </w:r>
          </w:p>
        </w:tc>
        <w:tc>
          <w:tcPr>
            <w:tcW w:w="1260" w:type="dxa"/>
            <w:vAlign w:val="bottom"/>
            <w:tcBorders>
              <w:bottom w:val="single" w:sz="8" w:color="CFCFD2"/>
            </w:tcBorders>
          </w:tcPr>
          <w:p>
            <w:pPr>
              <w:jc w:val="right"/>
              <w:ind w:right="229"/>
              <w:spacing w:after="0"/>
              <w:rPr>
                <w:sz w:val="20"/>
                <w:szCs w:val="20"/>
                <w:color w:val="auto"/>
              </w:rPr>
            </w:pPr>
            <w:r>
              <w:rPr>
                <w:rFonts w:ascii="Arial" w:cs="Arial" w:eastAsia="Arial" w:hAnsi="Arial"/>
                <w:sz w:val="14"/>
                <w:szCs w:val="14"/>
                <w:color w:val="0E1020"/>
              </w:rPr>
              <w:t>287,425</w:t>
            </w:r>
          </w:p>
        </w:tc>
        <w:tc>
          <w:tcPr>
            <w:tcW w:w="1320" w:type="dxa"/>
            <w:vAlign w:val="bottom"/>
            <w:tcBorders>
              <w:bottom w:val="single" w:sz="8" w:color="CFCFD2"/>
            </w:tcBorders>
          </w:tcPr>
          <w:p>
            <w:pPr>
              <w:jc w:val="right"/>
              <w:ind w:right="289"/>
              <w:spacing w:after="0"/>
              <w:rPr>
                <w:sz w:val="20"/>
                <w:szCs w:val="20"/>
                <w:color w:val="auto"/>
              </w:rPr>
            </w:pPr>
            <w:r>
              <w:rPr>
                <w:rFonts w:ascii="Arial" w:cs="Arial" w:eastAsia="Arial" w:hAnsi="Arial"/>
                <w:sz w:val="14"/>
                <w:szCs w:val="14"/>
                <w:color w:val="0E1020"/>
              </w:rPr>
              <w:t>3,200,000</w:t>
            </w:r>
          </w:p>
        </w:tc>
        <w:tc>
          <w:tcPr>
            <w:tcW w:w="1060" w:type="dxa"/>
            <w:vAlign w:val="bottom"/>
            <w:tcBorders>
              <w:bottom w:val="single" w:sz="8" w:color="CFCFD2"/>
            </w:tcBorders>
          </w:tcPr>
          <w:p>
            <w:pPr>
              <w:jc w:val="right"/>
              <w:ind w:right="89"/>
              <w:spacing w:after="0"/>
              <w:rPr>
                <w:sz w:val="20"/>
                <w:szCs w:val="20"/>
                <w:color w:val="auto"/>
              </w:rPr>
            </w:pPr>
            <w:r>
              <w:rPr>
                <w:rFonts w:ascii="Arial" w:cs="Arial" w:eastAsia="Arial" w:hAnsi="Arial"/>
                <w:sz w:val="14"/>
                <w:szCs w:val="14"/>
                <w:color w:val="0E1020"/>
              </w:rPr>
              <w:t>191,617</w:t>
            </w:r>
          </w:p>
        </w:tc>
      </w:tr>
    </w:tbl>
    <w:p>
      <w:pPr>
        <w:spacing w:after="0" w:line="192" w:lineRule="exact"/>
        <w:rPr>
          <w:sz w:val="20"/>
          <w:szCs w:val="20"/>
          <w:color w:val="auto"/>
        </w:rPr>
      </w:pPr>
    </w:p>
    <w:p>
      <w:pPr>
        <w:ind w:left="460" w:hanging="292"/>
        <w:spacing w:after="0"/>
        <w:tabs>
          <w:tab w:leader="none" w:pos="460" w:val="left"/>
        </w:tabs>
        <w:numPr>
          <w:ilvl w:val="0"/>
          <w:numId w:val="80"/>
        </w:numPr>
        <w:rPr>
          <w:rFonts w:ascii="Arial" w:cs="Arial" w:eastAsia="Arial" w:hAnsi="Arial"/>
          <w:sz w:val="14"/>
          <w:szCs w:val="14"/>
          <w:color w:val="0E1020"/>
        </w:rPr>
      </w:pPr>
      <w:r>
        <w:rPr>
          <w:rFonts w:ascii="Arial" w:cs="Arial" w:eastAsia="Arial" w:hAnsi="Arial"/>
          <w:sz w:val="14"/>
          <w:szCs w:val="14"/>
          <w:color w:val="0E1020"/>
        </w:rPr>
        <w:t>Mr. Fernandez’s target LTI % is rounded to the nearest whole percentage number.</w:t>
      </w:r>
    </w:p>
    <w:p>
      <w:pPr>
        <w:spacing w:after="0" w:line="67" w:lineRule="exact"/>
        <w:rPr>
          <w:sz w:val="20"/>
          <w:szCs w:val="20"/>
          <w:color w:val="auto"/>
        </w:rPr>
      </w:pPr>
    </w:p>
    <w:p>
      <w:pPr>
        <w:ind w:left="480" w:right="20" w:hanging="312"/>
        <w:spacing w:after="0" w:line="267" w:lineRule="auto"/>
        <w:tabs>
          <w:tab w:leader="none" w:pos="480" w:val="left"/>
        </w:tabs>
        <w:numPr>
          <w:ilvl w:val="0"/>
          <w:numId w:val="81"/>
        </w:numPr>
        <w:rPr>
          <w:rFonts w:ascii="Arial" w:cs="Arial" w:eastAsia="Arial" w:hAnsi="Arial"/>
          <w:sz w:val="14"/>
          <w:szCs w:val="14"/>
          <w:color w:val="0E1020"/>
        </w:rPr>
      </w:pPr>
      <w:r>
        <w:rPr>
          <w:rFonts w:ascii="Arial" w:cs="Arial" w:eastAsia="Arial" w:hAnsi="Arial"/>
          <w:sz w:val="14"/>
          <w:szCs w:val="14"/>
          <w:color w:val="0E1020"/>
        </w:rPr>
        <w:t>The target values reflected in above table for Messrs. Fernandez and Del Bene represent the annualized target value of their fiscal 2026 front-loaded equity grants, which are intended to replace annual equity grants for the next three fiscal years for each executive (fiscal 2026 through fiscal 2028). The full target value of Mr. Fernandez’s fiscal 2026 front-loaded equity grant is $44,850,000 ($38,122,500 target PSU value/85% allocation and $6,727,500 target RSU value/15% allocation). The full target value of Mr. Del Bene’s fiscal 2026 front-loaded equity grant is $20,640,000 ($17,544,000 target PSU value/85% allocation and $3,096,000 target RSU value/15% allocation).</w:t>
      </w:r>
    </w:p>
    <w:p>
      <w:pPr>
        <w:spacing w:after="0" w:line="61" w:lineRule="exact"/>
        <w:rPr>
          <w:rFonts w:ascii="Arial" w:cs="Arial" w:eastAsia="Arial" w:hAnsi="Arial"/>
          <w:sz w:val="14"/>
          <w:szCs w:val="14"/>
          <w:color w:val="0E1020"/>
        </w:rPr>
      </w:pPr>
    </w:p>
    <w:p>
      <w:pPr>
        <w:ind w:left="460" w:hanging="292"/>
        <w:spacing w:after="0"/>
        <w:tabs>
          <w:tab w:leader="none" w:pos="460" w:val="left"/>
        </w:tabs>
        <w:numPr>
          <w:ilvl w:val="0"/>
          <w:numId w:val="81"/>
        </w:numPr>
        <w:rPr>
          <w:rFonts w:ascii="Arial" w:cs="Arial" w:eastAsia="Arial" w:hAnsi="Arial"/>
          <w:sz w:val="14"/>
          <w:szCs w:val="14"/>
          <w:color w:val="0E1020"/>
        </w:rPr>
      </w:pPr>
      <w:r>
        <w:rPr>
          <w:rFonts w:ascii="Arial" w:cs="Arial" w:eastAsia="Arial" w:hAnsi="Arial"/>
          <w:sz w:val="14"/>
          <w:szCs w:val="14"/>
          <w:color w:val="0E1020"/>
        </w:rPr>
        <w:t>The value of Mr. August’s fiscal 2026 annual equity grant includes a rounded 106% individual performance modifier.</w:t>
      </w:r>
    </w:p>
    <w:p>
      <w:pPr>
        <w:spacing w:after="0" w:line="53" w:lineRule="exact"/>
        <w:rPr>
          <w:rFonts w:ascii="Arial" w:cs="Arial" w:eastAsia="Arial" w:hAnsi="Arial"/>
          <w:sz w:val="14"/>
          <w:szCs w:val="14"/>
          <w:color w:val="0E1020"/>
        </w:rPr>
      </w:pPr>
    </w:p>
    <w:p>
      <w:pPr>
        <w:ind w:left="480" w:right="80" w:hanging="312"/>
        <w:spacing w:after="0" w:line="280" w:lineRule="auto"/>
        <w:tabs>
          <w:tab w:leader="none" w:pos="453" w:val="left"/>
        </w:tabs>
        <w:numPr>
          <w:ilvl w:val="0"/>
          <w:numId w:val="81"/>
        </w:numPr>
        <w:rPr>
          <w:rFonts w:ascii="Arial" w:cs="Arial" w:eastAsia="Arial" w:hAnsi="Arial"/>
          <w:sz w:val="14"/>
          <w:szCs w:val="14"/>
          <w:color w:val="0E1020"/>
        </w:rPr>
      </w:pPr>
      <w:r>
        <w:rPr>
          <w:rFonts w:ascii="Arial" w:cs="Arial" w:eastAsia="Arial" w:hAnsi="Arial"/>
          <w:sz w:val="14"/>
          <w:szCs w:val="14"/>
          <w:color w:val="0E1020"/>
        </w:rPr>
        <w:t>Mr. Boville left DXC during fiscal 2026 and his entire fiscal 2026 annual equity grant was canceled, except for pro rata portions based on his full months of service in fiscal 2026, per the severance terms of Mr. Boville’s individual offer letter. Additional details of Mr. Boville’s severance arrangement are provided in the “Potential Payments Upon Change of Control and Termination of Employment” section below in this fiscal 2026 CD&amp;A.</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77</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85" w:name="page86"/>
    <w:bookmarkEnd w:id="85"/>
    <w:p>
      <w:pPr>
        <w:ind w:left="20"/>
        <w:spacing w:after="0"/>
        <w:tabs>
          <w:tab w:leader="none" w:pos="10100" w:val="left"/>
        </w:tabs>
        <w:rPr>
          <w:sz w:val="20"/>
          <w:szCs w:val="20"/>
          <w:color w:val="auto"/>
        </w:rPr>
      </w:pPr>
      <w:r>
        <w:rPr>
          <w:rFonts w:ascii="Arial" w:cs="Arial" w:eastAsia="Arial" w:hAnsi="Arial"/>
          <w:sz w:val="14"/>
          <w:szCs w:val="14"/>
          <w:color w:val="auto"/>
        </w:rPr>
        <w:t>Executive Compensation</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0E1020"/>
        </w:rPr>
        <w:t>In line with DXC’s Equity Grant Policy, the number of PSUs and RSUs granted was calculated by dividing the target dollar amount of each award by the average closing price of DXC stock for the three-month period ending on the grant date. This approach reduces the impact that positive or negative swings in our stock price can have on the executive’s award size. The grant value that appears in the Summary Compensation Table will be different than the executive’s target value set forth above because it is calculated by multiplying the number of target PSUs and RSUs granted by the grant date fair value, which is determined using a Monte Carlo valuation for the PSUs and is determined using the closing price on the date of grant for the RSUs. The actual amount realized will depend on financial and relative stock price performance over the three-year performance period.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0% Vesting of the CEO Fiscal 2024 PSUs</w:t>
      </w:r>
    </w:p>
    <w:p>
      <w:pPr>
        <w:spacing w:after="0" w:line="98"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0E1020"/>
        </w:rPr>
        <w:t>On March 31, 2024, in connection with the finalization of Mr. Fernandez’s Employment Agreement as the full-time President and CEO and in consideration of directly aligning Mr. Fernandez’s long-term incentive opportunity with stockholders’ interests, the Compensation Committee and the Board, in consultation with the independent compensation consultant, granted Mr. Fernandez a 100% performance-based fiscal 2024 annual award. The fiscal 2024 award was based on stock price growth and only would vest upon the achievement of formidable stock price hurdles, as measured at the end of the performance period on March 31, 2026 (the close of DXC’s fiscal 2026), consistent with the timing of the end of the performance period for the fiscal 2024 awards granted to other NEOs.</w:t>
      </w:r>
    </w:p>
    <w:p>
      <w:pPr>
        <w:spacing w:after="0" w:line="283" w:lineRule="exact"/>
        <w:rPr>
          <w:sz w:val="20"/>
          <w:szCs w:val="20"/>
          <w:color w:val="auto"/>
        </w:rPr>
      </w:pPr>
    </w:p>
    <w:p>
      <w:pPr>
        <w:spacing w:after="0" w:line="304" w:lineRule="auto"/>
        <w:rPr>
          <w:sz w:val="20"/>
          <w:szCs w:val="20"/>
          <w:color w:val="auto"/>
        </w:rPr>
      </w:pPr>
      <w:r>
        <w:rPr>
          <w:rFonts w:ascii="Arial" w:cs="Arial" w:eastAsia="Arial" w:hAnsi="Arial"/>
          <w:sz w:val="16"/>
          <w:szCs w:val="16"/>
          <w:u w:val="single" w:color="auto"/>
          <w:color w:val="0E1020"/>
        </w:rPr>
        <w:t>Details of the CEO PSU award</w:t>
      </w:r>
      <w:r>
        <w:rPr>
          <w:rFonts w:ascii="Arial" w:cs="Arial" w:eastAsia="Arial" w:hAnsi="Arial"/>
          <w:sz w:val="16"/>
          <w:szCs w:val="16"/>
          <w:color w:val="0E1020"/>
        </w:rPr>
        <w:t>: The Compensation Committee and the Board approved a grant of 106,666 target PSU shares valued at $2,879,982. The target payout level was approximately 20% of Mr. Fernandez’s fiscal 2025 target annual long-term incentive opportunity, as the Compensation Committee also considered his start date, which was in the latter part of the fiscal 2024 performance year. The PSUs granted to Mr. Fernandez represented the opportunity to earn shares at the end of the two-year performance cycle based on the stock price growth for the performance period.</w:t>
      </w:r>
    </w:p>
    <w:p>
      <w:pPr>
        <w:spacing w:after="0" w:line="6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0E1020"/>
        </w:rPr>
        <w:t>To earn target payout, the highest average closing price for any consecutive 60-day period within the three-month period ending March 31, 2026 would have to equal $27.00, representing approximately 27% total stock price appreciation. The stock price growth rates were relative to the closing price on the last day of fiscal 2024 of $21.21. Vesting ranged from 0% to 250% of the target number of shares of the grant. There was no vesting unless there was an at least approximate 18% absolute stock price appreciation (or average closing price of $25.00), and the vesting is capped at 250% or approximately 41% stock price appreciation (or average closing price of $30.00). Consistent with other NEOs, any such earned shares would be subject to DXC’s rigorous stock ownership guidelines and clawback policy.</w:t>
      </w:r>
    </w:p>
    <w:p>
      <w:pPr>
        <w:spacing w:after="0" w:line="50" w:lineRule="exact"/>
        <w:rPr>
          <w:sz w:val="20"/>
          <w:szCs w:val="20"/>
          <w:color w:val="auto"/>
        </w:rPr>
      </w:pPr>
    </w:p>
    <w:p>
      <w:pPr>
        <w:ind w:right="240"/>
        <w:spacing w:after="0" w:line="335" w:lineRule="auto"/>
        <w:rPr>
          <w:sz w:val="20"/>
          <w:szCs w:val="20"/>
          <w:color w:val="auto"/>
        </w:rPr>
      </w:pPr>
      <w:r>
        <w:rPr>
          <w:rFonts w:ascii="Arial" w:cs="Arial" w:eastAsia="Arial" w:hAnsi="Arial"/>
          <w:sz w:val="16"/>
          <w:szCs w:val="16"/>
          <w:color w:val="0E1020"/>
        </w:rPr>
        <w:t>After the end of the performance period’s close on March 31, 2026, the Compensation Committee made a determination that no PSUs were earned and all granted PSUs were canceled, as the highest achieved average closing price of $14.14 did not meet threshold achievement requirements.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Vesting of Annual Cycle Fiscal 2024 PSUs for other NEOs</w:t>
      </w:r>
    </w:p>
    <w:p>
      <w:pPr>
        <w:spacing w:after="0" w:line="9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0E1020"/>
        </w:rPr>
        <w:t>In fiscal 2024, the Compensation Committee granted PSUs with performance-based vesting requirements for the three-year performance period of fiscal 2024-2026. The PSUs granted to the NEOs represented the opportunity to earn shares at the end of the three-year performance cycle based 50% on cumulative Free Cash Flow (“FCF”) performance and 50% on relative Total Shareholder Return (“rTSR”). For the 50% FCF metric, the NEOs earned PSUs based on the three-year cumulative FCF performance as compared to pre-set targets. For the 50% rTSR metric, the NEOs earned PSUs based on the three-year rTSR performance as compared to a custom peer group.</w:t>
      </w:r>
    </w:p>
    <w:p>
      <w:pPr>
        <w:spacing w:after="0" w:line="62" w:lineRule="exact"/>
        <w:rPr>
          <w:sz w:val="20"/>
          <w:szCs w:val="20"/>
          <w:color w:val="auto"/>
        </w:rPr>
      </w:pPr>
    </w:p>
    <w:p>
      <w:pPr>
        <w:ind w:right="400"/>
        <w:spacing w:after="0" w:line="307" w:lineRule="auto"/>
        <w:rPr>
          <w:sz w:val="20"/>
          <w:szCs w:val="20"/>
          <w:color w:val="auto"/>
        </w:rPr>
      </w:pPr>
      <w:r>
        <w:rPr>
          <w:rFonts w:ascii="Arial" w:cs="Arial" w:eastAsia="Arial" w:hAnsi="Arial"/>
          <w:sz w:val="16"/>
          <w:szCs w:val="16"/>
          <w:color w:val="0E1020"/>
        </w:rPr>
        <w:t>The FCF performance levels set by the Compensation Committee reflected rigorous cumulative three-year growth rates, over the most recent completed three-year fiscal year FCF performance (fiscal 2021-2023) at the time of the fiscal 2024 PSUs grant date in May 2023, which was used as a baseline to establish a 3-year cumulative FCF performance comparison of $828,000,000 in setting the target growth rates.</w:t>
      </w:r>
    </w:p>
    <w:p>
      <w:pPr>
        <w:spacing w:after="0" w:line="58"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0E1020"/>
        </w:rPr>
        <w:t>More specifically, the FCF target performance level of $1,670,000,000 required an approximate cumulative growth rate of a rigorous 102% over the prior three-year period. The threshold performance level of $1,330,000,000 required approximately a 61% total cumulative growth rate, below which there would be no payout. PSU payouts based on the 50% FCF metric ranged from 0% to 200% of one-half of the target number of shares of the fiscal 2024 PSU grant, with the 200% vesting maximum performance level of $2,000,000,000 representing a cumulative growth rate of approximately 142%.</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78</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86" w:name="page87"/>
    <w:bookmarkEnd w:id="86"/>
    <w:p>
      <w:pPr>
        <w:ind w:left="20"/>
        <w:spacing w:after="0"/>
        <w:tabs>
          <w:tab w:leader="none" w:pos="962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auto"/>
        </w:rPr>
        <w:t>Executive Compensation</w:t>
      </w:r>
    </w:p>
    <w:p>
      <w:pPr>
        <w:spacing w:after="0" w:line="200" w:lineRule="exact"/>
        <w:rPr>
          <w:sz w:val="20"/>
          <w:szCs w:val="20"/>
          <w:color w:val="auto"/>
        </w:rPr>
      </w:pPr>
    </w:p>
    <w:p>
      <w:pPr>
        <w:spacing w:after="0" w:line="358" w:lineRule="exact"/>
        <w:rPr>
          <w:sz w:val="20"/>
          <w:szCs w:val="20"/>
          <w:color w:val="auto"/>
        </w:rPr>
      </w:pPr>
    </w:p>
    <w:p>
      <w:pPr>
        <w:ind w:right="100"/>
        <w:spacing w:after="0" w:line="316" w:lineRule="auto"/>
        <w:rPr>
          <w:sz w:val="20"/>
          <w:szCs w:val="20"/>
          <w:color w:val="auto"/>
        </w:rPr>
      </w:pPr>
      <w:r>
        <w:rPr>
          <w:rFonts w:ascii="Arial" w:cs="Arial" w:eastAsia="Arial" w:hAnsi="Arial"/>
          <w:sz w:val="16"/>
          <w:szCs w:val="16"/>
          <w:color w:val="0E1020"/>
        </w:rPr>
        <w:t>After the end of the three-year period, the Compensation Committee determined that based on the cumulative FCF performance of $2,156,000,000, the 50% portion of the fiscal 2024 PSUs based on the performance of the FCF metric earned at 200% of target, with an achieved cumulative FCF growth rate of approximately 160%, as compared to the above-noted three-year comparator cumulative FCF.</w:t>
      </w:r>
    </w:p>
    <w:p>
      <w:pPr>
        <w:spacing w:after="0" w:line="3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0E1020"/>
        </w:rPr>
        <w:t>For the 50% portion of the fiscal 2024 PSUs based on the rTSR metric, the three-year target performance level was set at the 50th percentile of the rTSR peer group. The threshold performance level was set at the 25th percentile and maximum performance level was set at the 75th percentile of the rTSR peer group. PSU payouts based on the 50% rTSR metric ranged from 0% to 200% of one-half of the target number of shares of the fiscal 2024 PSU grant. DXC’s three-year TSR performance of -50.88% was compared against the custom group of peers and calculated to be at the 6th percentile of the rTSR peer group, which was below the threshold payout performance. As such, there was no payout of shares of the fiscal 2024 PSUs based on the rTSR metric.*</w:t>
      </w:r>
    </w:p>
    <w:p>
      <w:pPr>
        <w:spacing w:after="0" w:line="62" w:lineRule="exact"/>
        <w:rPr>
          <w:sz w:val="20"/>
          <w:szCs w:val="20"/>
          <w:color w:val="auto"/>
        </w:rPr>
      </w:pPr>
    </w:p>
    <w:p>
      <w:pPr>
        <w:ind w:right="240"/>
        <w:spacing w:after="0" w:line="318" w:lineRule="auto"/>
        <w:rPr>
          <w:sz w:val="20"/>
          <w:szCs w:val="20"/>
          <w:color w:val="auto"/>
        </w:rPr>
      </w:pPr>
      <w:r>
        <w:rPr>
          <w:rFonts w:ascii="Arial" w:cs="Arial" w:eastAsia="Arial" w:hAnsi="Arial"/>
          <w:sz w:val="16"/>
          <w:szCs w:val="16"/>
          <w:color w:val="0E1020"/>
        </w:rPr>
        <w:t>In addition, the closing stock price on the settlement date of May 15, 2026 for the fiscal 2024 PSUs was 36% of the grant date stock price, further reflecting executive performance-based realized pay aligning with our stockholder experience over the three-year performance period.</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0E1020"/>
        </w:rPr>
        <w:t>Also, our NEOs are subject to rigorous stock ownership guidelines in order to further align their interests with the long-term interests of our stockholders.</w:t>
      </w:r>
    </w:p>
    <w:p>
      <w:pPr>
        <w:spacing w:after="0" w:line="116" w:lineRule="exact"/>
        <w:rPr>
          <w:sz w:val="20"/>
          <w:szCs w:val="20"/>
          <w:color w:val="auto"/>
        </w:rPr>
      </w:pPr>
    </w:p>
    <w:p>
      <w:pPr>
        <w:ind w:left="480" w:right="20" w:hanging="312"/>
        <w:spacing w:after="0" w:line="262" w:lineRule="auto"/>
        <w:tabs>
          <w:tab w:leader="none" w:pos="455" w:val="left"/>
        </w:tabs>
        <w:numPr>
          <w:ilvl w:val="0"/>
          <w:numId w:val="82"/>
        </w:numPr>
        <w:rPr>
          <w:rFonts w:ascii="Arial" w:cs="Arial" w:eastAsia="Arial" w:hAnsi="Arial"/>
          <w:sz w:val="14"/>
          <w:szCs w:val="14"/>
          <w:color w:val="0E1020"/>
        </w:rPr>
      </w:pPr>
      <w:r>
        <w:rPr>
          <w:rFonts w:ascii="Arial" w:cs="Arial" w:eastAsia="Arial" w:hAnsi="Arial"/>
          <w:sz w:val="14"/>
          <w:szCs w:val="14"/>
          <w:color w:val="0E1020"/>
        </w:rPr>
        <w:t>rTSR was calculated as the Company’s Total Shareholder Return (“TSR”) for the fiscal 2024 PSU performance period (4/1/2023 - 3/31/2026), in relation to the TSRs of the companies that were members of the comparison peer group described below. TSR means the difference between (i) the average price of a share of the relevant company’s stock during the 20 trading days immediately preceding and including the start date of the performance period and (ii) the average price of a share of the same company’s stock during the last 20 trading days of the performance period, plus the value of gross dividends paid as if reinvested in the relevant company’s stock on the ex-dividend date and other appropriate adjustments for such events as stock splits. The fiscal 2024 rTSR peer group consisted of the seven companies in the S&amp;P 500 IT Services Index as of April 1, 2023 (the start of the three-year performance period), plus a custom peer set of eighteen companies that DXC either (1) competes with for business and capital or (2) were formerly in the S&amp;P 500 IT Services Index the prior fiscal year and maintained in the relative TSR peer group for program continuity (VMware, Inc. was removed from the rTSR peer group upon its acquisition by Broadcom Inc. in November 2023).</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0E1020"/>
        </w:rPr>
        <w:t>Based on these performance results, the NEOs earned PSUs in respect of their fiscal 2024 PSU grants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00" w:type="dxa"/>
            <w:vAlign w:val="bottom"/>
            <w:shd w:val="clear" w:color="auto" w:fill="F6F3F0"/>
          </w:tcPr>
          <w:p>
            <w:pPr>
              <w:spacing w:after="0"/>
              <w:rPr>
                <w:sz w:val="21"/>
                <w:szCs w:val="21"/>
                <w:color w:val="auto"/>
              </w:rPr>
            </w:pPr>
          </w:p>
        </w:tc>
        <w:tc>
          <w:tcPr>
            <w:tcW w:w="1320" w:type="dxa"/>
            <w:vAlign w:val="bottom"/>
            <w:vMerge w:val="restart"/>
            <w:shd w:val="clear" w:color="auto" w:fill="F6F3F0"/>
          </w:tcPr>
          <w:p>
            <w:pPr>
              <w:jc w:val="right"/>
              <w:spacing w:after="0"/>
              <w:rPr>
                <w:sz w:val="20"/>
                <w:szCs w:val="20"/>
                <w:color w:val="auto"/>
              </w:rPr>
            </w:pPr>
            <w:r>
              <w:rPr>
                <w:rFonts w:ascii="Arial" w:cs="Arial" w:eastAsia="Arial" w:hAnsi="Arial"/>
                <w:sz w:val="14"/>
                <w:szCs w:val="14"/>
                <w:b w:val="1"/>
                <w:bCs w:val="1"/>
                <w:color w:val="0E1020"/>
              </w:rPr>
              <w:t>Target FCF PSUs</w:t>
            </w:r>
          </w:p>
        </w:tc>
        <w:tc>
          <w:tcPr>
            <w:tcW w:w="1840" w:type="dxa"/>
            <w:vAlign w:val="bottom"/>
            <w:shd w:val="clear" w:color="auto" w:fill="F6F3F0"/>
          </w:tcPr>
          <w:p>
            <w:pPr>
              <w:jc w:val="right"/>
              <w:ind w:right="309"/>
              <w:spacing w:after="0"/>
              <w:rPr>
                <w:sz w:val="20"/>
                <w:szCs w:val="20"/>
                <w:color w:val="auto"/>
              </w:rPr>
            </w:pPr>
            <w:r>
              <w:rPr>
                <w:rFonts w:ascii="Arial" w:cs="Arial" w:eastAsia="Arial" w:hAnsi="Arial"/>
                <w:sz w:val="14"/>
                <w:szCs w:val="14"/>
                <w:b w:val="1"/>
                <w:bCs w:val="1"/>
                <w:color w:val="0E1020"/>
              </w:rPr>
              <w:t>FCF PSUs Award</w:t>
            </w:r>
          </w:p>
        </w:tc>
        <w:tc>
          <w:tcPr>
            <w:tcW w:w="1220" w:type="dxa"/>
            <w:vAlign w:val="bottom"/>
            <w:shd w:val="clear" w:color="auto" w:fill="F6F3F0"/>
          </w:tcPr>
          <w:p>
            <w:pPr>
              <w:jc w:val="right"/>
              <w:ind w:right="49"/>
              <w:spacing w:after="0"/>
              <w:rPr>
                <w:sz w:val="20"/>
                <w:szCs w:val="20"/>
                <w:color w:val="auto"/>
              </w:rPr>
            </w:pPr>
            <w:r>
              <w:rPr>
                <w:rFonts w:ascii="Arial" w:cs="Arial" w:eastAsia="Arial" w:hAnsi="Arial"/>
                <w:sz w:val="14"/>
                <w:szCs w:val="14"/>
                <w:b w:val="1"/>
                <w:bCs w:val="1"/>
                <w:color w:val="0E1020"/>
              </w:rPr>
              <w:t>Earned</w:t>
            </w:r>
          </w:p>
        </w:tc>
        <w:tc>
          <w:tcPr>
            <w:tcW w:w="1480" w:type="dxa"/>
            <w:vAlign w:val="bottom"/>
            <w:vMerge w:val="restart"/>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Target rTSR PSUs</w:t>
            </w:r>
          </w:p>
        </w:tc>
        <w:tc>
          <w:tcPr>
            <w:tcW w:w="1700" w:type="dxa"/>
            <w:vAlign w:val="bottom"/>
            <w:shd w:val="clear" w:color="auto" w:fill="F6F3F0"/>
          </w:tcPr>
          <w:p>
            <w:pPr>
              <w:jc w:val="right"/>
              <w:ind w:right="289"/>
              <w:spacing w:after="0"/>
              <w:rPr>
                <w:sz w:val="20"/>
                <w:szCs w:val="20"/>
                <w:color w:val="auto"/>
              </w:rPr>
            </w:pPr>
            <w:r>
              <w:rPr>
                <w:rFonts w:ascii="Arial" w:cs="Arial" w:eastAsia="Arial" w:hAnsi="Arial"/>
                <w:sz w:val="14"/>
                <w:szCs w:val="14"/>
                <w:b w:val="1"/>
                <w:bCs w:val="1"/>
                <w:color w:val="0E1020"/>
              </w:rPr>
              <w:t>rTSR PSUs Award</w:t>
            </w:r>
          </w:p>
        </w:tc>
        <w:tc>
          <w:tcPr>
            <w:tcW w:w="1280" w:type="dxa"/>
            <w:vAlign w:val="bottom"/>
            <w:gridSpan w:val="2"/>
            <w:shd w:val="clear" w:color="auto" w:fill="F6F3F0"/>
          </w:tcPr>
          <w:p>
            <w:pPr>
              <w:jc w:val="right"/>
              <w:ind w:right="160"/>
              <w:spacing w:after="0"/>
              <w:rPr>
                <w:sz w:val="20"/>
                <w:szCs w:val="20"/>
                <w:color w:val="auto"/>
              </w:rPr>
            </w:pPr>
            <w:r>
              <w:rPr>
                <w:rFonts w:ascii="Arial" w:cs="Arial" w:eastAsia="Arial" w:hAnsi="Arial"/>
                <w:sz w:val="14"/>
                <w:szCs w:val="14"/>
                <w:b w:val="1"/>
                <w:bCs w:val="1"/>
                <w:color w:val="0E1020"/>
              </w:rPr>
              <w:t>Earned</w:t>
            </w:r>
          </w:p>
        </w:tc>
        <w:tc>
          <w:tcPr>
            <w:tcW w:w="0" w:type="dxa"/>
            <w:vAlign w:val="bottom"/>
          </w:tcPr>
          <w:p>
            <w:pPr>
              <w:spacing w:after="0"/>
              <w:rPr>
                <w:sz w:val="1"/>
                <w:szCs w:val="1"/>
                <w:color w:val="auto"/>
              </w:rPr>
            </w:pPr>
          </w:p>
        </w:tc>
      </w:tr>
      <w:tr>
        <w:trPr>
          <w:trHeight w:val="161"/>
        </w:trPr>
        <w:tc>
          <w:tcPr>
            <w:tcW w:w="2400" w:type="dxa"/>
            <w:vAlign w:val="bottom"/>
            <w:vMerge w:val="restart"/>
            <w:shd w:val="clear" w:color="auto" w:fill="F6F3F0"/>
          </w:tcPr>
          <w:p>
            <w:pPr>
              <w:ind w:left="100"/>
              <w:spacing w:after="0"/>
              <w:rPr>
                <w:sz w:val="20"/>
                <w:szCs w:val="20"/>
                <w:color w:val="auto"/>
              </w:rPr>
            </w:pPr>
            <w:r>
              <w:rPr>
                <w:rFonts w:ascii="Arial" w:cs="Arial" w:eastAsia="Arial" w:hAnsi="Arial"/>
                <w:sz w:val="14"/>
                <w:szCs w:val="14"/>
                <w:b w:val="1"/>
                <w:bCs w:val="1"/>
                <w:color w:val="0E1020"/>
              </w:rPr>
              <w:t>NEO</w:t>
            </w:r>
            <w:r>
              <w:rPr>
                <w:rFonts w:ascii="Arial" w:cs="Arial" w:eastAsia="Arial" w:hAnsi="Arial"/>
                <w:sz w:val="18"/>
                <w:szCs w:val="18"/>
                <w:b w:val="1"/>
                <w:bCs w:val="1"/>
                <w:color w:val="0E1020"/>
                <w:vertAlign w:val="superscript"/>
              </w:rPr>
              <w:t>(1)</w:t>
            </w:r>
          </w:p>
        </w:tc>
        <w:tc>
          <w:tcPr>
            <w:tcW w:w="1320" w:type="dxa"/>
            <w:vAlign w:val="bottom"/>
            <w:vMerge w:val="continue"/>
            <w:shd w:val="clear" w:color="auto" w:fill="F6F3F0"/>
          </w:tcPr>
          <w:p>
            <w:pPr>
              <w:spacing w:after="0"/>
              <w:rPr>
                <w:sz w:val="13"/>
                <w:szCs w:val="13"/>
                <w:color w:val="auto"/>
              </w:rPr>
            </w:pPr>
          </w:p>
        </w:tc>
        <w:tc>
          <w:tcPr>
            <w:tcW w:w="1840" w:type="dxa"/>
            <w:vAlign w:val="bottom"/>
            <w:shd w:val="clear" w:color="auto" w:fill="F6F3F0"/>
          </w:tcPr>
          <w:p>
            <w:pPr>
              <w:jc w:val="right"/>
              <w:ind w:right="309"/>
              <w:spacing w:after="0"/>
              <w:rPr>
                <w:sz w:val="20"/>
                <w:szCs w:val="20"/>
                <w:color w:val="auto"/>
              </w:rPr>
            </w:pPr>
            <w:r>
              <w:rPr>
                <w:rFonts w:ascii="Arial" w:cs="Arial" w:eastAsia="Arial" w:hAnsi="Arial"/>
                <w:sz w:val="14"/>
                <w:szCs w:val="14"/>
                <w:b w:val="1"/>
                <w:bCs w:val="1"/>
                <w:color w:val="0E1020"/>
              </w:rPr>
              <w:t>Achievement</w:t>
            </w:r>
          </w:p>
        </w:tc>
        <w:tc>
          <w:tcPr>
            <w:tcW w:w="1220" w:type="dxa"/>
            <w:vAlign w:val="bottom"/>
            <w:shd w:val="clear" w:color="auto" w:fill="F6F3F0"/>
          </w:tcPr>
          <w:p>
            <w:pPr>
              <w:jc w:val="right"/>
              <w:ind w:right="49"/>
              <w:spacing w:after="0"/>
              <w:rPr>
                <w:sz w:val="20"/>
                <w:szCs w:val="20"/>
                <w:color w:val="auto"/>
              </w:rPr>
            </w:pPr>
            <w:r>
              <w:rPr>
                <w:rFonts w:ascii="Arial" w:cs="Arial" w:eastAsia="Arial" w:hAnsi="Arial"/>
                <w:sz w:val="14"/>
                <w:szCs w:val="14"/>
                <w:b w:val="1"/>
                <w:bCs w:val="1"/>
                <w:color w:val="0E1020"/>
              </w:rPr>
              <w:t>FCF PSUs</w:t>
            </w:r>
          </w:p>
        </w:tc>
        <w:tc>
          <w:tcPr>
            <w:tcW w:w="1480" w:type="dxa"/>
            <w:vAlign w:val="bottom"/>
            <w:vMerge w:val="continue"/>
            <w:shd w:val="clear" w:color="auto" w:fill="F6F3F0"/>
          </w:tcPr>
          <w:p>
            <w:pPr>
              <w:spacing w:after="0"/>
              <w:rPr>
                <w:sz w:val="13"/>
                <w:szCs w:val="13"/>
                <w:color w:val="auto"/>
              </w:rPr>
            </w:pPr>
          </w:p>
        </w:tc>
        <w:tc>
          <w:tcPr>
            <w:tcW w:w="1700" w:type="dxa"/>
            <w:vAlign w:val="bottom"/>
            <w:shd w:val="clear" w:color="auto" w:fill="F6F3F0"/>
          </w:tcPr>
          <w:p>
            <w:pPr>
              <w:jc w:val="right"/>
              <w:ind w:right="289"/>
              <w:spacing w:after="0"/>
              <w:rPr>
                <w:sz w:val="20"/>
                <w:szCs w:val="20"/>
                <w:color w:val="auto"/>
              </w:rPr>
            </w:pPr>
            <w:r>
              <w:rPr>
                <w:rFonts w:ascii="Arial" w:cs="Arial" w:eastAsia="Arial" w:hAnsi="Arial"/>
                <w:sz w:val="14"/>
                <w:szCs w:val="14"/>
                <w:b w:val="1"/>
                <w:bCs w:val="1"/>
                <w:color w:val="0E1020"/>
              </w:rPr>
              <w:t>Achievement</w:t>
            </w:r>
          </w:p>
        </w:tc>
        <w:tc>
          <w:tcPr>
            <w:tcW w:w="1280" w:type="dxa"/>
            <w:vAlign w:val="bottom"/>
            <w:gridSpan w:val="2"/>
            <w:shd w:val="clear" w:color="auto" w:fill="F6F3F0"/>
          </w:tcPr>
          <w:p>
            <w:pPr>
              <w:jc w:val="right"/>
              <w:ind w:right="160"/>
              <w:spacing w:after="0"/>
              <w:rPr>
                <w:sz w:val="20"/>
                <w:szCs w:val="20"/>
                <w:color w:val="auto"/>
              </w:rPr>
            </w:pPr>
            <w:r>
              <w:rPr>
                <w:rFonts w:ascii="Arial" w:cs="Arial" w:eastAsia="Arial" w:hAnsi="Arial"/>
                <w:sz w:val="14"/>
                <w:szCs w:val="14"/>
                <w:b w:val="1"/>
                <w:bCs w:val="1"/>
                <w:color w:val="0E1020"/>
              </w:rPr>
              <w:t>rTSR PSUs</w:t>
            </w:r>
          </w:p>
        </w:tc>
        <w:tc>
          <w:tcPr>
            <w:tcW w:w="0" w:type="dxa"/>
            <w:vAlign w:val="bottom"/>
          </w:tcPr>
          <w:p>
            <w:pPr>
              <w:spacing w:after="0"/>
              <w:rPr>
                <w:sz w:val="1"/>
                <w:szCs w:val="1"/>
                <w:color w:val="auto"/>
              </w:rPr>
            </w:pPr>
          </w:p>
        </w:tc>
      </w:tr>
      <w:tr>
        <w:trPr>
          <w:trHeight w:val="264"/>
        </w:trPr>
        <w:tc>
          <w:tcPr>
            <w:tcW w:w="2400" w:type="dxa"/>
            <w:vAlign w:val="bottom"/>
            <w:tcBorders>
              <w:bottom w:val="single" w:sz="8" w:color="F6F3F0"/>
            </w:tcBorders>
            <w:vMerge w:val="continue"/>
            <w:shd w:val="clear" w:color="auto" w:fill="F6F3F0"/>
          </w:tcPr>
          <w:p>
            <w:pPr>
              <w:spacing w:after="0"/>
              <w:rPr>
                <w:sz w:val="22"/>
                <w:szCs w:val="22"/>
                <w:color w:val="auto"/>
              </w:rPr>
            </w:pPr>
          </w:p>
        </w:tc>
        <w:tc>
          <w:tcPr>
            <w:tcW w:w="132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1840" w:type="dxa"/>
            <w:vAlign w:val="bottom"/>
            <w:tcBorders>
              <w:bottom w:val="single" w:sz="8" w:color="F6F3F0"/>
            </w:tcBorders>
            <w:shd w:val="clear" w:color="auto" w:fill="F6F3F0"/>
          </w:tcPr>
          <w:p>
            <w:pPr>
              <w:jc w:val="right"/>
              <w:ind w:right="309"/>
              <w:spacing w:after="0"/>
              <w:rPr>
                <w:sz w:val="20"/>
                <w:szCs w:val="20"/>
                <w:color w:val="auto"/>
              </w:rPr>
            </w:pPr>
            <w:r>
              <w:rPr>
                <w:rFonts w:ascii="Arial" w:cs="Arial" w:eastAsia="Arial" w:hAnsi="Arial"/>
                <w:sz w:val="14"/>
                <w:szCs w:val="14"/>
                <w:b w:val="1"/>
                <w:bCs w:val="1"/>
                <w:color w:val="0E1020"/>
              </w:rPr>
              <w:t>(%)</w:t>
            </w:r>
          </w:p>
        </w:tc>
        <w:tc>
          <w:tcPr>
            <w:tcW w:w="1220" w:type="dxa"/>
            <w:vAlign w:val="bottom"/>
            <w:tcBorders>
              <w:bottom w:val="single" w:sz="8" w:color="F6F3F0"/>
            </w:tcBorders>
            <w:shd w:val="clear" w:color="auto" w:fill="F6F3F0"/>
          </w:tcPr>
          <w:p>
            <w:pPr>
              <w:jc w:val="right"/>
              <w:ind w:right="49"/>
              <w:spacing w:after="0"/>
              <w:rPr>
                <w:sz w:val="20"/>
                <w:szCs w:val="20"/>
                <w:color w:val="auto"/>
              </w:rPr>
            </w:pPr>
            <w:r>
              <w:rPr>
                <w:rFonts w:ascii="Arial" w:cs="Arial" w:eastAsia="Arial" w:hAnsi="Arial"/>
                <w:sz w:val="14"/>
                <w:szCs w:val="14"/>
                <w:b w:val="1"/>
                <w:bCs w:val="1"/>
                <w:color w:val="0E1020"/>
              </w:rPr>
              <w:t>(#)</w:t>
            </w:r>
          </w:p>
        </w:tc>
        <w:tc>
          <w:tcPr>
            <w:tcW w:w="1480" w:type="dxa"/>
            <w:vAlign w:val="bottom"/>
            <w:tcBorders>
              <w:bottom w:val="single" w:sz="8" w:color="F6F3F0"/>
            </w:tcBorders>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w:t>
            </w:r>
          </w:p>
        </w:tc>
        <w:tc>
          <w:tcPr>
            <w:tcW w:w="1700" w:type="dxa"/>
            <w:vAlign w:val="bottom"/>
            <w:tcBorders>
              <w:bottom w:val="single" w:sz="8" w:color="F6F3F0"/>
            </w:tcBorders>
            <w:shd w:val="clear" w:color="auto" w:fill="F6F3F0"/>
          </w:tcPr>
          <w:p>
            <w:pPr>
              <w:jc w:val="right"/>
              <w:ind w:right="289"/>
              <w:spacing w:after="0"/>
              <w:rPr>
                <w:sz w:val="20"/>
                <w:szCs w:val="20"/>
                <w:color w:val="auto"/>
              </w:rPr>
            </w:pPr>
            <w:r>
              <w:rPr>
                <w:rFonts w:ascii="Arial" w:cs="Arial" w:eastAsia="Arial" w:hAnsi="Arial"/>
                <w:sz w:val="14"/>
                <w:szCs w:val="14"/>
                <w:b w:val="1"/>
                <w:bCs w:val="1"/>
                <w:color w:val="0E1020"/>
              </w:rPr>
              <w:t>(%)</w:t>
            </w:r>
          </w:p>
        </w:tc>
        <w:tc>
          <w:tcPr>
            <w:tcW w:w="114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140" w:type="dxa"/>
            <w:vAlign w:val="bottom"/>
            <w:tcBorders>
              <w:bottom w:val="single" w:sz="8" w:color="F6F3F0"/>
            </w:tcBorders>
            <w:shd w:val="clear" w:color="auto" w:fill="F6F3F0"/>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400" w:type="dxa"/>
            <w:vAlign w:val="bottom"/>
            <w:tcBorders>
              <w:top w:val="single" w:sz="8" w:color="CFCFD2"/>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Robert Del Bene</w:t>
            </w:r>
            <w:r>
              <w:rPr>
                <w:rFonts w:ascii="Arial" w:cs="Arial" w:eastAsia="Arial" w:hAnsi="Arial"/>
                <w:sz w:val="18"/>
                <w:szCs w:val="18"/>
                <w:b w:val="1"/>
                <w:bCs w:val="1"/>
                <w:color w:val="004AAC"/>
                <w:vertAlign w:val="superscript"/>
              </w:rPr>
              <w:t>(2)</w:t>
            </w:r>
          </w:p>
        </w:tc>
        <w:tc>
          <w:tcPr>
            <w:tcW w:w="1320" w:type="dxa"/>
            <w:vAlign w:val="bottom"/>
            <w:tcBorders>
              <w:top w:val="single" w:sz="8" w:color="CFCFD2"/>
              <w:bottom w:val="single" w:sz="8" w:color="CFCFD2"/>
            </w:tcBorders>
          </w:tcPr>
          <w:p>
            <w:pPr>
              <w:jc w:val="right"/>
              <w:spacing w:after="0"/>
              <w:rPr>
                <w:sz w:val="20"/>
                <w:szCs w:val="20"/>
                <w:color w:val="auto"/>
              </w:rPr>
            </w:pPr>
            <w:r>
              <w:rPr>
                <w:rFonts w:ascii="Arial" w:cs="Arial" w:eastAsia="Arial" w:hAnsi="Arial"/>
                <w:sz w:val="14"/>
                <w:szCs w:val="14"/>
                <w:color w:val="0E1020"/>
              </w:rPr>
              <w:t>32,302</w:t>
            </w:r>
          </w:p>
        </w:tc>
        <w:tc>
          <w:tcPr>
            <w:tcW w:w="1840" w:type="dxa"/>
            <w:vAlign w:val="bottom"/>
            <w:tcBorders>
              <w:top w:val="single" w:sz="8" w:color="CFCFD2"/>
              <w:bottom w:val="single" w:sz="8" w:color="CFCFD2"/>
            </w:tcBorders>
          </w:tcPr>
          <w:p>
            <w:pPr>
              <w:jc w:val="right"/>
              <w:ind w:right="309"/>
              <w:spacing w:after="0"/>
              <w:rPr>
                <w:sz w:val="20"/>
                <w:szCs w:val="20"/>
                <w:color w:val="auto"/>
              </w:rPr>
            </w:pPr>
            <w:r>
              <w:rPr>
                <w:rFonts w:ascii="Arial" w:cs="Arial" w:eastAsia="Arial" w:hAnsi="Arial"/>
                <w:sz w:val="14"/>
                <w:szCs w:val="14"/>
                <w:color w:val="0E1020"/>
              </w:rPr>
              <w:t>200%</w:t>
            </w:r>
          </w:p>
        </w:tc>
        <w:tc>
          <w:tcPr>
            <w:tcW w:w="1220" w:type="dxa"/>
            <w:vAlign w:val="bottom"/>
            <w:tcBorders>
              <w:top w:val="single" w:sz="8" w:color="CFCFD2"/>
              <w:bottom w:val="single" w:sz="8" w:color="CFCFD2"/>
            </w:tcBorders>
          </w:tcPr>
          <w:p>
            <w:pPr>
              <w:jc w:val="right"/>
              <w:ind w:right="109"/>
              <w:spacing w:after="0"/>
              <w:rPr>
                <w:sz w:val="20"/>
                <w:szCs w:val="20"/>
                <w:color w:val="auto"/>
              </w:rPr>
            </w:pPr>
            <w:r>
              <w:rPr>
                <w:rFonts w:ascii="Arial" w:cs="Arial" w:eastAsia="Arial" w:hAnsi="Arial"/>
                <w:sz w:val="14"/>
                <w:szCs w:val="14"/>
                <w:color w:val="0E1020"/>
              </w:rPr>
              <w:t>64,604</w:t>
            </w:r>
          </w:p>
        </w:tc>
        <w:tc>
          <w:tcPr>
            <w:tcW w:w="1480" w:type="dxa"/>
            <w:vAlign w:val="bottom"/>
            <w:tcBorders>
              <w:top w:val="single" w:sz="8" w:color="CFCFD2"/>
              <w:bottom w:val="single" w:sz="8" w:color="CFCFD2"/>
            </w:tcBorders>
          </w:tcPr>
          <w:p>
            <w:pPr>
              <w:jc w:val="right"/>
              <w:ind w:right="69"/>
              <w:spacing w:after="0"/>
              <w:rPr>
                <w:sz w:val="20"/>
                <w:szCs w:val="20"/>
                <w:color w:val="auto"/>
              </w:rPr>
            </w:pPr>
            <w:r>
              <w:rPr>
                <w:rFonts w:ascii="Arial" w:cs="Arial" w:eastAsia="Arial" w:hAnsi="Arial"/>
                <w:sz w:val="14"/>
                <w:szCs w:val="14"/>
                <w:color w:val="0E1020"/>
              </w:rPr>
              <w:t>32,302</w:t>
            </w:r>
          </w:p>
        </w:tc>
        <w:tc>
          <w:tcPr>
            <w:tcW w:w="1700" w:type="dxa"/>
            <w:vAlign w:val="bottom"/>
            <w:tcBorders>
              <w:top w:val="single" w:sz="8" w:color="CFCFD2"/>
              <w:bottom w:val="single" w:sz="8" w:color="CFCFD2"/>
            </w:tcBorders>
          </w:tcPr>
          <w:p>
            <w:pPr>
              <w:jc w:val="right"/>
              <w:ind w:right="289"/>
              <w:spacing w:after="0"/>
              <w:rPr>
                <w:sz w:val="20"/>
                <w:szCs w:val="20"/>
                <w:color w:val="auto"/>
              </w:rPr>
            </w:pPr>
            <w:r>
              <w:rPr>
                <w:rFonts w:ascii="Arial" w:cs="Arial" w:eastAsia="Arial" w:hAnsi="Arial"/>
                <w:sz w:val="14"/>
                <w:szCs w:val="14"/>
                <w:color w:val="0E1020"/>
              </w:rPr>
              <w:t>0%</w:t>
            </w:r>
          </w:p>
        </w:tc>
        <w:tc>
          <w:tcPr>
            <w:tcW w:w="1280" w:type="dxa"/>
            <w:vAlign w:val="bottom"/>
            <w:tcBorders>
              <w:top w:val="single" w:sz="8" w:color="CFCFD2"/>
              <w:bottom w:val="single" w:sz="8" w:color="CFCFD2"/>
            </w:tcBorders>
            <w:gridSpan w:val="2"/>
          </w:tcPr>
          <w:p>
            <w:pPr>
              <w:ind w:left="920"/>
              <w:spacing w:after="0"/>
              <w:rPr>
                <w:sz w:val="20"/>
                <w:szCs w:val="20"/>
                <w:color w:val="auto"/>
              </w:rPr>
            </w:pPr>
            <w:r>
              <w:rPr>
                <w:rFonts w:ascii="Arial" w:cs="Arial" w:eastAsia="Arial" w:hAnsi="Arial"/>
                <w:sz w:val="14"/>
                <w:szCs w:val="14"/>
                <w:color w:val="0E1020"/>
              </w:rPr>
              <w:t>—</w:t>
            </w:r>
          </w:p>
        </w:tc>
        <w:tc>
          <w:tcPr>
            <w:tcW w:w="0" w:type="dxa"/>
            <w:vAlign w:val="bottom"/>
          </w:tcPr>
          <w:p>
            <w:pPr>
              <w:spacing w:after="0"/>
              <w:rPr>
                <w:sz w:val="1"/>
                <w:szCs w:val="1"/>
                <w:color w:val="auto"/>
              </w:rPr>
            </w:pPr>
          </w:p>
        </w:tc>
      </w:tr>
      <w:tr>
        <w:trPr>
          <w:trHeight w:val="215"/>
        </w:trPr>
        <w:tc>
          <w:tcPr>
            <w:tcW w:w="240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Christopher Drumgoole</w:t>
            </w:r>
          </w:p>
        </w:tc>
        <w:tc>
          <w:tcPr>
            <w:tcW w:w="132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42,597</w:t>
            </w:r>
          </w:p>
        </w:tc>
        <w:tc>
          <w:tcPr>
            <w:tcW w:w="1840" w:type="dxa"/>
            <w:vAlign w:val="bottom"/>
            <w:tcBorders>
              <w:bottom w:val="single" w:sz="8" w:color="CFCFD2"/>
            </w:tcBorders>
          </w:tcPr>
          <w:p>
            <w:pPr>
              <w:jc w:val="right"/>
              <w:ind w:right="309"/>
              <w:spacing w:after="0"/>
              <w:rPr>
                <w:sz w:val="20"/>
                <w:szCs w:val="20"/>
                <w:color w:val="auto"/>
              </w:rPr>
            </w:pPr>
            <w:r>
              <w:rPr>
                <w:rFonts w:ascii="Arial" w:cs="Arial" w:eastAsia="Arial" w:hAnsi="Arial"/>
                <w:sz w:val="14"/>
                <w:szCs w:val="14"/>
                <w:color w:val="0E1020"/>
              </w:rPr>
              <w:t>200%</w:t>
            </w:r>
          </w:p>
        </w:tc>
        <w:tc>
          <w:tcPr>
            <w:tcW w:w="1220" w:type="dxa"/>
            <w:vAlign w:val="bottom"/>
            <w:tcBorders>
              <w:bottom w:val="single" w:sz="8" w:color="CFCFD2"/>
            </w:tcBorders>
          </w:tcPr>
          <w:p>
            <w:pPr>
              <w:jc w:val="right"/>
              <w:ind w:right="109"/>
              <w:spacing w:after="0"/>
              <w:rPr>
                <w:sz w:val="20"/>
                <w:szCs w:val="20"/>
                <w:color w:val="auto"/>
              </w:rPr>
            </w:pPr>
            <w:r>
              <w:rPr>
                <w:rFonts w:ascii="Arial" w:cs="Arial" w:eastAsia="Arial" w:hAnsi="Arial"/>
                <w:sz w:val="14"/>
                <w:szCs w:val="14"/>
                <w:color w:val="0E1020"/>
              </w:rPr>
              <w:t>85,194</w:t>
            </w:r>
          </w:p>
        </w:tc>
        <w:tc>
          <w:tcPr>
            <w:tcW w:w="1480" w:type="dxa"/>
            <w:vAlign w:val="bottom"/>
            <w:tcBorders>
              <w:bottom w:val="single" w:sz="8" w:color="CFCFD2"/>
            </w:tcBorders>
          </w:tcPr>
          <w:p>
            <w:pPr>
              <w:jc w:val="right"/>
              <w:ind w:right="69"/>
              <w:spacing w:after="0"/>
              <w:rPr>
                <w:sz w:val="20"/>
                <w:szCs w:val="20"/>
                <w:color w:val="auto"/>
              </w:rPr>
            </w:pPr>
            <w:r>
              <w:rPr>
                <w:rFonts w:ascii="Arial" w:cs="Arial" w:eastAsia="Arial" w:hAnsi="Arial"/>
                <w:sz w:val="14"/>
                <w:szCs w:val="14"/>
                <w:color w:val="0E1020"/>
              </w:rPr>
              <w:t>42,596</w:t>
            </w:r>
          </w:p>
        </w:tc>
        <w:tc>
          <w:tcPr>
            <w:tcW w:w="1700" w:type="dxa"/>
            <w:vAlign w:val="bottom"/>
            <w:tcBorders>
              <w:bottom w:val="single" w:sz="8" w:color="CFCFD2"/>
            </w:tcBorders>
          </w:tcPr>
          <w:p>
            <w:pPr>
              <w:jc w:val="right"/>
              <w:ind w:right="289"/>
              <w:spacing w:after="0"/>
              <w:rPr>
                <w:sz w:val="20"/>
                <w:szCs w:val="20"/>
                <w:color w:val="auto"/>
              </w:rPr>
            </w:pPr>
            <w:r>
              <w:rPr>
                <w:rFonts w:ascii="Arial" w:cs="Arial" w:eastAsia="Arial" w:hAnsi="Arial"/>
                <w:sz w:val="14"/>
                <w:szCs w:val="14"/>
                <w:color w:val="0E1020"/>
              </w:rPr>
              <w:t>0%</w:t>
            </w:r>
          </w:p>
        </w:tc>
        <w:tc>
          <w:tcPr>
            <w:tcW w:w="1280" w:type="dxa"/>
            <w:vAlign w:val="bottom"/>
            <w:tcBorders>
              <w:bottom w:val="single" w:sz="8" w:color="CFCFD2"/>
            </w:tcBorders>
            <w:gridSpan w:val="2"/>
          </w:tcPr>
          <w:p>
            <w:pPr>
              <w:ind w:left="920"/>
              <w:spacing w:after="0"/>
              <w:rPr>
                <w:sz w:val="20"/>
                <w:szCs w:val="20"/>
                <w:color w:val="auto"/>
              </w:rPr>
            </w:pPr>
            <w:r>
              <w:rPr>
                <w:rFonts w:ascii="Arial" w:cs="Arial" w:eastAsia="Arial" w:hAnsi="Arial"/>
                <w:sz w:val="14"/>
                <w:szCs w:val="14"/>
                <w:color w:val="0E1020"/>
              </w:rPr>
              <w:t>—</w:t>
            </w:r>
          </w:p>
        </w:tc>
        <w:tc>
          <w:tcPr>
            <w:tcW w:w="0" w:type="dxa"/>
            <w:vAlign w:val="bottom"/>
          </w:tcPr>
          <w:p>
            <w:pPr>
              <w:spacing w:after="0"/>
              <w:rPr>
                <w:sz w:val="1"/>
                <w:szCs w:val="1"/>
                <w:color w:val="auto"/>
              </w:rPr>
            </w:pPr>
          </w:p>
        </w:tc>
      </w:tr>
      <w:tr>
        <w:trPr>
          <w:trHeight w:val="221"/>
        </w:trPr>
        <w:tc>
          <w:tcPr>
            <w:tcW w:w="240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Raymond A. August</w:t>
            </w:r>
          </w:p>
        </w:tc>
        <w:tc>
          <w:tcPr>
            <w:tcW w:w="132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21,907</w:t>
            </w:r>
          </w:p>
        </w:tc>
        <w:tc>
          <w:tcPr>
            <w:tcW w:w="1840" w:type="dxa"/>
            <w:vAlign w:val="bottom"/>
            <w:tcBorders>
              <w:bottom w:val="single" w:sz="8" w:color="CFCFD2"/>
            </w:tcBorders>
          </w:tcPr>
          <w:p>
            <w:pPr>
              <w:jc w:val="right"/>
              <w:ind w:right="309"/>
              <w:spacing w:after="0"/>
              <w:rPr>
                <w:sz w:val="20"/>
                <w:szCs w:val="20"/>
                <w:color w:val="auto"/>
              </w:rPr>
            </w:pPr>
            <w:r>
              <w:rPr>
                <w:rFonts w:ascii="Arial" w:cs="Arial" w:eastAsia="Arial" w:hAnsi="Arial"/>
                <w:sz w:val="14"/>
                <w:szCs w:val="14"/>
                <w:color w:val="0E1020"/>
              </w:rPr>
              <w:t>200%</w:t>
            </w:r>
          </w:p>
        </w:tc>
        <w:tc>
          <w:tcPr>
            <w:tcW w:w="1220" w:type="dxa"/>
            <w:vAlign w:val="bottom"/>
            <w:tcBorders>
              <w:bottom w:val="single" w:sz="8" w:color="CFCFD2"/>
            </w:tcBorders>
          </w:tcPr>
          <w:p>
            <w:pPr>
              <w:jc w:val="right"/>
              <w:ind w:right="109"/>
              <w:spacing w:after="0"/>
              <w:rPr>
                <w:sz w:val="20"/>
                <w:szCs w:val="20"/>
                <w:color w:val="auto"/>
              </w:rPr>
            </w:pPr>
            <w:r>
              <w:rPr>
                <w:rFonts w:ascii="Arial" w:cs="Arial" w:eastAsia="Arial" w:hAnsi="Arial"/>
                <w:sz w:val="14"/>
                <w:szCs w:val="14"/>
                <w:color w:val="0E1020"/>
              </w:rPr>
              <w:t>43,814</w:t>
            </w:r>
          </w:p>
        </w:tc>
        <w:tc>
          <w:tcPr>
            <w:tcW w:w="1480" w:type="dxa"/>
            <w:vAlign w:val="bottom"/>
            <w:tcBorders>
              <w:bottom w:val="single" w:sz="8" w:color="CFCFD2"/>
            </w:tcBorders>
          </w:tcPr>
          <w:p>
            <w:pPr>
              <w:jc w:val="right"/>
              <w:ind w:right="69"/>
              <w:spacing w:after="0"/>
              <w:rPr>
                <w:sz w:val="20"/>
                <w:szCs w:val="20"/>
                <w:color w:val="auto"/>
              </w:rPr>
            </w:pPr>
            <w:r>
              <w:rPr>
                <w:rFonts w:ascii="Arial" w:cs="Arial" w:eastAsia="Arial" w:hAnsi="Arial"/>
                <w:sz w:val="14"/>
                <w:szCs w:val="14"/>
                <w:color w:val="0E1020"/>
              </w:rPr>
              <w:t>21,906</w:t>
            </w:r>
          </w:p>
        </w:tc>
        <w:tc>
          <w:tcPr>
            <w:tcW w:w="1700" w:type="dxa"/>
            <w:vAlign w:val="bottom"/>
            <w:tcBorders>
              <w:bottom w:val="single" w:sz="8" w:color="CFCFD2"/>
            </w:tcBorders>
          </w:tcPr>
          <w:p>
            <w:pPr>
              <w:jc w:val="right"/>
              <w:ind w:right="289"/>
              <w:spacing w:after="0"/>
              <w:rPr>
                <w:sz w:val="20"/>
                <w:szCs w:val="20"/>
                <w:color w:val="auto"/>
              </w:rPr>
            </w:pPr>
            <w:r>
              <w:rPr>
                <w:rFonts w:ascii="Arial" w:cs="Arial" w:eastAsia="Arial" w:hAnsi="Arial"/>
                <w:sz w:val="14"/>
                <w:szCs w:val="14"/>
                <w:color w:val="0E1020"/>
              </w:rPr>
              <w:t>0%</w:t>
            </w:r>
          </w:p>
        </w:tc>
        <w:tc>
          <w:tcPr>
            <w:tcW w:w="1280" w:type="dxa"/>
            <w:vAlign w:val="bottom"/>
            <w:tcBorders>
              <w:bottom w:val="single" w:sz="8" w:color="CFCFD2"/>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8"/>
        </w:trPr>
        <w:tc>
          <w:tcPr>
            <w:tcW w:w="240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Howard Boville</w:t>
            </w:r>
            <w:r>
              <w:rPr>
                <w:rFonts w:ascii="Arial" w:cs="Arial" w:eastAsia="Arial" w:hAnsi="Arial"/>
                <w:sz w:val="18"/>
                <w:szCs w:val="18"/>
                <w:b w:val="1"/>
                <w:bCs w:val="1"/>
                <w:color w:val="004AAC"/>
                <w:vertAlign w:val="superscript"/>
              </w:rPr>
              <w:t>(3)</w:t>
            </w:r>
          </w:p>
        </w:tc>
        <w:tc>
          <w:tcPr>
            <w:tcW w:w="132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108,450</w:t>
            </w:r>
          </w:p>
        </w:tc>
        <w:tc>
          <w:tcPr>
            <w:tcW w:w="1840" w:type="dxa"/>
            <w:vAlign w:val="bottom"/>
            <w:tcBorders>
              <w:bottom w:val="single" w:sz="8" w:color="CFCFD2"/>
            </w:tcBorders>
          </w:tcPr>
          <w:p>
            <w:pPr>
              <w:jc w:val="right"/>
              <w:ind w:right="309"/>
              <w:spacing w:after="0"/>
              <w:rPr>
                <w:sz w:val="20"/>
                <w:szCs w:val="20"/>
                <w:color w:val="auto"/>
              </w:rPr>
            </w:pPr>
            <w:r>
              <w:rPr>
                <w:rFonts w:ascii="Arial" w:cs="Arial" w:eastAsia="Arial" w:hAnsi="Arial"/>
                <w:sz w:val="14"/>
                <w:szCs w:val="14"/>
                <w:color w:val="0E1020"/>
              </w:rPr>
              <w:t>200%</w:t>
            </w:r>
          </w:p>
        </w:tc>
        <w:tc>
          <w:tcPr>
            <w:tcW w:w="1220" w:type="dxa"/>
            <w:vAlign w:val="bottom"/>
            <w:tcBorders>
              <w:bottom w:val="single" w:sz="8" w:color="CFCFD2"/>
            </w:tcBorders>
          </w:tcPr>
          <w:p>
            <w:pPr>
              <w:jc w:val="right"/>
              <w:ind w:right="109"/>
              <w:spacing w:after="0"/>
              <w:rPr>
                <w:sz w:val="20"/>
                <w:szCs w:val="20"/>
                <w:color w:val="auto"/>
              </w:rPr>
            </w:pPr>
            <w:r>
              <w:rPr>
                <w:rFonts w:ascii="Arial" w:cs="Arial" w:eastAsia="Arial" w:hAnsi="Arial"/>
                <w:sz w:val="14"/>
                <w:szCs w:val="14"/>
                <w:color w:val="0E1020"/>
              </w:rPr>
              <w:t>132,550</w:t>
            </w:r>
          </w:p>
        </w:tc>
        <w:tc>
          <w:tcPr>
            <w:tcW w:w="1480" w:type="dxa"/>
            <w:vAlign w:val="bottom"/>
            <w:tcBorders>
              <w:bottom w:val="single" w:sz="8" w:color="CFCFD2"/>
            </w:tcBorders>
          </w:tcPr>
          <w:p>
            <w:pPr>
              <w:jc w:val="right"/>
              <w:ind w:right="69"/>
              <w:spacing w:after="0"/>
              <w:rPr>
                <w:sz w:val="20"/>
                <w:szCs w:val="20"/>
                <w:color w:val="auto"/>
              </w:rPr>
            </w:pPr>
            <w:r>
              <w:rPr>
                <w:rFonts w:ascii="Arial" w:cs="Arial" w:eastAsia="Arial" w:hAnsi="Arial"/>
                <w:sz w:val="14"/>
                <w:szCs w:val="14"/>
                <w:color w:val="0E1020"/>
              </w:rPr>
              <w:t>108,450</w:t>
            </w:r>
          </w:p>
        </w:tc>
        <w:tc>
          <w:tcPr>
            <w:tcW w:w="1700" w:type="dxa"/>
            <w:vAlign w:val="bottom"/>
            <w:tcBorders>
              <w:bottom w:val="single" w:sz="8" w:color="CFCFD2"/>
            </w:tcBorders>
          </w:tcPr>
          <w:p>
            <w:pPr>
              <w:jc w:val="right"/>
              <w:ind w:right="289"/>
              <w:spacing w:after="0"/>
              <w:rPr>
                <w:sz w:val="20"/>
                <w:szCs w:val="20"/>
                <w:color w:val="auto"/>
              </w:rPr>
            </w:pPr>
            <w:r>
              <w:rPr>
                <w:rFonts w:ascii="Arial" w:cs="Arial" w:eastAsia="Arial" w:hAnsi="Arial"/>
                <w:sz w:val="14"/>
                <w:szCs w:val="14"/>
                <w:color w:val="0E1020"/>
              </w:rPr>
              <w:t>0%</w:t>
            </w:r>
          </w:p>
        </w:tc>
        <w:tc>
          <w:tcPr>
            <w:tcW w:w="114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500" w:hanging="332"/>
        <w:spacing w:after="0"/>
        <w:tabs>
          <w:tab w:leader="none" w:pos="500" w:val="left"/>
        </w:tabs>
        <w:numPr>
          <w:ilvl w:val="0"/>
          <w:numId w:val="83"/>
        </w:numPr>
        <w:rPr>
          <w:rFonts w:ascii="Arial" w:cs="Arial" w:eastAsia="Arial" w:hAnsi="Arial"/>
          <w:sz w:val="14"/>
          <w:szCs w:val="14"/>
          <w:color w:val="0E1020"/>
        </w:rPr>
      </w:pPr>
      <w:r>
        <w:rPr>
          <w:rFonts w:ascii="Arial" w:cs="Arial" w:eastAsia="Arial" w:hAnsi="Arial"/>
          <w:sz w:val="14"/>
          <w:szCs w:val="14"/>
          <w:color w:val="0E1020"/>
        </w:rPr>
        <w:t>Mr. Fernandez did not receive annual cycle fiscal 2024 PSUs, and Mr. Fawcett was not an employee of the Company in fiscal 2024 and did not receive fiscal 2024 PSUs.</w:t>
      </w:r>
    </w:p>
    <w:p>
      <w:pPr>
        <w:spacing w:after="0" w:line="53" w:lineRule="exact"/>
        <w:rPr>
          <w:rFonts w:ascii="Arial" w:cs="Arial" w:eastAsia="Arial" w:hAnsi="Arial"/>
          <w:sz w:val="14"/>
          <w:szCs w:val="14"/>
          <w:color w:val="0E1020"/>
        </w:rPr>
      </w:pPr>
    </w:p>
    <w:p>
      <w:pPr>
        <w:ind w:left="460" w:hanging="292"/>
        <w:spacing w:after="0"/>
        <w:tabs>
          <w:tab w:leader="none" w:pos="460" w:val="left"/>
        </w:tabs>
        <w:numPr>
          <w:ilvl w:val="0"/>
          <w:numId w:val="83"/>
        </w:numPr>
        <w:rPr>
          <w:rFonts w:ascii="Arial" w:cs="Arial" w:eastAsia="Arial" w:hAnsi="Arial"/>
          <w:sz w:val="14"/>
          <w:szCs w:val="14"/>
          <w:color w:val="0E1020"/>
        </w:rPr>
      </w:pPr>
      <w:r>
        <w:rPr>
          <w:rFonts w:ascii="Arial" w:cs="Arial" w:eastAsia="Arial" w:hAnsi="Arial"/>
          <w:sz w:val="14"/>
          <w:szCs w:val="14"/>
          <w:color w:val="0E1020"/>
        </w:rPr>
        <w:t>Mr. Del Bene’s fiscal 2024 PSU grant was prorated based on hire date.</w:t>
      </w:r>
    </w:p>
    <w:p>
      <w:pPr>
        <w:spacing w:after="0" w:line="66" w:lineRule="exact"/>
        <w:rPr>
          <w:rFonts w:ascii="Arial" w:cs="Arial" w:eastAsia="Arial" w:hAnsi="Arial"/>
          <w:sz w:val="14"/>
          <w:szCs w:val="14"/>
          <w:color w:val="0E1020"/>
        </w:rPr>
      </w:pPr>
    </w:p>
    <w:p>
      <w:pPr>
        <w:ind w:left="480" w:right="240" w:hanging="312"/>
        <w:spacing w:after="0" w:line="273" w:lineRule="auto"/>
        <w:tabs>
          <w:tab w:leader="none" w:pos="453" w:val="left"/>
        </w:tabs>
        <w:numPr>
          <w:ilvl w:val="0"/>
          <w:numId w:val="83"/>
        </w:numPr>
        <w:rPr>
          <w:rFonts w:ascii="Arial" w:cs="Arial" w:eastAsia="Arial" w:hAnsi="Arial"/>
          <w:sz w:val="14"/>
          <w:szCs w:val="14"/>
          <w:color w:val="0E1020"/>
        </w:rPr>
      </w:pPr>
      <w:r>
        <w:rPr>
          <w:rFonts w:ascii="Arial" w:cs="Arial" w:eastAsia="Arial" w:hAnsi="Arial"/>
          <w:sz w:val="14"/>
          <w:szCs w:val="14"/>
          <w:color w:val="0E1020"/>
        </w:rPr>
        <w:t>Mr. Boville left DXC in fiscal 2026 and his earned PSUs represent a pro rata portion of target PSUs based on full months of service in the performance period, which stayed outstanding after his separation date in July of 2025 and earned based on actual performance, per the severance terms of Mr. Boville’s individual offer letter. All remaining target PSUs were canceled upon Mr. Boville’s separation date in July of 2025. Additional details of Mr. Boville’s severance arrangement are provided in the “Potential Payments Upon Change of Control and Termination of Employment” section below in this fiscal 2026 CD&amp;A.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79</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87" w:name="page88"/>
    <w:bookmarkEnd w:id="87"/>
    <w:p>
      <w:pPr>
        <w:ind w:left="20"/>
        <w:spacing w:after="0"/>
        <w:tabs>
          <w:tab w:leader="none" w:pos="10100" w:val="left"/>
        </w:tabs>
        <w:rPr>
          <w:sz w:val="20"/>
          <w:szCs w:val="20"/>
          <w:color w:val="auto"/>
        </w:rPr>
      </w:pPr>
      <w:r>
        <w:rPr>
          <w:rFonts w:ascii="Arial" w:cs="Arial" w:eastAsia="Arial" w:hAnsi="Arial"/>
          <w:sz w:val="14"/>
          <w:szCs w:val="14"/>
          <w:color w:val="auto"/>
        </w:rPr>
        <w:t>Executive Compensation</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Other Elements of Compensation</w:t>
      </w:r>
    </w:p>
    <w:p>
      <w:pPr>
        <w:spacing w:after="0" w:line="146" w:lineRule="exact"/>
        <w:rPr>
          <w:sz w:val="20"/>
          <w:szCs w:val="20"/>
          <w:color w:val="auto"/>
        </w:rPr>
      </w:pPr>
    </w:p>
    <w:p>
      <w:pPr>
        <w:ind w:right="720"/>
        <w:spacing w:after="0" w:line="375" w:lineRule="auto"/>
        <w:rPr>
          <w:sz w:val="20"/>
          <w:szCs w:val="20"/>
          <w:color w:val="auto"/>
        </w:rPr>
      </w:pPr>
      <w:r>
        <w:rPr>
          <w:rFonts w:ascii="Arial" w:cs="Arial" w:eastAsia="Arial" w:hAnsi="Arial"/>
          <w:sz w:val="16"/>
          <w:szCs w:val="16"/>
          <w:color w:val="0E1020"/>
        </w:rPr>
        <w:t xml:space="preserve">In addition to base salary, annual cash and long-term incentives, DXC provides a mix of other benefits as part of each NEO’s total rewards package. </w:t>
      </w:r>
      <w:r>
        <w:rPr>
          <w:rFonts w:ascii="Arial" w:cs="Arial" w:eastAsia="Arial" w:hAnsi="Arial"/>
          <w:sz w:val="16"/>
          <w:szCs w:val="16"/>
          <w:i w:val="1"/>
          <w:iCs w:val="1"/>
          <w:color w:val="0E1020"/>
        </w:rPr>
        <w:t>Retirement Benefits</w:t>
      </w:r>
    </w:p>
    <w:p>
      <w:pPr>
        <w:spacing w:after="0" w:line="1" w:lineRule="exact"/>
        <w:rPr>
          <w:sz w:val="20"/>
          <w:szCs w:val="20"/>
          <w:color w:val="auto"/>
        </w:rPr>
      </w:pPr>
    </w:p>
    <w:p>
      <w:pPr>
        <w:ind w:right="200"/>
        <w:spacing w:after="0" w:line="318" w:lineRule="auto"/>
        <w:rPr>
          <w:sz w:val="20"/>
          <w:szCs w:val="20"/>
          <w:color w:val="auto"/>
        </w:rPr>
      </w:pPr>
      <w:r>
        <w:rPr>
          <w:rFonts w:ascii="Arial" w:cs="Arial" w:eastAsia="Arial" w:hAnsi="Arial"/>
          <w:sz w:val="16"/>
          <w:szCs w:val="16"/>
          <w:color w:val="0E1020"/>
        </w:rPr>
        <w:t>The Compensation Committee views retirement benefits as an important component of DXC’s executive compensation program. DXC offers its employees, including the NEOs, a retirement program that provides the opportunity to accumulate funds for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1335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40" w:type="dxa"/>
            <w:vAlign w:val="bottom"/>
            <w:vMerge w:val="restart"/>
          </w:tcPr>
          <w:p>
            <w:pPr>
              <w:ind w:left="20"/>
              <w:spacing w:after="0"/>
              <w:rPr>
                <w:sz w:val="20"/>
                <w:szCs w:val="20"/>
                <w:color w:val="auto"/>
              </w:rPr>
            </w:pPr>
            <w:r>
              <w:rPr>
                <w:rFonts w:ascii="Arial" w:cs="Arial" w:eastAsia="Arial" w:hAnsi="Arial"/>
                <w:sz w:val="14"/>
                <w:szCs w:val="14"/>
                <w:color w:val="0E1020"/>
              </w:rPr>
              <w:t>Matched Asset Plan (MAP)</w:t>
            </w:r>
          </w:p>
        </w:tc>
        <w:tc>
          <w:tcPr>
            <w:tcW w:w="8700" w:type="dxa"/>
            <w:vAlign w:val="bottom"/>
          </w:tcPr>
          <w:p>
            <w:pPr>
              <w:ind w:left="680"/>
              <w:spacing w:after="0"/>
              <w:rPr>
                <w:sz w:val="20"/>
                <w:szCs w:val="20"/>
                <w:color w:val="auto"/>
              </w:rPr>
            </w:pPr>
            <w:r>
              <w:rPr>
                <w:rFonts w:ascii="Arial" w:cs="Arial" w:eastAsia="Arial" w:hAnsi="Arial"/>
                <w:sz w:val="14"/>
                <w:szCs w:val="14"/>
                <w:color w:val="0E1020"/>
              </w:rPr>
              <w:t>Broad-based, qualified, defined contribution 401(k) plan with Company match on a portion of employee contributions and</w:t>
            </w:r>
          </w:p>
        </w:tc>
        <w:tc>
          <w:tcPr>
            <w:tcW w:w="0" w:type="dxa"/>
            <w:vAlign w:val="bottom"/>
          </w:tcPr>
          <w:p>
            <w:pPr>
              <w:spacing w:after="0"/>
              <w:rPr>
                <w:sz w:val="1"/>
                <w:szCs w:val="1"/>
                <w:color w:val="auto"/>
              </w:rPr>
            </w:pPr>
          </w:p>
        </w:tc>
      </w:tr>
      <w:tr>
        <w:trPr>
          <w:trHeight w:val="109"/>
        </w:trPr>
        <w:tc>
          <w:tcPr>
            <w:tcW w:w="2540" w:type="dxa"/>
            <w:vAlign w:val="bottom"/>
            <w:vMerge w:val="continue"/>
          </w:tcPr>
          <w:p>
            <w:pPr>
              <w:spacing w:after="0"/>
              <w:rPr>
                <w:sz w:val="9"/>
                <w:szCs w:val="9"/>
                <w:color w:val="auto"/>
              </w:rPr>
            </w:pPr>
          </w:p>
        </w:tc>
        <w:tc>
          <w:tcPr>
            <w:tcW w:w="8700" w:type="dxa"/>
            <w:vAlign w:val="bottom"/>
            <w:vMerge w:val="restart"/>
          </w:tcPr>
          <w:p>
            <w:pPr>
              <w:ind w:left="680"/>
              <w:spacing w:after="0"/>
              <w:rPr>
                <w:sz w:val="20"/>
                <w:szCs w:val="20"/>
                <w:color w:val="auto"/>
              </w:rPr>
            </w:pPr>
            <w:r>
              <w:rPr>
                <w:rFonts w:ascii="Arial" w:cs="Arial" w:eastAsia="Arial" w:hAnsi="Arial"/>
                <w:sz w:val="14"/>
                <w:szCs w:val="14"/>
                <w:color w:val="0E1020"/>
              </w:rPr>
              <w:t>directed investment alternatives.</w:t>
            </w:r>
          </w:p>
        </w:tc>
        <w:tc>
          <w:tcPr>
            <w:tcW w:w="0" w:type="dxa"/>
            <w:vAlign w:val="bottom"/>
          </w:tcPr>
          <w:p>
            <w:pPr>
              <w:spacing w:after="0"/>
              <w:rPr>
                <w:sz w:val="1"/>
                <w:szCs w:val="1"/>
                <w:color w:val="auto"/>
              </w:rPr>
            </w:pPr>
          </w:p>
        </w:tc>
      </w:tr>
      <w:tr>
        <w:trPr>
          <w:trHeight w:val="80"/>
        </w:trPr>
        <w:tc>
          <w:tcPr>
            <w:tcW w:w="2540" w:type="dxa"/>
            <w:vAlign w:val="bottom"/>
          </w:tcPr>
          <w:p>
            <w:pPr>
              <w:spacing w:after="0"/>
              <w:rPr>
                <w:sz w:val="6"/>
                <w:szCs w:val="6"/>
                <w:color w:val="auto"/>
              </w:rPr>
            </w:pPr>
          </w:p>
        </w:tc>
        <w:tc>
          <w:tcPr>
            <w:tcW w:w="8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540" w:type="dxa"/>
            <w:vAlign w:val="bottom"/>
            <w:tcBorders>
              <w:bottom w:val="single" w:sz="8" w:color="CFCFD2"/>
            </w:tcBorders>
          </w:tcPr>
          <w:p>
            <w:pPr>
              <w:spacing w:after="0"/>
              <w:rPr>
                <w:sz w:val="7"/>
                <w:szCs w:val="7"/>
                <w:color w:val="auto"/>
              </w:rPr>
            </w:pPr>
          </w:p>
        </w:tc>
        <w:tc>
          <w:tcPr>
            <w:tcW w:w="8700" w:type="dxa"/>
            <w:vAlign w:val="bottom"/>
            <w:tcBorders>
              <w:bottom w:val="single" w:sz="8" w:color="CFCFD2"/>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540" w:type="dxa"/>
            <w:vAlign w:val="bottom"/>
            <w:vMerge w:val="restart"/>
          </w:tcPr>
          <w:p>
            <w:pPr>
              <w:ind w:left="20"/>
              <w:spacing w:after="0"/>
              <w:rPr>
                <w:sz w:val="20"/>
                <w:szCs w:val="20"/>
                <w:color w:val="auto"/>
              </w:rPr>
            </w:pPr>
            <w:r>
              <w:rPr>
                <w:rFonts w:ascii="Arial" w:cs="Arial" w:eastAsia="Arial" w:hAnsi="Arial"/>
                <w:sz w:val="14"/>
                <w:szCs w:val="14"/>
                <w:color w:val="0E1020"/>
              </w:rPr>
              <w:t>Deferred Compensation Plan</w:t>
            </w:r>
          </w:p>
        </w:tc>
        <w:tc>
          <w:tcPr>
            <w:tcW w:w="8700" w:type="dxa"/>
            <w:vAlign w:val="bottom"/>
          </w:tcPr>
          <w:p>
            <w:pPr>
              <w:ind w:left="680"/>
              <w:spacing w:after="0"/>
              <w:rPr>
                <w:sz w:val="20"/>
                <w:szCs w:val="20"/>
                <w:color w:val="auto"/>
              </w:rPr>
            </w:pPr>
            <w:r>
              <w:rPr>
                <w:rFonts w:ascii="Arial" w:cs="Arial" w:eastAsia="Arial" w:hAnsi="Arial"/>
                <w:sz w:val="14"/>
                <w:szCs w:val="14"/>
                <w:color w:val="0E1020"/>
              </w:rPr>
              <w:t>Unfunded plan offered to a select group of management or highly compensated employees. Allows participants to defer receipt</w:t>
            </w:r>
          </w:p>
        </w:tc>
        <w:tc>
          <w:tcPr>
            <w:tcW w:w="0" w:type="dxa"/>
            <w:vAlign w:val="bottom"/>
          </w:tcPr>
          <w:p>
            <w:pPr>
              <w:spacing w:after="0"/>
              <w:rPr>
                <w:sz w:val="1"/>
                <w:szCs w:val="1"/>
                <w:color w:val="auto"/>
              </w:rPr>
            </w:pPr>
          </w:p>
        </w:tc>
      </w:tr>
      <w:tr>
        <w:trPr>
          <w:trHeight w:val="109"/>
        </w:trPr>
        <w:tc>
          <w:tcPr>
            <w:tcW w:w="2540" w:type="dxa"/>
            <w:vAlign w:val="bottom"/>
            <w:vMerge w:val="continue"/>
          </w:tcPr>
          <w:p>
            <w:pPr>
              <w:spacing w:after="0"/>
              <w:rPr>
                <w:sz w:val="9"/>
                <w:szCs w:val="9"/>
                <w:color w:val="auto"/>
              </w:rPr>
            </w:pPr>
          </w:p>
        </w:tc>
        <w:tc>
          <w:tcPr>
            <w:tcW w:w="8700" w:type="dxa"/>
            <w:vAlign w:val="bottom"/>
            <w:vMerge w:val="restart"/>
          </w:tcPr>
          <w:p>
            <w:pPr>
              <w:ind w:left="680"/>
              <w:spacing w:after="0"/>
              <w:rPr>
                <w:sz w:val="20"/>
                <w:szCs w:val="20"/>
                <w:color w:val="auto"/>
              </w:rPr>
            </w:pPr>
            <w:r>
              <w:rPr>
                <w:rFonts w:ascii="Arial" w:cs="Arial" w:eastAsia="Arial" w:hAnsi="Arial"/>
                <w:sz w:val="14"/>
                <w:szCs w:val="14"/>
                <w:color w:val="0E1020"/>
              </w:rPr>
              <w:t>of incentive compensation and salary.</w:t>
            </w:r>
          </w:p>
        </w:tc>
        <w:tc>
          <w:tcPr>
            <w:tcW w:w="0" w:type="dxa"/>
            <w:vAlign w:val="bottom"/>
          </w:tcPr>
          <w:p>
            <w:pPr>
              <w:spacing w:after="0"/>
              <w:rPr>
                <w:sz w:val="1"/>
                <w:szCs w:val="1"/>
                <w:color w:val="auto"/>
              </w:rPr>
            </w:pPr>
          </w:p>
        </w:tc>
      </w:tr>
      <w:tr>
        <w:trPr>
          <w:trHeight w:val="80"/>
        </w:trPr>
        <w:tc>
          <w:tcPr>
            <w:tcW w:w="2540" w:type="dxa"/>
            <w:vAlign w:val="bottom"/>
          </w:tcPr>
          <w:p>
            <w:pPr>
              <w:spacing w:after="0"/>
              <w:rPr>
                <w:sz w:val="6"/>
                <w:szCs w:val="6"/>
                <w:color w:val="auto"/>
              </w:rPr>
            </w:pPr>
          </w:p>
        </w:tc>
        <w:tc>
          <w:tcPr>
            <w:tcW w:w="8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540" w:type="dxa"/>
            <w:vAlign w:val="bottom"/>
            <w:tcBorders>
              <w:bottom w:val="single" w:sz="8" w:color="CFCFD2"/>
            </w:tcBorders>
          </w:tcPr>
          <w:p>
            <w:pPr>
              <w:spacing w:after="0"/>
              <w:rPr>
                <w:sz w:val="7"/>
                <w:szCs w:val="7"/>
                <w:color w:val="auto"/>
              </w:rPr>
            </w:pPr>
          </w:p>
        </w:tc>
        <w:tc>
          <w:tcPr>
            <w:tcW w:w="8700" w:type="dxa"/>
            <w:vAlign w:val="bottom"/>
            <w:tcBorders>
              <w:bottom w:val="single" w:sz="8" w:color="CFCFD2"/>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Health Care Benefits</w:t>
      </w:r>
    </w:p>
    <w:p>
      <w:pPr>
        <w:spacing w:after="0" w:line="98" w:lineRule="exact"/>
        <w:rPr>
          <w:sz w:val="20"/>
          <w:szCs w:val="20"/>
          <w:color w:val="auto"/>
        </w:rPr>
      </w:pPr>
    </w:p>
    <w:p>
      <w:pPr>
        <w:jc w:val="both"/>
        <w:ind w:right="40"/>
        <w:spacing w:after="0" w:line="335" w:lineRule="auto"/>
        <w:rPr>
          <w:sz w:val="20"/>
          <w:szCs w:val="20"/>
          <w:color w:val="auto"/>
        </w:rPr>
      </w:pPr>
      <w:r>
        <w:rPr>
          <w:rFonts w:ascii="Arial" w:cs="Arial" w:eastAsia="Arial" w:hAnsi="Arial"/>
          <w:sz w:val="16"/>
          <w:szCs w:val="16"/>
          <w:color w:val="0E1020"/>
        </w:rPr>
        <w:t>DXC provides health and welfare benefits to eligible employees, including medical, dental, life, disability, and accident insurance. These benefits are available to all U.S. employees generally, including the NEOs. These programs are designed to provide certain basic quality-of-life benefits and protections.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Perquisites</w:t>
      </w:r>
    </w:p>
    <w:p>
      <w:pPr>
        <w:spacing w:after="0" w:line="84" w:lineRule="exact"/>
        <w:rPr>
          <w:sz w:val="20"/>
          <w:szCs w:val="20"/>
          <w:color w:val="auto"/>
        </w:rPr>
      </w:pPr>
    </w:p>
    <w:p>
      <w:pPr>
        <w:ind w:right="400"/>
        <w:spacing w:after="0" w:line="335" w:lineRule="auto"/>
        <w:rPr>
          <w:sz w:val="20"/>
          <w:szCs w:val="20"/>
          <w:color w:val="auto"/>
        </w:rPr>
      </w:pPr>
      <w:r>
        <w:rPr>
          <w:rFonts w:ascii="Arial" w:cs="Arial" w:eastAsia="Arial" w:hAnsi="Arial"/>
          <w:sz w:val="16"/>
          <w:szCs w:val="16"/>
          <w:color w:val="0E1020"/>
        </w:rPr>
        <w:t>DXC provides certain limited perquisites to senior executives, including the NEOs, to enhance their security and productivity. Perquisites include optional financial planning services, optional executive health screening benefits, and relocation benefits for new hires, as applicable.</w:t>
      </w:r>
    </w:p>
    <w:p>
      <w:pPr>
        <w:spacing w:after="0" w:line="36"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0E1020"/>
        </w:rPr>
        <w:t>We believe the benefits and limited perquisites described above are necessary and appropriate to provide a competitive compensation package to our named executive officers.</w:t>
      </w:r>
    </w:p>
    <w:p>
      <w:pPr>
        <w:spacing w:after="0" w:line="49"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0E1020"/>
        </w:rPr>
        <w:t>Per Mr. Fernandez’s Employment Agreement, we reimburse Mr. Fernandez for up to $50,000 annually for assistance with tax preparation and financial planning and up to $50,000 annually for concierge medical plan premiums. In fiscal 2026, Mr. Fernandez was also provided with executive security protection and reimbursement of concierge life insurance premiums, as approved by the Compensation Committee. In addition, Mr. Fernandez may use DXC-owned or leased aircraft for business purposes and reasonable personal use and subject to such limits as may be reasonably imposed by the Board. Mr. Fernandez takes an active approach to overseeing and managing our global operations, which necessitates both U.S. domestic and international travel due to our diverse set of business and operations centers and many customer locations around the world. Access to corporate aircraft is provided to Mr. Fernandez to ensure business efficiency and security/privacy of business information and communications, especially given the global nature of DXC’s business.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E1020"/>
        </w:rPr>
        <w:t>Additionally, in fiscal 2026, the Company provided access to corporate aircraft for Mr. Drumgoole.</w:t>
      </w:r>
    </w:p>
    <w:p>
      <w:pPr>
        <w:spacing w:after="0" w:line="138" w:lineRule="exact"/>
        <w:rPr>
          <w:sz w:val="20"/>
          <w:szCs w:val="20"/>
          <w:color w:val="auto"/>
        </w:rPr>
      </w:pPr>
    </w:p>
    <w:p>
      <w:pPr>
        <w:ind w:right="80"/>
        <w:spacing w:after="0" w:line="307" w:lineRule="auto"/>
        <w:rPr>
          <w:sz w:val="20"/>
          <w:szCs w:val="20"/>
          <w:color w:val="auto"/>
        </w:rPr>
      </w:pPr>
      <w:r>
        <w:rPr>
          <w:rFonts w:ascii="Arial" w:cs="Arial" w:eastAsia="Arial" w:hAnsi="Arial"/>
          <w:sz w:val="16"/>
          <w:szCs w:val="16"/>
          <w:color w:val="0E1020"/>
        </w:rPr>
        <w:t>Mr. Fernandez and Mr. Drumgoole were taxed on the value of the corporate aircraft usage according to IRS rules, and no tax gross-up was provided for personal usage of corporate aircraft or any other perquisite they received. See the notes to the Summary Compensation Table for more information about the perquisites provided to the NEOs.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Severance and Change of Control Compensation</w:t>
      </w:r>
    </w:p>
    <w:p>
      <w:pPr>
        <w:spacing w:after="0" w:line="98" w:lineRule="exact"/>
        <w:rPr>
          <w:sz w:val="20"/>
          <w:szCs w:val="20"/>
          <w:color w:val="auto"/>
        </w:rPr>
      </w:pPr>
    </w:p>
    <w:p>
      <w:pPr>
        <w:ind w:right="120"/>
        <w:spacing w:after="0" w:line="318" w:lineRule="auto"/>
        <w:rPr>
          <w:sz w:val="20"/>
          <w:szCs w:val="20"/>
          <w:color w:val="auto"/>
        </w:rPr>
      </w:pPr>
      <w:r>
        <w:rPr>
          <w:rFonts w:ascii="Arial" w:cs="Arial" w:eastAsia="Arial" w:hAnsi="Arial"/>
          <w:sz w:val="16"/>
          <w:szCs w:val="16"/>
          <w:color w:val="0E1020"/>
        </w:rPr>
        <w:t>To offer competitive total compensation packages to our executive officers, align the interests of our executives with the interests of our stockholders, as well as to ensure the ongoing retention of these individuals, DXC offers certain post-employment benefits to a select group of executives, including its NEOs.</w:t>
      </w:r>
    </w:p>
    <w:p>
      <w:pPr>
        <w:spacing w:after="0" w:line="4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0E1020"/>
        </w:rPr>
        <w:t>Various arrangements provide for the payment of certain severance and other benefits to participants for terminations not in connection with a Change of Control (as defined below). These arrangements generally provide for the payment of severance amounts if the CEO’s or other NEOs’ employment is terminated by DXC without Cause, or if the CEO or certain NEOs terminate their employment for Good Reason. For such terminations, generally cash severance amounts are one times the sum of base salary and target bonus, or two times the sum of base salary plus target bonus plus a pro rata bonus for the CEO. In addition, our NEOs are entitled to certain acceleration and/or continued vesting of all or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80</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88" w:name="page89"/>
    <w:bookmarkEnd w:id="88"/>
    <w:p>
      <w:pPr>
        <w:ind w:left="20"/>
        <w:spacing w:after="0"/>
        <w:tabs>
          <w:tab w:leader="none" w:pos="962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auto"/>
        </w:rPr>
        <w:t>Executive Compensation</w:t>
      </w:r>
    </w:p>
    <w:p>
      <w:pPr>
        <w:spacing w:after="0" w:line="200" w:lineRule="exact"/>
        <w:rPr>
          <w:sz w:val="20"/>
          <w:szCs w:val="20"/>
          <w:color w:val="auto"/>
        </w:rPr>
      </w:pPr>
    </w:p>
    <w:p>
      <w:pPr>
        <w:spacing w:after="0" w:line="358" w:lineRule="exact"/>
        <w:rPr>
          <w:sz w:val="20"/>
          <w:szCs w:val="20"/>
          <w:color w:val="auto"/>
        </w:rPr>
      </w:pPr>
    </w:p>
    <w:p>
      <w:pPr>
        <w:ind w:right="880"/>
        <w:spacing w:after="0" w:line="335" w:lineRule="auto"/>
        <w:rPr>
          <w:sz w:val="20"/>
          <w:szCs w:val="20"/>
          <w:color w:val="auto"/>
        </w:rPr>
      </w:pPr>
      <w:r>
        <w:rPr>
          <w:rFonts w:ascii="Arial" w:cs="Arial" w:eastAsia="Arial" w:hAnsi="Arial"/>
          <w:sz w:val="16"/>
          <w:szCs w:val="16"/>
          <w:color w:val="0E1020"/>
        </w:rPr>
        <w:t>a portion of their equity awards upon certain qualifying terminations in accordance with their equity grant agreements (and, for our CEO, under his Employment Agreement).</w:t>
      </w:r>
    </w:p>
    <w:p>
      <w:pPr>
        <w:spacing w:after="0" w:line="2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0E1020"/>
        </w:rPr>
        <w:t>Our Change of Control Severance Plan for Senior Management and Key Employees (which covers our NEOs other than the CEO) and the CEO’s Employment Agreement (which covers the CEO) each provide for severance benefits upon “double trigger” terminations without Cause by the Company within three years after a Change of Control, or a termination by the NEOs for Good Reason within two years after a Change of Control. The amount of severance is equal to a multiple (as set forth below) of the sum of the NEO’s then-current annual base salary plus the greater of (i) the average of the three most recent annual cash incentive awards paid or determined, (ii) the target annual bonus for the year of termination, or (iii) the most recent annual bonus paid or determined prior to termination, plus a pro rata bonus for the year of termination, and health and welfare benefits. The multiple for NEOs other than the CEO is 2x, and the multiple for the CEO is 3x. Unvested time-vesting and performance-vesting restricted stock units are “double trigger” and vest only if there is a termination of employment following a Change of Control. There are no tax gross-ups on any amounts payable in connection with a Change of Control. In addition, our NEOs are entitled to certain acceleration and/or continued vesting of all or a portion of their equity awards upon certain qualifying terminations in connection with a Change of Control in accordance with their equity grant agreements (and, for our CEO, under his Employment Agreement).</w:t>
      </w:r>
    </w:p>
    <w:p>
      <w:pPr>
        <w:spacing w:after="0" w:line="69" w:lineRule="exact"/>
        <w:rPr>
          <w:sz w:val="20"/>
          <w:szCs w:val="20"/>
          <w:color w:val="auto"/>
        </w:rPr>
      </w:pPr>
    </w:p>
    <w:p>
      <w:pPr>
        <w:ind w:right="300"/>
        <w:spacing w:after="0" w:line="335" w:lineRule="auto"/>
        <w:rPr>
          <w:sz w:val="20"/>
          <w:szCs w:val="20"/>
          <w:color w:val="auto"/>
        </w:rPr>
      </w:pPr>
      <w:r>
        <w:rPr>
          <w:rFonts w:ascii="Arial" w:cs="Arial" w:eastAsia="Arial" w:hAnsi="Arial"/>
          <w:sz w:val="16"/>
          <w:szCs w:val="16"/>
          <w:color w:val="0E1020"/>
        </w:rPr>
        <w:t>Additional details about these severance arrangements are provided in the “Potential Payments Upon Change of Control and Termination of Employment” section.</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Additional Compensation Policies and Practices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Stock Ownership Guidelines</w:t>
      </w:r>
    </w:p>
    <w:p>
      <w:pPr>
        <w:spacing w:after="0" w:line="133" w:lineRule="exact"/>
        <w:rPr>
          <w:sz w:val="20"/>
          <w:szCs w:val="20"/>
          <w:color w:val="auto"/>
        </w:rPr>
      </w:pPr>
    </w:p>
    <w:p>
      <w:pPr>
        <w:spacing w:after="0" w:line="302" w:lineRule="auto"/>
        <w:rPr>
          <w:sz w:val="20"/>
          <w:szCs w:val="20"/>
          <w:color w:val="auto"/>
        </w:rPr>
      </w:pPr>
      <w:r>
        <w:rPr>
          <w:rFonts w:ascii="Arial" w:cs="Arial" w:eastAsia="Arial" w:hAnsi="Arial"/>
          <w:sz w:val="16"/>
          <w:szCs w:val="16"/>
          <w:color w:val="0E1020"/>
        </w:rPr>
        <w:t>DXC’s stock ownership guidelines reflect the Company’s strategy of placing a stronger emphasis on pay for performance and achieving strong alignment between our financial goals and our stockholders’ interests. The Compensation Committee believes that stock ownership by executive officers further aligns their interests with those of long-term stockholders. We have equity ownership guidelines for senior level executives to encourage them to build their ownership positions in DXC’s common stock over time. The ownership guidelines for the CEO and other NEOs, expressed as a multiple of base salary, are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8560" w:type="dxa"/>
            <w:vAlign w:val="bottom"/>
            <w:shd w:val="clear" w:color="auto" w:fill="F6F3F0"/>
          </w:tcPr>
          <w:p>
            <w:pPr>
              <w:ind w:left="100"/>
              <w:spacing w:after="0"/>
              <w:rPr>
                <w:sz w:val="20"/>
                <w:szCs w:val="20"/>
                <w:color w:val="auto"/>
              </w:rPr>
            </w:pPr>
            <w:r>
              <w:rPr>
                <w:rFonts w:ascii="Arial" w:cs="Arial" w:eastAsia="Arial" w:hAnsi="Arial"/>
                <w:sz w:val="14"/>
                <w:szCs w:val="14"/>
                <w:b w:val="1"/>
                <w:bCs w:val="1"/>
                <w:color w:val="0E1020"/>
              </w:rPr>
              <w:t>Position</w:t>
            </w:r>
          </w:p>
        </w:tc>
        <w:tc>
          <w:tcPr>
            <w:tcW w:w="2680" w:type="dxa"/>
            <w:vAlign w:val="bottom"/>
            <w:shd w:val="clear" w:color="auto" w:fill="F6F3F0"/>
          </w:tcPr>
          <w:p>
            <w:pPr>
              <w:jc w:val="center"/>
              <w:spacing w:after="0"/>
              <w:rPr>
                <w:sz w:val="20"/>
                <w:szCs w:val="20"/>
                <w:color w:val="auto"/>
              </w:rPr>
            </w:pPr>
            <w:r>
              <w:rPr>
                <w:rFonts w:ascii="Arial" w:cs="Arial" w:eastAsia="Arial" w:hAnsi="Arial"/>
                <w:sz w:val="14"/>
                <w:szCs w:val="14"/>
                <w:b w:val="1"/>
                <w:bCs w:val="1"/>
                <w:color w:val="0E1020"/>
              </w:rPr>
              <w:t>Multiple of Base Salary</w:t>
            </w:r>
          </w:p>
        </w:tc>
      </w:tr>
      <w:tr>
        <w:trPr>
          <w:trHeight w:val="69"/>
        </w:trPr>
        <w:tc>
          <w:tcPr>
            <w:tcW w:w="8560" w:type="dxa"/>
            <w:vAlign w:val="bottom"/>
            <w:tcBorders>
              <w:bottom w:val="single" w:sz="8" w:color="CFCFD2"/>
            </w:tcBorders>
            <w:shd w:val="clear" w:color="auto" w:fill="F6F3F0"/>
          </w:tcPr>
          <w:p>
            <w:pPr>
              <w:spacing w:after="0"/>
              <w:rPr>
                <w:sz w:val="5"/>
                <w:szCs w:val="5"/>
                <w:color w:val="auto"/>
              </w:rPr>
            </w:pPr>
          </w:p>
        </w:tc>
        <w:tc>
          <w:tcPr>
            <w:tcW w:w="2680" w:type="dxa"/>
            <w:vAlign w:val="bottom"/>
            <w:tcBorders>
              <w:bottom w:val="single" w:sz="8" w:color="CFCFD2"/>
            </w:tcBorders>
            <w:shd w:val="clear" w:color="auto" w:fill="F6F3F0"/>
          </w:tcPr>
          <w:p>
            <w:pPr>
              <w:spacing w:after="0"/>
              <w:rPr>
                <w:sz w:val="5"/>
                <w:szCs w:val="5"/>
                <w:color w:val="auto"/>
              </w:rPr>
            </w:pPr>
          </w:p>
        </w:tc>
      </w:tr>
      <w:tr>
        <w:trPr>
          <w:trHeight w:val="200"/>
        </w:trPr>
        <w:tc>
          <w:tcPr>
            <w:tcW w:w="8560" w:type="dxa"/>
            <w:vAlign w:val="bottom"/>
          </w:tcPr>
          <w:p>
            <w:pPr>
              <w:ind w:left="100"/>
              <w:spacing w:after="0"/>
              <w:rPr>
                <w:sz w:val="20"/>
                <w:szCs w:val="20"/>
                <w:color w:val="auto"/>
              </w:rPr>
            </w:pPr>
            <w:r>
              <w:rPr>
                <w:rFonts w:ascii="Arial" w:cs="Arial" w:eastAsia="Arial" w:hAnsi="Arial"/>
                <w:sz w:val="14"/>
                <w:szCs w:val="14"/>
                <w:color w:val="0E1020"/>
              </w:rPr>
              <w:t>CEO</w:t>
            </w:r>
          </w:p>
        </w:tc>
        <w:tc>
          <w:tcPr>
            <w:tcW w:w="2680" w:type="dxa"/>
            <w:vAlign w:val="bottom"/>
          </w:tcPr>
          <w:p>
            <w:pPr>
              <w:jc w:val="center"/>
              <w:spacing w:after="0"/>
              <w:rPr>
                <w:sz w:val="20"/>
                <w:szCs w:val="20"/>
                <w:color w:val="auto"/>
              </w:rPr>
            </w:pPr>
            <w:r>
              <w:rPr>
                <w:rFonts w:ascii="Arial" w:cs="Arial" w:eastAsia="Arial" w:hAnsi="Arial"/>
                <w:sz w:val="14"/>
                <w:szCs w:val="14"/>
                <w:color w:val="0E1020"/>
              </w:rPr>
              <w:t>7x</w:t>
            </w:r>
          </w:p>
        </w:tc>
      </w:tr>
      <w:tr>
        <w:trPr>
          <w:trHeight w:val="21"/>
        </w:trPr>
        <w:tc>
          <w:tcPr>
            <w:tcW w:w="8560" w:type="dxa"/>
            <w:vAlign w:val="bottom"/>
            <w:tcBorders>
              <w:bottom w:val="single" w:sz="8" w:color="CFCFD2"/>
            </w:tcBorders>
          </w:tcPr>
          <w:p>
            <w:pPr>
              <w:spacing w:after="0" w:line="20" w:lineRule="exact"/>
              <w:rPr>
                <w:sz w:val="1"/>
                <w:szCs w:val="1"/>
                <w:color w:val="auto"/>
              </w:rPr>
            </w:pPr>
          </w:p>
        </w:tc>
        <w:tc>
          <w:tcPr>
            <w:tcW w:w="2680" w:type="dxa"/>
            <w:vAlign w:val="bottom"/>
            <w:tcBorders>
              <w:bottom w:val="single" w:sz="8" w:color="CFCFD2"/>
            </w:tcBorders>
          </w:tcPr>
          <w:p>
            <w:pPr>
              <w:spacing w:after="0" w:line="20" w:lineRule="exact"/>
              <w:rPr>
                <w:sz w:val="1"/>
                <w:szCs w:val="1"/>
                <w:color w:val="auto"/>
              </w:rPr>
            </w:pPr>
          </w:p>
        </w:tc>
      </w:tr>
      <w:tr>
        <w:trPr>
          <w:trHeight w:val="200"/>
        </w:trPr>
        <w:tc>
          <w:tcPr>
            <w:tcW w:w="8560" w:type="dxa"/>
            <w:vAlign w:val="bottom"/>
          </w:tcPr>
          <w:p>
            <w:pPr>
              <w:ind w:left="100"/>
              <w:spacing w:after="0"/>
              <w:rPr>
                <w:sz w:val="20"/>
                <w:szCs w:val="20"/>
                <w:color w:val="auto"/>
              </w:rPr>
            </w:pPr>
            <w:r>
              <w:rPr>
                <w:rFonts w:ascii="Arial" w:cs="Arial" w:eastAsia="Arial" w:hAnsi="Arial"/>
                <w:sz w:val="14"/>
                <w:szCs w:val="14"/>
                <w:color w:val="0E1020"/>
              </w:rPr>
              <w:t>Other Executive Officers</w:t>
            </w:r>
          </w:p>
        </w:tc>
        <w:tc>
          <w:tcPr>
            <w:tcW w:w="2680" w:type="dxa"/>
            <w:vAlign w:val="bottom"/>
          </w:tcPr>
          <w:p>
            <w:pPr>
              <w:jc w:val="center"/>
              <w:spacing w:after="0"/>
              <w:rPr>
                <w:sz w:val="20"/>
                <w:szCs w:val="20"/>
                <w:color w:val="auto"/>
              </w:rPr>
            </w:pPr>
            <w:r>
              <w:rPr>
                <w:rFonts w:ascii="Arial" w:cs="Arial" w:eastAsia="Arial" w:hAnsi="Arial"/>
                <w:sz w:val="14"/>
                <w:szCs w:val="14"/>
                <w:color w:val="0E1020"/>
              </w:rPr>
              <w:t>3x</w:t>
            </w:r>
          </w:p>
        </w:tc>
      </w:tr>
      <w:tr>
        <w:trPr>
          <w:trHeight w:val="21"/>
        </w:trPr>
        <w:tc>
          <w:tcPr>
            <w:tcW w:w="8560" w:type="dxa"/>
            <w:vAlign w:val="bottom"/>
            <w:tcBorders>
              <w:bottom w:val="single" w:sz="8" w:color="CFCFD2"/>
            </w:tcBorders>
          </w:tcPr>
          <w:p>
            <w:pPr>
              <w:spacing w:after="0" w:line="20" w:lineRule="exact"/>
              <w:rPr>
                <w:sz w:val="1"/>
                <w:szCs w:val="1"/>
                <w:color w:val="auto"/>
              </w:rPr>
            </w:pPr>
          </w:p>
        </w:tc>
        <w:tc>
          <w:tcPr>
            <w:tcW w:w="2680" w:type="dxa"/>
            <w:vAlign w:val="bottom"/>
            <w:tcBorders>
              <w:bottom w:val="single" w:sz="8" w:color="CFCFD2"/>
            </w:tcBorders>
          </w:tcPr>
          <w:p>
            <w:pPr>
              <w:spacing w:after="0" w:line="20" w:lineRule="exact"/>
              <w:rPr>
                <w:sz w:val="1"/>
                <w:szCs w:val="1"/>
                <w:color w:val="auto"/>
              </w:rPr>
            </w:pPr>
          </w:p>
        </w:tc>
      </w:tr>
    </w:tbl>
    <w:p>
      <w:pPr>
        <w:spacing w:after="0" w:line="267" w:lineRule="exact"/>
        <w:rPr>
          <w:sz w:val="20"/>
          <w:szCs w:val="20"/>
          <w:color w:val="auto"/>
        </w:rPr>
      </w:pPr>
    </w:p>
    <w:p>
      <w:pPr>
        <w:ind w:right="180"/>
        <w:spacing w:after="0" w:line="310" w:lineRule="auto"/>
        <w:rPr>
          <w:sz w:val="20"/>
          <w:szCs w:val="20"/>
          <w:color w:val="auto"/>
        </w:rPr>
      </w:pPr>
      <w:r>
        <w:rPr>
          <w:rFonts w:ascii="Arial" w:cs="Arial" w:eastAsia="Arial" w:hAnsi="Arial"/>
          <w:sz w:val="16"/>
          <w:szCs w:val="16"/>
          <w:color w:val="0E1020"/>
        </w:rPr>
        <w:t>Shares owned outright by the executive officer or jointly with, or separately by, his or her immediate family members residing in the same household, shares held in any DXC retirement plan, and unvested time-based RSUs may be counted toward the guideline, but unvested PSUs do not count toward the guideline. Covered executive officers are expected to attain the applicable ownership within five years of being appointed to their positions. The Compensation Committee reviews compliance with the guidelines on an annual basis.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Compensation Recoupment (Clawback) Policy</w:t>
      </w:r>
    </w:p>
    <w:p>
      <w:pPr>
        <w:spacing w:after="0" w:line="133"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color w:val="0E1020"/>
        </w:rPr>
        <w:t>DXC’s prior compensation recoupment or clawback policy allowed us to recover cash or equity performance-based compensation from participants whose fraud or intentional illegal conduct materially contributed to a financial restatement. The policy allowed for the recovery of the difference between compensation awarded or paid and the amount which would have been paid had it been calculated based on the restated financial statements, excluding any tax payments. Effective as of October 2, 2023, we adopted an amended and restated Compensation Recovery Policy to comply with the SEC and New York Stock Exchange new clawback rules. The amended and restated Compensation Recovery Policy applies to erroneously-awarded incentive compensation (including equity awards) received by current and former executive officers on or after October 2, 2023 in the event that we are required to prepare an accounting restatement that corrects an error in previously issued financial statements due to material noncompliance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81</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89" w:name="page90"/>
    <w:bookmarkEnd w:id="89"/>
    <w:p>
      <w:pPr>
        <w:ind w:left="20"/>
        <w:spacing w:after="0"/>
        <w:tabs>
          <w:tab w:leader="none" w:pos="10100" w:val="left"/>
        </w:tabs>
        <w:rPr>
          <w:sz w:val="20"/>
          <w:szCs w:val="20"/>
          <w:color w:val="auto"/>
        </w:rPr>
      </w:pPr>
      <w:r>
        <w:rPr>
          <w:rFonts w:ascii="Arial" w:cs="Arial" w:eastAsia="Arial" w:hAnsi="Arial"/>
          <w:sz w:val="14"/>
          <w:szCs w:val="14"/>
          <w:color w:val="auto"/>
        </w:rPr>
        <w:t>Executive Compensation</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right="20"/>
        <w:spacing w:after="0" w:line="335" w:lineRule="auto"/>
        <w:rPr>
          <w:sz w:val="20"/>
          <w:szCs w:val="20"/>
          <w:color w:val="auto"/>
        </w:rPr>
      </w:pPr>
      <w:r>
        <w:rPr>
          <w:rFonts w:ascii="Arial" w:cs="Arial" w:eastAsia="Arial" w:hAnsi="Arial"/>
          <w:sz w:val="16"/>
          <w:szCs w:val="16"/>
          <w:color w:val="0E1020"/>
        </w:rPr>
        <w:t>with any financial reporting requirement under the securities laws. Any incentive-based compensation received prior to October 2, 2023, would remain subject to our prior clawback policy.</w:t>
      </w:r>
    </w:p>
    <w:p>
      <w:pPr>
        <w:spacing w:after="0" w:line="23" w:lineRule="exact"/>
        <w:rPr>
          <w:sz w:val="20"/>
          <w:szCs w:val="20"/>
          <w:color w:val="auto"/>
        </w:rPr>
      </w:pPr>
    </w:p>
    <w:p>
      <w:pPr>
        <w:ind w:right="420"/>
        <w:spacing w:after="0" w:line="335" w:lineRule="auto"/>
        <w:rPr>
          <w:sz w:val="20"/>
          <w:szCs w:val="20"/>
          <w:color w:val="auto"/>
        </w:rPr>
      </w:pPr>
      <w:r>
        <w:rPr>
          <w:rFonts w:ascii="Arial" w:cs="Arial" w:eastAsia="Arial" w:hAnsi="Arial"/>
          <w:sz w:val="16"/>
          <w:szCs w:val="16"/>
          <w:color w:val="0E1020"/>
        </w:rPr>
        <w:t>In addition, under our equity grant agreements, employees may be required to forfeit awards or gains if the recipient breaches the non-competition, non-solicitation of employees, or non-disclosure provisions of such agreements.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Equity Grant Policy</w:t>
      </w:r>
    </w:p>
    <w:p>
      <w:pPr>
        <w:spacing w:after="0" w:line="13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0E1020"/>
        </w:rPr>
        <w:t>We maintain an Equity Grant Policy and do not take material nonpublic information into account when determining the timing and terms of equity awards or for the purpose of affecting the value of executive compensation. Our Compensation Committee generally approves annual equity awards in the first quarter of the new fiscal year, which allows the Compensation Committee to review and consider the Company’s financial results from the prior fiscal year when making grants. Other than grants made in connection with hiring, promotions and retention, equity awards are generally granted to NEOs (including the CEO and CFO front-loaded equity awards in fiscal 2026) at the same time that equity awards are granted to all other employees who are eligible for such awards.</w:t>
      </w:r>
    </w:p>
    <w:p>
      <w:pPr>
        <w:spacing w:after="0" w:line="47" w:lineRule="exact"/>
        <w:rPr>
          <w:sz w:val="20"/>
          <w:szCs w:val="20"/>
          <w:color w:val="auto"/>
        </w:rPr>
      </w:pPr>
    </w:p>
    <w:p>
      <w:pPr>
        <w:jc w:val="both"/>
        <w:ind w:right="40"/>
        <w:spacing w:after="0" w:line="316" w:lineRule="auto"/>
        <w:rPr>
          <w:sz w:val="20"/>
          <w:szCs w:val="20"/>
          <w:color w:val="auto"/>
        </w:rPr>
      </w:pPr>
      <w:r>
        <w:rPr>
          <w:rFonts w:ascii="Arial" w:cs="Arial" w:eastAsia="Arial" w:hAnsi="Arial"/>
          <w:sz w:val="16"/>
          <w:szCs w:val="16"/>
          <w:color w:val="0E1020"/>
        </w:rPr>
        <w:t>Our long-term incentive compensation does not currently include regular stock option grants; in fiscal 2026, such compensation consisted solely of RSUs and PSUs. In accordance with the Equity Grant Policy, the number of RSUs or target number of PSUs granted is determined by dividing the target grant value by the average closing trading price of the Company’s common stock over the three-calendar month period ending on and including the grant date.</w:t>
      </w:r>
    </w:p>
    <w:p>
      <w:pPr>
        <w:spacing w:after="0" w:line="37" w:lineRule="exact"/>
        <w:rPr>
          <w:sz w:val="20"/>
          <w:szCs w:val="20"/>
          <w:color w:val="auto"/>
        </w:rPr>
      </w:pPr>
    </w:p>
    <w:p>
      <w:pPr>
        <w:ind w:right="320"/>
        <w:spacing w:after="0" w:line="316" w:lineRule="auto"/>
        <w:rPr>
          <w:sz w:val="20"/>
          <w:szCs w:val="20"/>
          <w:color w:val="auto"/>
        </w:rPr>
      </w:pPr>
      <w:r>
        <w:rPr>
          <w:rFonts w:ascii="Arial" w:cs="Arial" w:eastAsia="Arial" w:hAnsi="Arial"/>
          <w:sz w:val="16"/>
          <w:szCs w:val="16"/>
          <w:color w:val="0E1020"/>
        </w:rPr>
        <w:t>Proximity of any awards to an earnings announcement or other market events is coincidental. In the event material nonpublic information were to become known to the Compensation Committee before the grant of an equity award, the Compensation Committee would consider the information and use its business judgment to determine whether to delay the grant to avoid any appearance of impropriety.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Policies on Hedging and Pledging</w:t>
      </w:r>
    </w:p>
    <w:p>
      <w:pPr>
        <w:spacing w:after="0" w:line="133" w:lineRule="exact"/>
        <w:rPr>
          <w:sz w:val="20"/>
          <w:szCs w:val="20"/>
          <w:color w:val="auto"/>
        </w:rPr>
      </w:pPr>
    </w:p>
    <w:p>
      <w:pPr>
        <w:ind w:right="60"/>
        <w:spacing w:after="0" w:line="316" w:lineRule="auto"/>
        <w:rPr>
          <w:sz w:val="20"/>
          <w:szCs w:val="20"/>
          <w:color w:val="auto"/>
        </w:rPr>
      </w:pPr>
      <w:r>
        <w:rPr>
          <w:rFonts w:ascii="Arial" w:cs="Arial" w:eastAsia="Arial" w:hAnsi="Arial"/>
          <w:sz w:val="16"/>
          <w:szCs w:val="16"/>
          <w:color w:val="0E1020"/>
        </w:rPr>
        <w:t>Our policies prohibit employees, officers, and directors from engaging in any speculative or hedging transactions in our securities designed to hedge or offset decreases in the market value of DXC’s securities. No employee, officer, or director may engage in short sales of DXC securities, hold DXC securities in a margin account, or pledge DXC securities as collateral for a loan.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Tax Deductibility of Compensation</w:t>
      </w:r>
    </w:p>
    <w:p>
      <w:pPr>
        <w:spacing w:after="0" w:line="133" w:lineRule="exact"/>
        <w:rPr>
          <w:sz w:val="20"/>
          <w:szCs w:val="20"/>
          <w:color w:val="auto"/>
        </w:rPr>
      </w:pPr>
    </w:p>
    <w:p>
      <w:pPr>
        <w:ind w:right="100"/>
        <w:spacing w:after="0" w:line="300" w:lineRule="auto"/>
        <w:rPr>
          <w:sz w:val="20"/>
          <w:szCs w:val="20"/>
          <w:color w:val="auto"/>
        </w:rPr>
      </w:pPr>
      <w:r>
        <w:rPr>
          <w:rFonts w:ascii="Arial" w:cs="Arial" w:eastAsia="Arial" w:hAnsi="Arial"/>
          <w:sz w:val="16"/>
          <w:szCs w:val="16"/>
          <w:color w:val="0E1020"/>
        </w:rPr>
        <w:t>Section 162(m) of the Internal Revenue Code generally disallows a deduction for annual compensation in excess of $1 million that we pay to our CEO, CFO, our next three most highly compensated officers and any other individual who has served as one of our covered executive officers after 2016, other than pursuant to certain legacy compensation arrangements in effect on November 2, 2017. For any taxable year beginning after December 31, 2026, the American Rescue Plan Act of 2021 updated Section 162(m) to include an additional five highest paid employees to the definition of “covered employees.” Compensation decisions for our NEOs are driven by market competitiveness and the other factors described above in this CD&amp;A, and the Compensation Committee approves non-deductible compensation whenever it believes that corporate objectives justify the cost of being unable to deduct such compensation.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Risk Assessment</w:t>
      </w:r>
    </w:p>
    <w:p>
      <w:pPr>
        <w:spacing w:after="0" w:line="133" w:lineRule="exact"/>
        <w:rPr>
          <w:sz w:val="20"/>
          <w:szCs w:val="20"/>
          <w:color w:val="auto"/>
        </w:rPr>
      </w:pPr>
    </w:p>
    <w:p>
      <w:pPr>
        <w:spacing w:after="0" w:line="301" w:lineRule="auto"/>
        <w:rPr>
          <w:sz w:val="20"/>
          <w:szCs w:val="20"/>
          <w:color w:val="auto"/>
        </w:rPr>
      </w:pPr>
      <w:r>
        <w:rPr>
          <w:rFonts w:ascii="Arial" w:cs="Arial" w:eastAsia="Arial" w:hAnsi="Arial"/>
          <w:sz w:val="16"/>
          <w:szCs w:val="16"/>
          <w:color w:val="0E1020"/>
        </w:rPr>
        <w:t>To assess the risks arising from our compensation policies and practices, management reviewed our various compensation programs for fiscal 2026, and presented this risk assessment to the Compensation Committee. The risk assessment included a review of our compensation plans from various perspectives, as well as other aspects of our programs that mitigate risk, ultimately assessing whether the policies and practices could directly or indirectly encourage or mitigate risk-taking by executives or increase risk to DXC. The assessment concluded that our policies and programs were not reasonably likely to have a material adverse effect on the Company. We also considered the Company’s robust executive stock ownership guidelines, clawback policy and anti-hedging and anti-pledging policies as risk-mitigating features of our executive compensation program.</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82</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90" w:name="page91"/>
    <w:bookmarkEnd w:id="90"/>
    <w:p>
      <w:pPr>
        <w:ind w:left="20"/>
        <w:spacing w:after="0"/>
        <w:tabs>
          <w:tab w:leader="none" w:pos="962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Accounting for Stock-Based Compensation</w:t>
      </w:r>
    </w:p>
    <w:p>
      <w:pPr>
        <w:spacing w:after="0" w:line="146"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0E1020"/>
        </w:rPr>
        <w:t>We follow the Financial Accounting Standards Board’s Accounting Standards Codification Topic 718, or ASC Topic 718, for our stock-based compensation awards. ASC Topic 718 requires companies to calculate the grant date “fair value” of their stock-based awards using a variety of assumptions. ASC Topic 718 also requires companies to recognize the compensation cost of their stock-based awards in their income statements over the period that an employee is required to render service in exchange for the award. Grants of PSUs and RSUs under our equity incentive award plans are accounted for under ASC Topic</w:t>
      </w:r>
    </w:p>
    <w:p>
      <w:pPr>
        <w:spacing w:after="0" w:line="3" w:lineRule="exact"/>
        <w:rPr>
          <w:sz w:val="20"/>
          <w:szCs w:val="20"/>
          <w:color w:val="auto"/>
        </w:rPr>
      </w:pPr>
    </w:p>
    <w:p>
      <w:pPr>
        <w:ind w:right="240" w:firstLine="7"/>
        <w:spacing w:after="0" w:line="307" w:lineRule="auto"/>
        <w:tabs>
          <w:tab w:leader="none" w:pos="358" w:val="left"/>
        </w:tabs>
        <w:numPr>
          <w:ilvl w:val="0"/>
          <w:numId w:val="84"/>
        </w:numPr>
        <w:rPr>
          <w:rFonts w:ascii="Arial" w:cs="Arial" w:eastAsia="Arial" w:hAnsi="Arial"/>
          <w:sz w:val="16"/>
          <w:szCs w:val="16"/>
          <w:color w:val="0E1020"/>
        </w:rPr>
      </w:pPr>
      <w:r>
        <w:rPr>
          <w:rFonts w:ascii="Arial" w:cs="Arial" w:eastAsia="Arial" w:hAnsi="Arial"/>
          <w:sz w:val="16"/>
          <w:szCs w:val="16"/>
          <w:color w:val="0E1020"/>
        </w:rPr>
        <w:t>The Compensation Committee will regularly consider the accounting implications of significant compensation decisions, especially in connection with decisions that relate to our equity incentive award plans and programs. As accounting standards change, the Compensation Committee may revise certain programs to appropriately align accounting expenses of equity awards with the overall executive compensation philosophy and objectives.</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Compensation Committee Report</w:t>
      </w:r>
    </w:p>
    <w:p>
      <w:pPr>
        <w:spacing w:after="0" w:line="148"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color w:val="0E1020"/>
        </w:rPr>
        <w:t>The Compensation Committee of the Board has reviewed and discussed this Compensation Discussion &amp; Analysis (“CD&amp;A”) with management. Based on this review and discussion, it has recommended to the Board that the CD&amp;A be included in this Proxy Statement and in the Annual Report on Form 10-K filed for the fiscal year ended March 31, 2026.</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i w:val="1"/>
          <w:iCs w:val="1"/>
          <w:color w:val="0E1020"/>
        </w:rPr>
        <w:t>Compensation Committee of the Board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Akihiko Washington, Chairman of the Compensation Committee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Anthony Gonzalez</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David Herzog, Chairman of the Board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004AAC"/>
        </w:rPr>
        <w:t>Dawn Rogers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83</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91" w:name="page92"/>
    <w:bookmarkEnd w:id="91"/>
    <w:p>
      <w:pPr>
        <w:ind w:left="1012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216535</wp:posOffset>
            </wp:positionH>
            <wp:positionV relativeFrom="page">
              <wp:posOffset>106045</wp:posOffset>
            </wp:positionV>
            <wp:extent cx="1166495" cy="3232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232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39"/>
          <w:szCs w:val="39"/>
          <w:b w:val="1"/>
          <w:bCs w:val="1"/>
          <w:color w:val="0E1020"/>
        </w:rPr>
        <w:t>EXECUTIVE COMPENSATION TABLES</w:t>
      </w: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Summary Compensation Table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E1020"/>
        </w:rPr>
        <w:t>The following table provides information on the compensation of the NEOs paid or awarded by DXC for fiscal 2026, fiscal 2025 and fiscal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200" w:type="dxa"/>
            <w:vAlign w:val="bottom"/>
            <w:shd w:val="clear" w:color="auto" w:fill="F6F3F0"/>
          </w:tcPr>
          <w:p>
            <w:pPr>
              <w:spacing w:after="0"/>
              <w:rPr>
                <w:sz w:val="19"/>
                <w:szCs w:val="19"/>
                <w:color w:val="auto"/>
              </w:rPr>
            </w:pPr>
          </w:p>
        </w:tc>
        <w:tc>
          <w:tcPr>
            <w:tcW w:w="600" w:type="dxa"/>
            <w:vAlign w:val="bottom"/>
            <w:shd w:val="clear" w:color="auto" w:fill="F6F3F0"/>
          </w:tcPr>
          <w:p>
            <w:pPr>
              <w:spacing w:after="0"/>
              <w:rPr>
                <w:sz w:val="19"/>
                <w:szCs w:val="19"/>
                <w:color w:val="auto"/>
              </w:rPr>
            </w:pPr>
          </w:p>
        </w:tc>
        <w:tc>
          <w:tcPr>
            <w:tcW w:w="1060" w:type="dxa"/>
            <w:vAlign w:val="bottom"/>
            <w:shd w:val="clear" w:color="auto" w:fill="F6F3F0"/>
          </w:tcPr>
          <w:p>
            <w:pPr>
              <w:spacing w:after="0"/>
              <w:rPr>
                <w:sz w:val="19"/>
                <w:szCs w:val="19"/>
                <w:color w:val="auto"/>
              </w:rPr>
            </w:pPr>
          </w:p>
        </w:tc>
        <w:tc>
          <w:tcPr>
            <w:tcW w:w="820" w:type="dxa"/>
            <w:vAlign w:val="bottom"/>
            <w:shd w:val="clear" w:color="auto" w:fill="F6F3F0"/>
          </w:tcPr>
          <w:p>
            <w:pPr>
              <w:spacing w:after="0"/>
              <w:rPr>
                <w:sz w:val="19"/>
                <w:szCs w:val="19"/>
                <w:color w:val="auto"/>
              </w:rPr>
            </w:pPr>
          </w:p>
        </w:tc>
        <w:tc>
          <w:tcPr>
            <w:tcW w:w="1180" w:type="dxa"/>
            <w:vAlign w:val="bottom"/>
            <w:shd w:val="clear" w:color="auto" w:fill="F6F3F0"/>
          </w:tcPr>
          <w:p>
            <w:pPr>
              <w:spacing w:after="0"/>
              <w:rPr>
                <w:sz w:val="19"/>
                <w:szCs w:val="19"/>
                <w:color w:val="auto"/>
              </w:rPr>
            </w:pPr>
          </w:p>
        </w:tc>
        <w:tc>
          <w:tcPr>
            <w:tcW w:w="920" w:type="dxa"/>
            <w:vAlign w:val="bottom"/>
            <w:shd w:val="clear" w:color="auto" w:fill="F6F3F0"/>
          </w:tcPr>
          <w:p>
            <w:pPr>
              <w:spacing w:after="0"/>
              <w:rPr>
                <w:sz w:val="19"/>
                <w:szCs w:val="19"/>
                <w:color w:val="auto"/>
              </w:rPr>
            </w:pPr>
          </w:p>
        </w:tc>
        <w:tc>
          <w:tcPr>
            <w:tcW w:w="1100" w:type="dxa"/>
            <w:vAlign w:val="bottom"/>
            <w:shd w:val="clear" w:color="auto" w:fill="F6F3F0"/>
          </w:tcPr>
          <w:p>
            <w:pPr>
              <w:spacing w:after="0"/>
              <w:rPr>
                <w:sz w:val="19"/>
                <w:szCs w:val="19"/>
                <w:color w:val="auto"/>
              </w:rPr>
            </w:pPr>
          </w:p>
        </w:tc>
        <w:tc>
          <w:tcPr>
            <w:tcW w:w="1400" w:type="dxa"/>
            <w:vAlign w:val="bottom"/>
            <w:shd w:val="clear" w:color="auto" w:fill="F6F3F0"/>
          </w:tcPr>
          <w:p>
            <w:pPr>
              <w:jc w:val="right"/>
              <w:ind w:right="113"/>
              <w:spacing w:after="0"/>
              <w:rPr>
                <w:sz w:val="20"/>
                <w:szCs w:val="20"/>
                <w:color w:val="auto"/>
              </w:rPr>
            </w:pPr>
            <w:r>
              <w:rPr>
                <w:rFonts w:ascii="Arial" w:cs="Arial" w:eastAsia="Arial" w:hAnsi="Arial"/>
                <w:sz w:val="13"/>
                <w:szCs w:val="13"/>
                <w:b w:val="1"/>
                <w:bCs w:val="1"/>
                <w:color w:val="0E1020"/>
              </w:rPr>
              <w:t>Change in Pension</w:t>
            </w:r>
          </w:p>
        </w:tc>
        <w:tc>
          <w:tcPr>
            <w:tcW w:w="960" w:type="dxa"/>
            <w:vAlign w:val="bottom"/>
            <w:shd w:val="clear" w:color="auto" w:fill="F6F3F0"/>
          </w:tcPr>
          <w:p>
            <w:pPr>
              <w:spacing w:after="0"/>
              <w:rPr>
                <w:sz w:val="19"/>
                <w:szCs w:val="19"/>
                <w:color w:val="auto"/>
              </w:rPr>
            </w:pPr>
          </w:p>
        </w:tc>
        <w:tc>
          <w:tcPr>
            <w:tcW w:w="1000" w:type="dxa"/>
            <w:vAlign w:val="bottom"/>
            <w:shd w:val="clear" w:color="auto" w:fill="F6F3F0"/>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200" w:type="dxa"/>
            <w:vAlign w:val="bottom"/>
            <w:shd w:val="clear" w:color="auto" w:fill="F6F3F0"/>
          </w:tcPr>
          <w:p>
            <w:pPr>
              <w:spacing w:after="0"/>
              <w:rPr>
                <w:sz w:val="13"/>
                <w:szCs w:val="13"/>
                <w:color w:val="auto"/>
              </w:rPr>
            </w:pPr>
          </w:p>
        </w:tc>
        <w:tc>
          <w:tcPr>
            <w:tcW w:w="600" w:type="dxa"/>
            <w:vAlign w:val="bottom"/>
            <w:shd w:val="clear" w:color="auto" w:fill="F6F3F0"/>
          </w:tcPr>
          <w:p>
            <w:pPr>
              <w:spacing w:after="0"/>
              <w:rPr>
                <w:sz w:val="13"/>
                <w:szCs w:val="13"/>
                <w:color w:val="auto"/>
              </w:rPr>
            </w:pPr>
          </w:p>
        </w:tc>
        <w:tc>
          <w:tcPr>
            <w:tcW w:w="1060" w:type="dxa"/>
            <w:vAlign w:val="bottom"/>
            <w:shd w:val="clear" w:color="auto" w:fill="F6F3F0"/>
          </w:tcPr>
          <w:p>
            <w:pPr>
              <w:spacing w:after="0"/>
              <w:rPr>
                <w:sz w:val="13"/>
                <w:szCs w:val="13"/>
                <w:color w:val="auto"/>
              </w:rPr>
            </w:pPr>
          </w:p>
        </w:tc>
        <w:tc>
          <w:tcPr>
            <w:tcW w:w="820" w:type="dxa"/>
            <w:vAlign w:val="bottom"/>
            <w:shd w:val="clear" w:color="auto" w:fill="F6F3F0"/>
          </w:tcPr>
          <w:p>
            <w:pPr>
              <w:spacing w:after="0"/>
              <w:rPr>
                <w:sz w:val="13"/>
                <w:szCs w:val="13"/>
                <w:color w:val="auto"/>
              </w:rPr>
            </w:pPr>
          </w:p>
        </w:tc>
        <w:tc>
          <w:tcPr>
            <w:tcW w:w="1180" w:type="dxa"/>
            <w:vAlign w:val="bottom"/>
            <w:shd w:val="clear" w:color="auto" w:fill="F6F3F0"/>
          </w:tcPr>
          <w:p>
            <w:pPr>
              <w:spacing w:after="0"/>
              <w:rPr>
                <w:sz w:val="13"/>
                <w:szCs w:val="13"/>
                <w:color w:val="auto"/>
              </w:rPr>
            </w:pPr>
          </w:p>
        </w:tc>
        <w:tc>
          <w:tcPr>
            <w:tcW w:w="920" w:type="dxa"/>
            <w:vAlign w:val="bottom"/>
            <w:shd w:val="clear" w:color="auto" w:fill="F6F3F0"/>
          </w:tcPr>
          <w:p>
            <w:pPr>
              <w:spacing w:after="0"/>
              <w:rPr>
                <w:sz w:val="13"/>
                <w:szCs w:val="13"/>
                <w:color w:val="auto"/>
              </w:rPr>
            </w:pPr>
          </w:p>
        </w:tc>
        <w:tc>
          <w:tcPr>
            <w:tcW w:w="110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rPr>
              <w:t>Non-Equity</w:t>
            </w:r>
          </w:p>
        </w:tc>
        <w:tc>
          <w:tcPr>
            <w:tcW w:w="1400" w:type="dxa"/>
            <w:vAlign w:val="bottom"/>
            <w:shd w:val="clear" w:color="auto" w:fill="F6F3F0"/>
          </w:tcPr>
          <w:p>
            <w:pPr>
              <w:jc w:val="right"/>
              <w:ind w:right="113"/>
              <w:spacing w:after="0"/>
              <w:rPr>
                <w:sz w:val="20"/>
                <w:szCs w:val="20"/>
                <w:color w:val="auto"/>
              </w:rPr>
            </w:pPr>
            <w:r>
              <w:rPr>
                <w:rFonts w:ascii="Arial" w:cs="Arial" w:eastAsia="Arial" w:hAnsi="Arial"/>
                <w:sz w:val="13"/>
                <w:szCs w:val="13"/>
                <w:b w:val="1"/>
                <w:bCs w:val="1"/>
                <w:color w:val="0E1020"/>
              </w:rPr>
              <w:t>and Nonqualified</w:t>
            </w:r>
          </w:p>
        </w:tc>
        <w:tc>
          <w:tcPr>
            <w:tcW w:w="960" w:type="dxa"/>
            <w:vAlign w:val="bottom"/>
            <w:shd w:val="clear" w:color="auto" w:fill="F6F3F0"/>
          </w:tcPr>
          <w:p>
            <w:pPr>
              <w:spacing w:after="0"/>
              <w:rPr>
                <w:sz w:val="13"/>
                <w:szCs w:val="13"/>
                <w:color w:val="auto"/>
              </w:rPr>
            </w:pPr>
          </w:p>
        </w:tc>
        <w:tc>
          <w:tcPr>
            <w:tcW w:w="1000" w:type="dxa"/>
            <w:vAlign w:val="bottom"/>
            <w:shd w:val="clear" w:color="auto" w:fill="F6F3F0"/>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00" w:type="dxa"/>
            <w:vAlign w:val="bottom"/>
            <w:shd w:val="clear" w:color="auto" w:fill="F6F3F0"/>
          </w:tcPr>
          <w:p>
            <w:pPr>
              <w:spacing w:after="0"/>
              <w:rPr>
                <w:sz w:val="13"/>
                <w:szCs w:val="13"/>
                <w:color w:val="auto"/>
              </w:rPr>
            </w:pPr>
          </w:p>
        </w:tc>
        <w:tc>
          <w:tcPr>
            <w:tcW w:w="600" w:type="dxa"/>
            <w:vAlign w:val="bottom"/>
            <w:shd w:val="clear" w:color="auto" w:fill="F6F3F0"/>
          </w:tcPr>
          <w:p>
            <w:pPr>
              <w:spacing w:after="0"/>
              <w:rPr>
                <w:sz w:val="13"/>
                <w:szCs w:val="13"/>
                <w:color w:val="auto"/>
              </w:rPr>
            </w:pPr>
          </w:p>
        </w:tc>
        <w:tc>
          <w:tcPr>
            <w:tcW w:w="1060" w:type="dxa"/>
            <w:vAlign w:val="bottom"/>
            <w:shd w:val="clear" w:color="auto" w:fill="F6F3F0"/>
          </w:tcPr>
          <w:p>
            <w:pPr>
              <w:spacing w:after="0"/>
              <w:rPr>
                <w:sz w:val="13"/>
                <w:szCs w:val="13"/>
                <w:color w:val="auto"/>
              </w:rPr>
            </w:pPr>
          </w:p>
        </w:tc>
        <w:tc>
          <w:tcPr>
            <w:tcW w:w="820" w:type="dxa"/>
            <w:vAlign w:val="bottom"/>
            <w:shd w:val="clear" w:color="auto" w:fill="F6F3F0"/>
          </w:tcPr>
          <w:p>
            <w:pPr>
              <w:spacing w:after="0"/>
              <w:rPr>
                <w:sz w:val="13"/>
                <w:szCs w:val="13"/>
                <w:color w:val="auto"/>
              </w:rPr>
            </w:pPr>
          </w:p>
        </w:tc>
        <w:tc>
          <w:tcPr>
            <w:tcW w:w="1180" w:type="dxa"/>
            <w:vAlign w:val="bottom"/>
            <w:shd w:val="clear" w:color="auto" w:fill="F6F3F0"/>
          </w:tcPr>
          <w:p>
            <w:pPr>
              <w:spacing w:after="0"/>
              <w:rPr>
                <w:sz w:val="13"/>
                <w:szCs w:val="13"/>
                <w:color w:val="auto"/>
              </w:rPr>
            </w:pPr>
          </w:p>
        </w:tc>
        <w:tc>
          <w:tcPr>
            <w:tcW w:w="920" w:type="dxa"/>
            <w:vAlign w:val="bottom"/>
            <w:shd w:val="clear" w:color="auto" w:fill="F6F3F0"/>
          </w:tcPr>
          <w:p>
            <w:pPr>
              <w:jc w:val="right"/>
              <w:ind w:right="93"/>
              <w:spacing w:after="0"/>
              <w:rPr>
                <w:sz w:val="20"/>
                <w:szCs w:val="20"/>
                <w:color w:val="auto"/>
              </w:rPr>
            </w:pPr>
            <w:r>
              <w:rPr>
                <w:rFonts w:ascii="Arial" w:cs="Arial" w:eastAsia="Arial" w:hAnsi="Arial"/>
                <w:sz w:val="13"/>
                <w:szCs w:val="13"/>
                <w:b w:val="1"/>
                <w:bCs w:val="1"/>
                <w:color w:val="0E1020"/>
              </w:rPr>
              <w:t>Option</w:t>
            </w:r>
          </w:p>
        </w:tc>
        <w:tc>
          <w:tcPr>
            <w:tcW w:w="110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rPr>
              <w:t>Incentive Plan</w:t>
            </w:r>
          </w:p>
        </w:tc>
        <w:tc>
          <w:tcPr>
            <w:tcW w:w="1400" w:type="dxa"/>
            <w:vAlign w:val="bottom"/>
            <w:shd w:val="clear" w:color="auto" w:fill="F6F3F0"/>
          </w:tcPr>
          <w:p>
            <w:pPr>
              <w:jc w:val="right"/>
              <w:ind w:right="113"/>
              <w:spacing w:after="0"/>
              <w:rPr>
                <w:sz w:val="20"/>
                <w:szCs w:val="20"/>
                <w:color w:val="auto"/>
              </w:rPr>
            </w:pPr>
            <w:r>
              <w:rPr>
                <w:rFonts w:ascii="Arial" w:cs="Arial" w:eastAsia="Arial" w:hAnsi="Arial"/>
                <w:sz w:val="13"/>
                <w:szCs w:val="13"/>
                <w:b w:val="1"/>
                <w:bCs w:val="1"/>
                <w:color w:val="0E1020"/>
              </w:rPr>
              <w:t>Deferred Comp.</w:t>
            </w:r>
          </w:p>
        </w:tc>
        <w:tc>
          <w:tcPr>
            <w:tcW w:w="960" w:type="dxa"/>
            <w:vAlign w:val="bottom"/>
            <w:shd w:val="clear" w:color="auto" w:fill="F6F3F0"/>
          </w:tcPr>
          <w:p>
            <w:pPr>
              <w:jc w:val="right"/>
              <w:ind w:right="73"/>
              <w:spacing w:after="0"/>
              <w:rPr>
                <w:sz w:val="20"/>
                <w:szCs w:val="20"/>
                <w:color w:val="auto"/>
              </w:rPr>
            </w:pPr>
            <w:r>
              <w:rPr>
                <w:rFonts w:ascii="Arial" w:cs="Arial" w:eastAsia="Arial" w:hAnsi="Arial"/>
                <w:sz w:val="13"/>
                <w:szCs w:val="13"/>
                <w:b w:val="1"/>
                <w:bCs w:val="1"/>
                <w:color w:val="0E1020"/>
              </w:rPr>
              <w:t>All Other</w:t>
            </w:r>
          </w:p>
        </w:tc>
        <w:tc>
          <w:tcPr>
            <w:tcW w:w="1000" w:type="dxa"/>
            <w:vAlign w:val="bottom"/>
            <w:shd w:val="clear" w:color="auto" w:fill="F6F3F0"/>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200" w:type="dxa"/>
            <w:vAlign w:val="bottom"/>
            <w:shd w:val="clear" w:color="auto" w:fill="F6F3F0"/>
          </w:tcPr>
          <w:p>
            <w:pPr>
              <w:ind w:left="100"/>
              <w:spacing w:after="0"/>
              <w:rPr>
                <w:sz w:val="20"/>
                <w:szCs w:val="20"/>
                <w:color w:val="auto"/>
              </w:rPr>
            </w:pPr>
            <w:r>
              <w:rPr>
                <w:rFonts w:ascii="Arial" w:cs="Arial" w:eastAsia="Arial" w:hAnsi="Arial"/>
                <w:sz w:val="13"/>
                <w:szCs w:val="13"/>
                <w:b w:val="1"/>
                <w:bCs w:val="1"/>
                <w:color w:val="0E1020"/>
              </w:rPr>
              <w:t>Name and</w:t>
            </w:r>
          </w:p>
        </w:tc>
        <w:tc>
          <w:tcPr>
            <w:tcW w:w="600" w:type="dxa"/>
            <w:vAlign w:val="bottom"/>
            <w:shd w:val="clear" w:color="auto" w:fill="F6F3F0"/>
          </w:tcPr>
          <w:p>
            <w:pPr>
              <w:jc w:val="center"/>
              <w:spacing w:after="0"/>
              <w:rPr>
                <w:sz w:val="20"/>
                <w:szCs w:val="20"/>
                <w:color w:val="auto"/>
              </w:rPr>
            </w:pPr>
            <w:r>
              <w:rPr>
                <w:rFonts w:ascii="Arial" w:cs="Arial" w:eastAsia="Arial" w:hAnsi="Arial"/>
                <w:sz w:val="13"/>
                <w:szCs w:val="13"/>
                <w:b w:val="1"/>
                <w:bCs w:val="1"/>
                <w:color w:val="0E1020"/>
              </w:rPr>
              <w:t>Fiscal</w:t>
            </w:r>
          </w:p>
        </w:tc>
        <w:tc>
          <w:tcPr>
            <w:tcW w:w="1060" w:type="dxa"/>
            <w:vAlign w:val="bottom"/>
            <w:shd w:val="clear" w:color="auto" w:fill="F6F3F0"/>
          </w:tcPr>
          <w:p>
            <w:pPr>
              <w:jc w:val="right"/>
              <w:ind w:right="73"/>
              <w:spacing w:after="0" w:line="166" w:lineRule="exact"/>
              <w:rPr>
                <w:sz w:val="20"/>
                <w:szCs w:val="20"/>
                <w:color w:val="auto"/>
              </w:rPr>
            </w:pPr>
            <w:r>
              <w:rPr>
                <w:rFonts w:ascii="Arial" w:cs="Arial" w:eastAsia="Arial" w:hAnsi="Arial"/>
                <w:sz w:val="13"/>
                <w:szCs w:val="13"/>
                <w:b w:val="1"/>
                <w:bCs w:val="1"/>
                <w:color w:val="0E1020"/>
              </w:rPr>
              <w:t>Salary</w:t>
            </w:r>
            <w:r>
              <w:rPr>
                <w:rFonts w:ascii="Arial" w:cs="Arial" w:eastAsia="Arial" w:hAnsi="Arial"/>
                <w:sz w:val="17"/>
                <w:szCs w:val="17"/>
                <w:b w:val="1"/>
                <w:bCs w:val="1"/>
                <w:color w:val="0E1020"/>
                <w:vertAlign w:val="superscript"/>
              </w:rPr>
              <w:t>(1)</w:t>
            </w:r>
          </w:p>
        </w:tc>
        <w:tc>
          <w:tcPr>
            <w:tcW w:w="820" w:type="dxa"/>
            <w:vAlign w:val="bottom"/>
            <w:shd w:val="clear" w:color="auto" w:fill="F6F3F0"/>
          </w:tcPr>
          <w:p>
            <w:pPr>
              <w:jc w:val="right"/>
              <w:spacing w:after="0" w:line="166" w:lineRule="exact"/>
              <w:rPr>
                <w:sz w:val="20"/>
                <w:szCs w:val="20"/>
                <w:color w:val="auto"/>
              </w:rPr>
            </w:pPr>
            <w:r>
              <w:rPr>
                <w:rFonts w:ascii="Arial" w:cs="Arial" w:eastAsia="Arial" w:hAnsi="Arial"/>
                <w:sz w:val="13"/>
                <w:szCs w:val="13"/>
                <w:b w:val="1"/>
                <w:bCs w:val="1"/>
                <w:color w:val="0E1020"/>
              </w:rPr>
              <w:t>Bonus</w:t>
            </w:r>
            <w:r>
              <w:rPr>
                <w:rFonts w:ascii="Arial" w:cs="Arial" w:eastAsia="Arial" w:hAnsi="Arial"/>
                <w:sz w:val="17"/>
                <w:szCs w:val="17"/>
                <w:b w:val="1"/>
                <w:bCs w:val="1"/>
                <w:color w:val="0E1020"/>
                <w:vertAlign w:val="superscript"/>
              </w:rPr>
              <w:t>(2)</w:t>
            </w:r>
          </w:p>
        </w:tc>
        <w:tc>
          <w:tcPr>
            <w:tcW w:w="1180" w:type="dxa"/>
            <w:vAlign w:val="bottom"/>
            <w:shd w:val="clear" w:color="auto" w:fill="F6F3F0"/>
          </w:tcPr>
          <w:p>
            <w:pPr>
              <w:jc w:val="right"/>
              <w:ind w:right="93"/>
              <w:spacing w:after="0" w:line="166" w:lineRule="exact"/>
              <w:rPr>
                <w:sz w:val="20"/>
                <w:szCs w:val="20"/>
                <w:color w:val="auto"/>
              </w:rPr>
            </w:pPr>
            <w:r>
              <w:rPr>
                <w:rFonts w:ascii="Arial" w:cs="Arial" w:eastAsia="Arial" w:hAnsi="Arial"/>
                <w:sz w:val="13"/>
                <w:szCs w:val="13"/>
                <w:b w:val="1"/>
                <w:bCs w:val="1"/>
                <w:color w:val="0E1020"/>
              </w:rPr>
              <w:t>Stock Awards</w:t>
            </w:r>
            <w:r>
              <w:rPr>
                <w:rFonts w:ascii="Arial" w:cs="Arial" w:eastAsia="Arial" w:hAnsi="Arial"/>
                <w:sz w:val="17"/>
                <w:szCs w:val="17"/>
                <w:b w:val="1"/>
                <w:bCs w:val="1"/>
                <w:color w:val="0E1020"/>
                <w:vertAlign w:val="superscript"/>
              </w:rPr>
              <w:t>(3)</w:t>
            </w:r>
          </w:p>
        </w:tc>
        <w:tc>
          <w:tcPr>
            <w:tcW w:w="920" w:type="dxa"/>
            <w:vAlign w:val="bottom"/>
            <w:shd w:val="clear" w:color="auto" w:fill="F6F3F0"/>
          </w:tcPr>
          <w:p>
            <w:pPr>
              <w:jc w:val="right"/>
              <w:ind w:right="93"/>
              <w:spacing w:after="0" w:line="166" w:lineRule="exact"/>
              <w:rPr>
                <w:sz w:val="20"/>
                <w:szCs w:val="20"/>
                <w:color w:val="auto"/>
              </w:rPr>
            </w:pPr>
            <w:r>
              <w:rPr>
                <w:rFonts w:ascii="Arial" w:cs="Arial" w:eastAsia="Arial" w:hAnsi="Arial"/>
                <w:sz w:val="13"/>
                <w:szCs w:val="13"/>
                <w:b w:val="1"/>
                <w:bCs w:val="1"/>
                <w:color w:val="0E1020"/>
              </w:rPr>
              <w:t>Awards</w:t>
            </w:r>
            <w:r>
              <w:rPr>
                <w:rFonts w:ascii="Arial" w:cs="Arial" w:eastAsia="Arial" w:hAnsi="Arial"/>
                <w:sz w:val="17"/>
                <w:szCs w:val="17"/>
                <w:b w:val="1"/>
                <w:bCs w:val="1"/>
                <w:color w:val="0E1020"/>
                <w:vertAlign w:val="superscript"/>
              </w:rPr>
              <w:t>(4)</w:t>
            </w:r>
          </w:p>
        </w:tc>
        <w:tc>
          <w:tcPr>
            <w:tcW w:w="1100" w:type="dxa"/>
            <w:vAlign w:val="bottom"/>
            <w:shd w:val="clear" w:color="auto" w:fill="F6F3F0"/>
          </w:tcPr>
          <w:p>
            <w:pPr>
              <w:jc w:val="right"/>
              <w:spacing w:after="0" w:line="166" w:lineRule="exact"/>
              <w:rPr>
                <w:sz w:val="20"/>
                <w:szCs w:val="20"/>
                <w:color w:val="auto"/>
              </w:rPr>
            </w:pPr>
            <w:r>
              <w:rPr>
                <w:rFonts w:ascii="Arial" w:cs="Arial" w:eastAsia="Arial" w:hAnsi="Arial"/>
                <w:sz w:val="13"/>
                <w:szCs w:val="13"/>
                <w:b w:val="1"/>
                <w:bCs w:val="1"/>
                <w:color w:val="0E1020"/>
              </w:rPr>
              <w:t>Comp.</w:t>
            </w:r>
            <w:r>
              <w:rPr>
                <w:rFonts w:ascii="Arial" w:cs="Arial" w:eastAsia="Arial" w:hAnsi="Arial"/>
                <w:sz w:val="17"/>
                <w:szCs w:val="17"/>
                <w:b w:val="1"/>
                <w:bCs w:val="1"/>
                <w:color w:val="0E1020"/>
                <w:vertAlign w:val="superscript"/>
              </w:rPr>
              <w:t>(5)</w:t>
            </w:r>
          </w:p>
        </w:tc>
        <w:tc>
          <w:tcPr>
            <w:tcW w:w="1400" w:type="dxa"/>
            <w:vAlign w:val="bottom"/>
            <w:shd w:val="clear" w:color="auto" w:fill="F6F3F0"/>
          </w:tcPr>
          <w:p>
            <w:pPr>
              <w:jc w:val="right"/>
              <w:ind w:right="113"/>
              <w:spacing w:after="0" w:line="166" w:lineRule="exact"/>
              <w:rPr>
                <w:sz w:val="20"/>
                <w:szCs w:val="20"/>
                <w:color w:val="auto"/>
              </w:rPr>
            </w:pPr>
            <w:r>
              <w:rPr>
                <w:rFonts w:ascii="Arial" w:cs="Arial" w:eastAsia="Arial" w:hAnsi="Arial"/>
                <w:sz w:val="13"/>
                <w:szCs w:val="13"/>
                <w:b w:val="1"/>
                <w:bCs w:val="1"/>
                <w:color w:val="0E1020"/>
              </w:rPr>
              <w:t>Earnings</w:t>
            </w:r>
            <w:r>
              <w:rPr>
                <w:rFonts w:ascii="Arial" w:cs="Arial" w:eastAsia="Arial" w:hAnsi="Arial"/>
                <w:sz w:val="17"/>
                <w:szCs w:val="17"/>
                <w:b w:val="1"/>
                <w:bCs w:val="1"/>
                <w:color w:val="0E1020"/>
                <w:vertAlign w:val="superscript"/>
              </w:rPr>
              <w:t>(6)</w:t>
            </w:r>
          </w:p>
        </w:tc>
        <w:tc>
          <w:tcPr>
            <w:tcW w:w="960" w:type="dxa"/>
            <w:vAlign w:val="bottom"/>
            <w:shd w:val="clear" w:color="auto" w:fill="F6F3F0"/>
          </w:tcPr>
          <w:p>
            <w:pPr>
              <w:jc w:val="right"/>
              <w:ind w:right="73"/>
              <w:spacing w:after="0" w:line="166" w:lineRule="exact"/>
              <w:rPr>
                <w:sz w:val="20"/>
                <w:szCs w:val="20"/>
                <w:color w:val="auto"/>
              </w:rPr>
            </w:pPr>
            <w:r>
              <w:rPr>
                <w:rFonts w:ascii="Arial" w:cs="Arial" w:eastAsia="Arial" w:hAnsi="Arial"/>
                <w:sz w:val="13"/>
                <w:szCs w:val="13"/>
                <w:b w:val="1"/>
                <w:bCs w:val="1"/>
                <w:color w:val="0E1020"/>
              </w:rPr>
              <w:t>Comp.</w:t>
            </w:r>
            <w:r>
              <w:rPr>
                <w:rFonts w:ascii="Arial" w:cs="Arial" w:eastAsia="Arial" w:hAnsi="Arial"/>
                <w:sz w:val="17"/>
                <w:szCs w:val="17"/>
                <w:b w:val="1"/>
                <w:bCs w:val="1"/>
                <w:color w:val="0E1020"/>
                <w:vertAlign w:val="superscript"/>
              </w:rPr>
              <w:t>(7)</w:t>
            </w:r>
          </w:p>
        </w:tc>
        <w:tc>
          <w:tcPr>
            <w:tcW w:w="1000" w:type="dxa"/>
            <w:vAlign w:val="bottom"/>
            <w:shd w:val="clear" w:color="auto" w:fill="F6F3F0"/>
          </w:tcPr>
          <w:p>
            <w:pPr>
              <w:jc w:val="right"/>
              <w:ind w:right="53"/>
              <w:spacing w:after="0"/>
              <w:rPr>
                <w:sz w:val="20"/>
                <w:szCs w:val="20"/>
                <w:color w:val="auto"/>
              </w:rPr>
            </w:pPr>
            <w:r>
              <w:rPr>
                <w:rFonts w:ascii="Arial" w:cs="Arial" w:eastAsia="Arial" w:hAnsi="Arial"/>
                <w:sz w:val="13"/>
                <w:szCs w:val="13"/>
                <w:b w:val="1"/>
                <w:bCs w:val="1"/>
                <w:color w:val="0E1020"/>
              </w:rPr>
              <w:t>Total</w:t>
            </w:r>
          </w:p>
        </w:tc>
        <w:tc>
          <w:tcPr>
            <w:tcW w:w="0" w:type="dxa"/>
            <w:vAlign w:val="bottom"/>
          </w:tcPr>
          <w:p>
            <w:pPr>
              <w:spacing w:after="0"/>
              <w:rPr>
                <w:sz w:val="1"/>
                <w:szCs w:val="1"/>
                <w:color w:val="auto"/>
              </w:rPr>
            </w:pPr>
          </w:p>
        </w:tc>
      </w:tr>
      <w:tr>
        <w:trPr>
          <w:trHeight w:val="161"/>
        </w:trPr>
        <w:tc>
          <w:tcPr>
            <w:tcW w:w="2200" w:type="dxa"/>
            <w:vAlign w:val="bottom"/>
            <w:shd w:val="clear" w:color="auto" w:fill="F6F3F0"/>
          </w:tcPr>
          <w:p>
            <w:pPr>
              <w:ind w:left="100"/>
              <w:spacing w:after="0"/>
              <w:rPr>
                <w:sz w:val="20"/>
                <w:szCs w:val="20"/>
                <w:color w:val="auto"/>
              </w:rPr>
            </w:pPr>
            <w:r>
              <w:rPr>
                <w:rFonts w:ascii="Arial" w:cs="Arial" w:eastAsia="Arial" w:hAnsi="Arial"/>
                <w:sz w:val="13"/>
                <w:szCs w:val="13"/>
                <w:b w:val="1"/>
                <w:bCs w:val="1"/>
                <w:color w:val="0E1020"/>
              </w:rPr>
              <w:t>Principal Position</w:t>
            </w:r>
          </w:p>
        </w:tc>
        <w:tc>
          <w:tcPr>
            <w:tcW w:w="600" w:type="dxa"/>
            <w:vAlign w:val="bottom"/>
            <w:shd w:val="clear" w:color="auto" w:fill="F6F3F0"/>
          </w:tcPr>
          <w:p>
            <w:pPr>
              <w:jc w:val="center"/>
              <w:spacing w:after="0"/>
              <w:rPr>
                <w:sz w:val="20"/>
                <w:szCs w:val="20"/>
                <w:color w:val="auto"/>
              </w:rPr>
            </w:pPr>
            <w:r>
              <w:rPr>
                <w:rFonts w:ascii="Arial" w:cs="Arial" w:eastAsia="Arial" w:hAnsi="Arial"/>
                <w:sz w:val="13"/>
                <w:szCs w:val="13"/>
                <w:b w:val="1"/>
                <w:bCs w:val="1"/>
                <w:color w:val="0E1020"/>
                <w:w w:val="99"/>
              </w:rPr>
              <w:t>Year</w:t>
            </w:r>
          </w:p>
        </w:tc>
        <w:tc>
          <w:tcPr>
            <w:tcW w:w="1060" w:type="dxa"/>
            <w:vAlign w:val="bottom"/>
            <w:shd w:val="clear" w:color="auto" w:fill="F6F3F0"/>
          </w:tcPr>
          <w:p>
            <w:pPr>
              <w:jc w:val="right"/>
              <w:ind w:right="73"/>
              <w:spacing w:after="0"/>
              <w:rPr>
                <w:sz w:val="20"/>
                <w:szCs w:val="20"/>
                <w:color w:val="auto"/>
              </w:rPr>
            </w:pPr>
            <w:r>
              <w:rPr>
                <w:rFonts w:ascii="Arial" w:cs="Arial" w:eastAsia="Arial" w:hAnsi="Arial"/>
                <w:sz w:val="13"/>
                <w:szCs w:val="13"/>
                <w:b w:val="1"/>
                <w:bCs w:val="1"/>
                <w:color w:val="0E1020"/>
              </w:rPr>
              <w:t>($)</w:t>
            </w:r>
          </w:p>
        </w:tc>
        <w:tc>
          <w:tcPr>
            <w:tcW w:w="82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rPr>
              <w:t>($)</w:t>
            </w:r>
          </w:p>
        </w:tc>
        <w:tc>
          <w:tcPr>
            <w:tcW w:w="1180" w:type="dxa"/>
            <w:vAlign w:val="bottom"/>
            <w:shd w:val="clear" w:color="auto" w:fill="F6F3F0"/>
          </w:tcPr>
          <w:p>
            <w:pPr>
              <w:jc w:val="right"/>
              <w:ind w:right="93"/>
              <w:spacing w:after="0"/>
              <w:rPr>
                <w:sz w:val="20"/>
                <w:szCs w:val="20"/>
                <w:color w:val="auto"/>
              </w:rPr>
            </w:pPr>
            <w:r>
              <w:rPr>
                <w:rFonts w:ascii="Arial" w:cs="Arial" w:eastAsia="Arial" w:hAnsi="Arial"/>
                <w:sz w:val="13"/>
                <w:szCs w:val="13"/>
                <w:b w:val="1"/>
                <w:bCs w:val="1"/>
                <w:color w:val="0E1020"/>
              </w:rPr>
              <w:t>($)</w:t>
            </w:r>
          </w:p>
        </w:tc>
        <w:tc>
          <w:tcPr>
            <w:tcW w:w="920" w:type="dxa"/>
            <w:vAlign w:val="bottom"/>
            <w:shd w:val="clear" w:color="auto" w:fill="F6F3F0"/>
          </w:tcPr>
          <w:p>
            <w:pPr>
              <w:ind w:left="600"/>
              <w:spacing w:after="0"/>
              <w:rPr>
                <w:sz w:val="20"/>
                <w:szCs w:val="20"/>
                <w:color w:val="auto"/>
              </w:rPr>
            </w:pPr>
            <w:r>
              <w:rPr>
                <w:rFonts w:ascii="Arial" w:cs="Arial" w:eastAsia="Arial" w:hAnsi="Arial"/>
                <w:sz w:val="13"/>
                <w:szCs w:val="13"/>
                <w:b w:val="1"/>
                <w:bCs w:val="1"/>
                <w:color w:val="0E1020"/>
              </w:rPr>
              <w:t>($)</w:t>
            </w:r>
          </w:p>
        </w:tc>
        <w:tc>
          <w:tcPr>
            <w:tcW w:w="110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rPr>
              <w:t>($)</w:t>
            </w:r>
          </w:p>
        </w:tc>
        <w:tc>
          <w:tcPr>
            <w:tcW w:w="1400" w:type="dxa"/>
            <w:vAlign w:val="bottom"/>
            <w:shd w:val="clear" w:color="auto" w:fill="F6F3F0"/>
          </w:tcPr>
          <w:p>
            <w:pPr>
              <w:ind w:left="1060"/>
              <w:spacing w:after="0"/>
              <w:rPr>
                <w:sz w:val="20"/>
                <w:szCs w:val="20"/>
                <w:color w:val="auto"/>
              </w:rPr>
            </w:pPr>
            <w:r>
              <w:rPr>
                <w:rFonts w:ascii="Arial" w:cs="Arial" w:eastAsia="Arial" w:hAnsi="Arial"/>
                <w:sz w:val="13"/>
                <w:szCs w:val="13"/>
                <w:b w:val="1"/>
                <w:bCs w:val="1"/>
                <w:color w:val="0E1020"/>
              </w:rPr>
              <w:t>($)</w:t>
            </w:r>
          </w:p>
        </w:tc>
        <w:tc>
          <w:tcPr>
            <w:tcW w:w="960" w:type="dxa"/>
            <w:vAlign w:val="bottom"/>
            <w:shd w:val="clear" w:color="auto" w:fill="F6F3F0"/>
          </w:tcPr>
          <w:p>
            <w:pPr>
              <w:jc w:val="right"/>
              <w:ind w:right="73"/>
              <w:spacing w:after="0"/>
              <w:rPr>
                <w:sz w:val="20"/>
                <w:szCs w:val="20"/>
                <w:color w:val="auto"/>
              </w:rPr>
            </w:pPr>
            <w:r>
              <w:rPr>
                <w:rFonts w:ascii="Arial" w:cs="Arial" w:eastAsia="Arial" w:hAnsi="Arial"/>
                <w:sz w:val="13"/>
                <w:szCs w:val="13"/>
                <w:b w:val="1"/>
                <w:bCs w:val="1"/>
                <w:color w:val="0E1020"/>
              </w:rPr>
              <w:t>($)</w:t>
            </w:r>
          </w:p>
        </w:tc>
        <w:tc>
          <w:tcPr>
            <w:tcW w:w="1000" w:type="dxa"/>
            <w:vAlign w:val="bottom"/>
            <w:shd w:val="clear" w:color="auto" w:fill="F6F3F0"/>
          </w:tcPr>
          <w:p>
            <w:pPr>
              <w:jc w:val="right"/>
              <w:ind w:right="53"/>
              <w:spacing w:after="0"/>
              <w:rPr>
                <w:sz w:val="20"/>
                <w:szCs w:val="20"/>
                <w:color w:val="auto"/>
              </w:rPr>
            </w:pPr>
            <w:r>
              <w:rPr>
                <w:rFonts w:ascii="Arial" w:cs="Arial" w:eastAsia="Arial" w:hAnsi="Arial"/>
                <w:sz w:val="13"/>
                <w:szCs w:val="13"/>
                <w:b w:val="1"/>
                <w:bCs w:val="1"/>
                <w:color w:val="0E1020"/>
              </w:rPr>
              <w:t>($)</w:t>
            </w:r>
          </w:p>
        </w:tc>
        <w:tc>
          <w:tcPr>
            <w:tcW w:w="0" w:type="dxa"/>
            <w:vAlign w:val="bottom"/>
          </w:tcPr>
          <w:p>
            <w:pPr>
              <w:spacing w:after="0"/>
              <w:rPr>
                <w:sz w:val="1"/>
                <w:szCs w:val="1"/>
                <w:color w:val="auto"/>
              </w:rPr>
            </w:pPr>
          </w:p>
        </w:tc>
      </w:tr>
      <w:tr>
        <w:trPr>
          <w:trHeight w:val="185"/>
        </w:trPr>
        <w:tc>
          <w:tcPr>
            <w:tcW w:w="2200" w:type="dxa"/>
            <w:vAlign w:val="bottom"/>
            <w:shd w:val="clear" w:color="auto" w:fill="F6F3F0"/>
          </w:tcPr>
          <w:p>
            <w:pPr>
              <w:ind w:left="100"/>
              <w:spacing w:after="0"/>
              <w:rPr>
                <w:sz w:val="20"/>
                <w:szCs w:val="20"/>
                <w:color w:val="auto"/>
              </w:rPr>
            </w:pPr>
            <w:r>
              <w:rPr>
                <w:rFonts w:ascii="Arial" w:cs="Arial" w:eastAsia="Arial" w:hAnsi="Arial"/>
                <w:sz w:val="13"/>
                <w:szCs w:val="13"/>
                <w:b w:val="1"/>
                <w:bCs w:val="1"/>
                <w:color w:val="0E1020"/>
              </w:rPr>
              <w:t>(a)</w:t>
            </w:r>
          </w:p>
        </w:tc>
        <w:tc>
          <w:tcPr>
            <w:tcW w:w="600" w:type="dxa"/>
            <w:vAlign w:val="bottom"/>
            <w:shd w:val="clear" w:color="auto" w:fill="F6F3F0"/>
          </w:tcPr>
          <w:p>
            <w:pPr>
              <w:jc w:val="center"/>
              <w:spacing w:after="0"/>
              <w:rPr>
                <w:sz w:val="20"/>
                <w:szCs w:val="20"/>
                <w:color w:val="auto"/>
              </w:rPr>
            </w:pPr>
            <w:r>
              <w:rPr>
                <w:rFonts w:ascii="Arial" w:cs="Arial" w:eastAsia="Arial" w:hAnsi="Arial"/>
                <w:sz w:val="13"/>
                <w:szCs w:val="13"/>
                <w:b w:val="1"/>
                <w:bCs w:val="1"/>
                <w:color w:val="0E1020"/>
              </w:rPr>
              <w:t>(b)</w:t>
            </w:r>
          </w:p>
        </w:tc>
        <w:tc>
          <w:tcPr>
            <w:tcW w:w="1060" w:type="dxa"/>
            <w:vAlign w:val="bottom"/>
            <w:shd w:val="clear" w:color="auto" w:fill="F6F3F0"/>
          </w:tcPr>
          <w:p>
            <w:pPr>
              <w:jc w:val="right"/>
              <w:ind w:right="73"/>
              <w:spacing w:after="0"/>
              <w:rPr>
                <w:sz w:val="20"/>
                <w:szCs w:val="20"/>
                <w:color w:val="auto"/>
              </w:rPr>
            </w:pPr>
            <w:r>
              <w:rPr>
                <w:rFonts w:ascii="Arial" w:cs="Arial" w:eastAsia="Arial" w:hAnsi="Arial"/>
                <w:sz w:val="13"/>
                <w:szCs w:val="13"/>
                <w:b w:val="1"/>
                <w:bCs w:val="1"/>
                <w:color w:val="0E1020"/>
              </w:rPr>
              <w:t>(c)</w:t>
            </w:r>
          </w:p>
        </w:tc>
        <w:tc>
          <w:tcPr>
            <w:tcW w:w="82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rPr>
              <w:t>(d)</w:t>
            </w:r>
          </w:p>
        </w:tc>
        <w:tc>
          <w:tcPr>
            <w:tcW w:w="1180" w:type="dxa"/>
            <w:vAlign w:val="bottom"/>
            <w:shd w:val="clear" w:color="auto" w:fill="F6F3F0"/>
          </w:tcPr>
          <w:p>
            <w:pPr>
              <w:jc w:val="right"/>
              <w:ind w:right="93"/>
              <w:spacing w:after="0"/>
              <w:rPr>
                <w:sz w:val="20"/>
                <w:szCs w:val="20"/>
                <w:color w:val="auto"/>
              </w:rPr>
            </w:pPr>
            <w:r>
              <w:rPr>
                <w:rFonts w:ascii="Arial" w:cs="Arial" w:eastAsia="Arial" w:hAnsi="Arial"/>
                <w:sz w:val="13"/>
                <w:szCs w:val="13"/>
                <w:b w:val="1"/>
                <w:bCs w:val="1"/>
                <w:color w:val="0E1020"/>
              </w:rPr>
              <w:t>(e)</w:t>
            </w:r>
          </w:p>
        </w:tc>
        <w:tc>
          <w:tcPr>
            <w:tcW w:w="920" w:type="dxa"/>
            <w:vAlign w:val="bottom"/>
            <w:shd w:val="clear" w:color="auto" w:fill="F6F3F0"/>
          </w:tcPr>
          <w:p>
            <w:pPr>
              <w:jc w:val="right"/>
              <w:ind w:right="93"/>
              <w:spacing w:after="0"/>
              <w:rPr>
                <w:sz w:val="20"/>
                <w:szCs w:val="20"/>
                <w:color w:val="auto"/>
              </w:rPr>
            </w:pPr>
            <w:r>
              <w:rPr>
                <w:rFonts w:ascii="Arial" w:cs="Arial" w:eastAsia="Arial" w:hAnsi="Arial"/>
                <w:sz w:val="13"/>
                <w:szCs w:val="13"/>
                <w:b w:val="1"/>
                <w:bCs w:val="1"/>
                <w:color w:val="0E1020"/>
              </w:rPr>
              <w:t>(f)</w:t>
            </w:r>
          </w:p>
        </w:tc>
        <w:tc>
          <w:tcPr>
            <w:tcW w:w="110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rPr>
              <w:t>(g)</w:t>
            </w:r>
          </w:p>
        </w:tc>
        <w:tc>
          <w:tcPr>
            <w:tcW w:w="1400" w:type="dxa"/>
            <w:vAlign w:val="bottom"/>
            <w:shd w:val="clear" w:color="auto" w:fill="F6F3F0"/>
          </w:tcPr>
          <w:p>
            <w:pPr>
              <w:ind w:left="1060"/>
              <w:spacing w:after="0"/>
              <w:rPr>
                <w:sz w:val="20"/>
                <w:szCs w:val="20"/>
                <w:color w:val="auto"/>
              </w:rPr>
            </w:pPr>
            <w:r>
              <w:rPr>
                <w:rFonts w:ascii="Arial" w:cs="Arial" w:eastAsia="Arial" w:hAnsi="Arial"/>
                <w:sz w:val="13"/>
                <w:szCs w:val="13"/>
                <w:b w:val="1"/>
                <w:bCs w:val="1"/>
                <w:color w:val="0E1020"/>
              </w:rPr>
              <w:t>(h)</w:t>
            </w:r>
          </w:p>
        </w:tc>
        <w:tc>
          <w:tcPr>
            <w:tcW w:w="960" w:type="dxa"/>
            <w:vAlign w:val="bottom"/>
            <w:shd w:val="clear" w:color="auto" w:fill="F6F3F0"/>
          </w:tcPr>
          <w:p>
            <w:pPr>
              <w:jc w:val="right"/>
              <w:ind w:right="73"/>
              <w:spacing w:after="0"/>
              <w:rPr>
                <w:sz w:val="20"/>
                <w:szCs w:val="20"/>
                <w:color w:val="auto"/>
              </w:rPr>
            </w:pPr>
            <w:r>
              <w:rPr>
                <w:rFonts w:ascii="Arial" w:cs="Arial" w:eastAsia="Arial" w:hAnsi="Arial"/>
                <w:sz w:val="13"/>
                <w:szCs w:val="13"/>
                <w:b w:val="1"/>
                <w:bCs w:val="1"/>
                <w:color w:val="0E1020"/>
              </w:rPr>
              <w:t>(i)</w:t>
            </w:r>
          </w:p>
        </w:tc>
        <w:tc>
          <w:tcPr>
            <w:tcW w:w="1000" w:type="dxa"/>
            <w:vAlign w:val="bottom"/>
            <w:shd w:val="clear" w:color="auto" w:fill="F6F3F0"/>
          </w:tcPr>
          <w:p>
            <w:pPr>
              <w:jc w:val="right"/>
              <w:ind w:right="53"/>
              <w:spacing w:after="0"/>
              <w:rPr>
                <w:sz w:val="20"/>
                <w:szCs w:val="20"/>
                <w:color w:val="auto"/>
              </w:rPr>
            </w:pPr>
            <w:r>
              <w:rPr>
                <w:rFonts w:ascii="Arial" w:cs="Arial" w:eastAsia="Arial" w:hAnsi="Arial"/>
                <w:sz w:val="13"/>
                <w:szCs w:val="13"/>
                <w:b w:val="1"/>
                <w:bCs w:val="1"/>
                <w:color w:val="0E1020"/>
              </w:rPr>
              <w:t>(j)</w:t>
            </w:r>
          </w:p>
        </w:tc>
        <w:tc>
          <w:tcPr>
            <w:tcW w:w="0" w:type="dxa"/>
            <w:vAlign w:val="bottom"/>
          </w:tcPr>
          <w:p>
            <w:pPr>
              <w:spacing w:after="0"/>
              <w:rPr>
                <w:sz w:val="1"/>
                <w:szCs w:val="1"/>
                <w:color w:val="auto"/>
              </w:rPr>
            </w:pPr>
          </w:p>
        </w:tc>
      </w:tr>
      <w:tr>
        <w:trPr>
          <w:trHeight w:val="71"/>
        </w:trPr>
        <w:tc>
          <w:tcPr>
            <w:tcW w:w="2200" w:type="dxa"/>
            <w:vAlign w:val="bottom"/>
            <w:tcBorders>
              <w:bottom w:val="single" w:sz="8" w:color="CFCFD2"/>
            </w:tcBorders>
            <w:shd w:val="clear" w:color="auto" w:fill="F6F3F0"/>
          </w:tcPr>
          <w:p>
            <w:pPr>
              <w:spacing w:after="0"/>
              <w:rPr>
                <w:sz w:val="6"/>
                <w:szCs w:val="6"/>
                <w:color w:val="auto"/>
              </w:rPr>
            </w:pPr>
          </w:p>
        </w:tc>
        <w:tc>
          <w:tcPr>
            <w:tcW w:w="600" w:type="dxa"/>
            <w:vAlign w:val="bottom"/>
            <w:tcBorders>
              <w:bottom w:val="single" w:sz="8" w:color="CFCFD2"/>
            </w:tcBorders>
            <w:shd w:val="clear" w:color="auto" w:fill="F6F3F0"/>
          </w:tcPr>
          <w:p>
            <w:pPr>
              <w:spacing w:after="0"/>
              <w:rPr>
                <w:sz w:val="6"/>
                <w:szCs w:val="6"/>
                <w:color w:val="auto"/>
              </w:rPr>
            </w:pPr>
          </w:p>
        </w:tc>
        <w:tc>
          <w:tcPr>
            <w:tcW w:w="1060" w:type="dxa"/>
            <w:vAlign w:val="bottom"/>
            <w:tcBorders>
              <w:bottom w:val="single" w:sz="8" w:color="CFCFD2"/>
            </w:tcBorders>
            <w:shd w:val="clear" w:color="auto" w:fill="F6F3F0"/>
          </w:tcPr>
          <w:p>
            <w:pPr>
              <w:spacing w:after="0"/>
              <w:rPr>
                <w:sz w:val="6"/>
                <w:szCs w:val="6"/>
                <w:color w:val="auto"/>
              </w:rPr>
            </w:pPr>
          </w:p>
        </w:tc>
        <w:tc>
          <w:tcPr>
            <w:tcW w:w="820" w:type="dxa"/>
            <w:vAlign w:val="bottom"/>
            <w:tcBorders>
              <w:bottom w:val="single" w:sz="8" w:color="CFCFD2"/>
            </w:tcBorders>
            <w:shd w:val="clear" w:color="auto" w:fill="F6F3F0"/>
          </w:tcPr>
          <w:p>
            <w:pPr>
              <w:spacing w:after="0"/>
              <w:rPr>
                <w:sz w:val="6"/>
                <w:szCs w:val="6"/>
                <w:color w:val="auto"/>
              </w:rPr>
            </w:pPr>
          </w:p>
        </w:tc>
        <w:tc>
          <w:tcPr>
            <w:tcW w:w="1180" w:type="dxa"/>
            <w:vAlign w:val="bottom"/>
            <w:tcBorders>
              <w:bottom w:val="single" w:sz="8" w:color="CFCFD2"/>
            </w:tcBorders>
            <w:shd w:val="clear" w:color="auto" w:fill="F6F3F0"/>
          </w:tcPr>
          <w:p>
            <w:pPr>
              <w:spacing w:after="0"/>
              <w:rPr>
                <w:sz w:val="6"/>
                <w:szCs w:val="6"/>
                <w:color w:val="auto"/>
              </w:rPr>
            </w:pPr>
          </w:p>
        </w:tc>
        <w:tc>
          <w:tcPr>
            <w:tcW w:w="920" w:type="dxa"/>
            <w:vAlign w:val="bottom"/>
            <w:tcBorders>
              <w:bottom w:val="single" w:sz="8" w:color="CFCFD2"/>
            </w:tcBorders>
            <w:shd w:val="clear" w:color="auto" w:fill="F6F3F0"/>
          </w:tcPr>
          <w:p>
            <w:pPr>
              <w:spacing w:after="0"/>
              <w:rPr>
                <w:sz w:val="6"/>
                <w:szCs w:val="6"/>
                <w:color w:val="auto"/>
              </w:rPr>
            </w:pPr>
          </w:p>
        </w:tc>
        <w:tc>
          <w:tcPr>
            <w:tcW w:w="1100" w:type="dxa"/>
            <w:vAlign w:val="bottom"/>
            <w:tcBorders>
              <w:bottom w:val="single" w:sz="8" w:color="CFCFD2"/>
            </w:tcBorders>
            <w:shd w:val="clear" w:color="auto" w:fill="F6F3F0"/>
          </w:tcPr>
          <w:p>
            <w:pPr>
              <w:spacing w:after="0"/>
              <w:rPr>
                <w:sz w:val="6"/>
                <w:szCs w:val="6"/>
                <w:color w:val="auto"/>
              </w:rPr>
            </w:pPr>
          </w:p>
        </w:tc>
        <w:tc>
          <w:tcPr>
            <w:tcW w:w="1400" w:type="dxa"/>
            <w:vAlign w:val="bottom"/>
            <w:tcBorders>
              <w:bottom w:val="single" w:sz="8" w:color="CFCFD2"/>
            </w:tcBorders>
            <w:shd w:val="clear" w:color="auto" w:fill="F6F3F0"/>
          </w:tcPr>
          <w:p>
            <w:pPr>
              <w:spacing w:after="0"/>
              <w:rPr>
                <w:sz w:val="6"/>
                <w:szCs w:val="6"/>
                <w:color w:val="auto"/>
              </w:rPr>
            </w:pPr>
          </w:p>
        </w:tc>
        <w:tc>
          <w:tcPr>
            <w:tcW w:w="960" w:type="dxa"/>
            <w:vAlign w:val="bottom"/>
            <w:tcBorders>
              <w:bottom w:val="single" w:sz="8" w:color="CFCFD2"/>
            </w:tcBorders>
            <w:shd w:val="clear" w:color="auto" w:fill="F6F3F0"/>
          </w:tcPr>
          <w:p>
            <w:pPr>
              <w:spacing w:after="0"/>
              <w:rPr>
                <w:sz w:val="6"/>
                <w:szCs w:val="6"/>
                <w:color w:val="auto"/>
              </w:rPr>
            </w:pPr>
          </w:p>
        </w:tc>
        <w:tc>
          <w:tcPr>
            <w:tcW w:w="1000" w:type="dxa"/>
            <w:vAlign w:val="bottom"/>
            <w:tcBorders>
              <w:bottom w:val="single" w:sz="8" w:color="CFCFD2"/>
            </w:tcBorders>
            <w:shd w:val="clear" w:color="auto" w:fill="F6F3F0"/>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2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E1020"/>
              </w:rPr>
              <w:t>2026</w:t>
            </w:r>
          </w:p>
        </w:tc>
        <w:tc>
          <w:tcPr>
            <w:tcW w:w="1060" w:type="dxa"/>
            <w:vAlign w:val="bottom"/>
          </w:tcPr>
          <w:p>
            <w:pPr>
              <w:jc w:val="right"/>
              <w:ind w:right="133"/>
              <w:spacing w:after="0"/>
              <w:rPr>
                <w:sz w:val="20"/>
                <w:szCs w:val="20"/>
                <w:color w:val="auto"/>
              </w:rPr>
            </w:pPr>
            <w:r>
              <w:rPr>
                <w:rFonts w:ascii="Arial" w:cs="Arial" w:eastAsia="Arial" w:hAnsi="Arial"/>
                <w:sz w:val="13"/>
                <w:szCs w:val="13"/>
                <w:color w:val="0E1020"/>
              </w:rPr>
              <w:t>1,500,000</w:t>
            </w:r>
          </w:p>
        </w:tc>
        <w:tc>
          <w:tcPr>
            <w:tcW w:w="820" w:type="dxa"/>
            <w:vAlign w:val="bottom"/>
          </w:tcPr>
          <w:p>
            <w:pPr>
              <w:jc w:val="right"/>
              <w:ind w:right="13"/>
              <w:spacing w:after="0"/>
              <w:rPr>
                <w:sz w:val="20"/>
                <w:szCs w:val="20"/>
                <w:color w:val="auto"/>
              </w:rPr>
            </w:pPr>
            <w:r>
              <w:rPr>
                <w:rFonts w:ascii="Arial" w:cs="Arial" w:eastAsia="Arial" w:hAnsi="Arial"/>
                <w:sz w:val="13"/>
                <w:szCs w:val="13"/>
                <w:color w:val="0E1020"/>
              </w:rPr>
              <w:t>—</w:t>
            </w:r>
          </w:p>
        </w:tc>
        <w:tc>
          <w:tcPr>
            <w:tcW w:w="1180" w:type="dxa"/>
            <w:vAlign w:val="bottom"/>
          </w:tcPr>
          <w:p>
            <w:pPr>
              <w:jc w:val="right"/>
              <w:ind w:right="133"/>
              <w:spacing w:after="0"/>
              <w:rPr>
                <w:sz w:val="20"/>
                <w:szCs w:val="20"/>
                <w:color w:val="auto"/>
              </w:rPr>
            </w:pPr>
            <w:r>
              <w:rPr>
                <w:rFonts w:ascii="Arial" w:cs="Arial" w:eastAsia="Arial" w:hAnsi="Arial"/>
                <w:sz w:val="13"/>
                <w:szCs w:val="13"/>
                <w:color w:val="0E1020"/>
              </w:rPr>
              <w:t>42,402,038</w:t>
            </w:r>
          </w:p>
        </w:tc>
        <w:tc>
          <w:tcPr>
            <w:tcW w:w="920" w:type="dxa"/>
            <w:vAlign w:val="bottom"/>
          </w:tcPr>
          <w:p>
            <w:pPr>
              <w:ind w:left="580"/>
              <w:spacing w:after="0"/>
              <w:rPr>
                <w:sz w:val="20"/>
                <w:szCs w:val="20"/>
                <w:color w:val="auto"/>
              </w:rPr>
            </w:pPr>
            <w:r>
              <w:rPr>
                <w:rFonts w:ascii="Arial" w:cs="Arial" w:eastAsia="Arial" w:hAnsi="Arial"/>
                <w:sz w:val="13"/>
                <w:szCs w:val="13"/>
                <w:color w:val="0E1020"/>
              </w:rPr>
              <w:t>—</w:t>
            </w:r>
          </w:p>
        </w:tc>
        <w:tc>
          <w:tcPr>
            <w:tcW w:w="1100" w:type="dxa"/>
            <w:vAlign w:val="bottom"/>
          </w:tcPr>
          <w:p>
            <w:pPr>
              <w:jc w:val="right"/>
              <w:ind w:right="13"/>
              <w:spacing w:after="0"/>
              <w:rPr>
                <w:sz w:val="20"/>
                <w:szCs w:val="20"/>
                <w:color w:val="auto"/>
              </w:rPr>
            </w:pPr>
            <w:r>
              <w:rPr>
                <w:rFonts w:ascii="Arial" w:cs="Arial" w:eastAsia="Arial" w:hAnsi="Arial"/>
                <w:sz w:val="13"/>
                <w:szCs w:val="13"/>
                <w:color w:val="0E1020"/>
              </w:rPr>
              <w:t>2,887,500</w:t>
            </w:r>
          </w:p>
        </w:tc>
        <w:tc>
          <w:tcPr>
            <w:tcW w:w="1400" w:type="dxa"/>
            <w:vAlign w:val="bottom"/>
          </w:tcPr>
          <w:p>
            <w:pPr>
              <w:ind w:left="1040"/>
              <w:spacing w:after="0"/>
              <w:rPr>
                <w:sz w:val="20"/>
                <w:szCs w:val="20"/>
                <w:color w:val="auto"/>
              </w:rPr>
            </w:pPr>
            <w:r>
              <w:rPr>
                <w:rFonts w:ascii="Arial" w:cs="Arial" w:eastAsia="Arial" w:hAnsi="Arial"/>
                <w:sz w:val="13"/>
                <w:szCs w:val="13"/>
                <w:color w:val="0E1020"/>
              </w:rPr>
              <w:t>—</w:t>
            </w:r>
          </w:p>
        </w:tc>
        <w:tc>
          <w:tcPr>
            <w:tcW w:w="960" w:type="dxa"/>
            <w:vAlign w:val="bottom"/>
          </w:tcPr>
          <w:p>
            <w:pPr>
              <w:jc w:val="right"/>
              <w:ind w:right="113"/>
              <w:spacing w:after="0"/>
              <w:rPr>
                <w:sz w:val="20"/>
                <w:szCs w:val="20"/>
                <w:color w:val="auto"/>
              </w:rPr>
            </w:pPr>
            <w:r>
              <w:rPr>
                <w:rFonts w:ascii="Arial" w:cs="Arial" w:eastAsia="Arial" w:hAnsi="Arial"/>
                <w:sz w:val="13"/>
                <w:szCs w:val="13"/>
                <w:color w:val="0E1020"/>
              </w:rPr>
              <w:t>1,001,178</w:t>
            </w:r>
          </w:p>
        </w:tc>
        <w:tc>
          <w:tcPr>
            <w:tcW w:w="1000" w:type="dxa"/>
            <w:vAlign w:val="bottom"/>
          </w:tcPr>
          <w:p>
            <w:pPr>
              <w:jc w:val="right"/>
              <w:ind w:right="113"/>
              <w:spacing w:after="0"/>
              <w:rPr>
                <w:sz w:val="20"/>
                <w:szCs w:val="20"/>
                <w:color w:val="auto"/>
              </w:rPr>
            </w:pPr>
            <w:r>
              <w:rPr>
                <w:rFonts w:ascii="Arial" w:cs="Arial" w:eastAsia="Arial" w:hAnsi="Arial"/>
                <w:sz w:val="13"/>
                <w:szCs w:val="13"/>
                <w:color w:val="0E1020"/>
              </w:rPr>
              <w:t>47,790,716</w:t>
            </w:r>
          </w:p>
        </w:tc>
        <w:tc>
          <w:tcPr>
            <w:tcW w:w="0" w:type="dxa"/>
            <w:vAlign w:val="bottom"/>
          </w:tcPr>
          <w:p>
            <w:pPr>
              <w:spacing w:after="0"/>
              <w:rPr>
                <w:sz w:val="1"/>
                <w:szCs w:val="1"/>
                <w:color w:val="auto"/>
              </w:rPr>
            </w:pPr>
          </w:p>
        </w:tc>
      </w:tr>
      <w:tr>
        <w:trPr>
          <w:trHeight w:val="105"/>
        </w:trPr>
        <w:tc>
          <w:tcPr>
            <w:tcW w:w="2200" w:type="dxa"/>
            <w:vAlign w:val="bottom"/>
            <w:vMerge w:val="restart"/>
          </w:tcPr>
          <w:p>
            <w:pPr>
              <w:ind w:left="20"/>
              <w:spacing w:after="0"/>
              <w:rPr>
                <w:sz w:val="20"/>
                <w:szCs w:val="20"/>
                <w:color w:val="auto"/>
              </w:rPr>
            </w:pPr>
            <w:r>
              <w:rPr>
                <w:rFonts w:ascii="Arial" w:cs="Arial" w:eastAsia="Arial" w:hAnsi="Arial"/>
                <w:sz w:val="13"/>
                <w:szCs w:val="13"/>
                <w:b w:val="1"/>
                <w:bCs w:val="1"/>
                <w:color w:val="004AAC"/>
              </w:rPr>
              <w:t>Raul J. Fernandez</w:t>
            </w:r>
          </w:p>
        </w:tc>
        <w:tc>
          <w:tcPr>
            <w:tcW w:w="600" w:type="dxa"/>
            <w:vAlign w:val="bottom"/>
            <w:tcBorders>
              <w:bottom w:val="single" w:sz="8" w:color="CFCFD2"/>
            </w:tcBorders>
          </w:tcPr>
          <w:p>
            <w:pPr>
              <w:spacing w:after="0"/>
              <w:rPr>
                <w:sz w:val="9"/>
                <w:szCs w:val="9"/>
                <w:color w:val="auto"/>
              </w:rPr>
            </w:pPr>
          </w:p>
        </w:tc>
        <w:tc>
          <w:tcPr>
            <w:tcW w:w="1060" w:type="dxa"/>
            <w:vAlign w:val="bottom"/>
            <w:tcBorders>
              <w:bottom w:val="single" w:sz="8" w:color="CFCFD2"/>
            </w:tcBorders>
          </w:tcPr>
          <w:p>
            <w:pPr>
              <w:spacing w:after="0"/>
              <w:rPr>
                <w:sz w:val="9"/>
                <w:szCs w:val="9"/>
                <w:color w:val="auto"/>
              </w:rPr>
            </w:pPr>
          </w:p>
        </w:tc>
        <w:tc>
          <w:tcPr>
            <w:tcW w:w="820" w:type="dxa"/>
            <w:vAlign w:val="bottom"/>
            <w:tcBorders>
              <w:bottom w:val="single" w:sz="8" w:color="CFCFD2"/>
            </w:tcBorders>
          </w:tcPr>
          <w:p>
            <w:pPr>
              <w:spacing w:after="0"/>
              <w:rPr>
                <w:sz w:val="9"/>
                <w:szCs w:val="9"/>
                <w:color w:val="auto"/>
              </w:rPr>
            </w:pPr>
          </w:p>
        </w:tc>
        <w:tc>
          <w:tcPr>
            <w:tcW w:w="1180" w:type="dxa"/>
            <w:vAlign w:val="bottom"/>
            <w:tcBorders>
              <w:bottom w:val="single" w:sz="8" w:color="CFCFD2"/>
            </w:tcBorders>
          </w:tcPr>
          <w:p>
            <w:pPr>
              <w:spacing w:after="0"/>
              <w:rPr>
                <w:sz w:val="9"/>
                <w:szCs w:val="9"/>
                <w:color w:val="auto"/>
              </w:rPr>
            </w:pPr>
          </w:p>
        </w:tc>
        <w:tc>
          <w:tcPr>
            <w:tcW w:w="920" w:type="dxa"/>
            <w:vAlign w:val="bottom"/>
            <w:tcBorders>
              <w:bottom w:val="single" w:sz="8" w:color="CFCFD2"/>
            </w:tcBorders>
          </w:tcPr>
          <w:p>
            <w:pPr>
              <w:spacing w:after="0"/>
              <w:rPr>
                <w:sz w:val="9"/>
                <w:szCs w:val="9"/>
                <w:color w:val="auto"/>
              </w:rPr>
            </w:pPr>
          </w:p>
        </w:tc>
        <w:tc>
          <w:tcPr>
            <w:tcW w:w="1100" w:type="dxa"/>
            <w:vAlign w:val="bottom"/>
            <w:tcBorders>
              <w:bottom w:val="single" w:sz="8" w:color="CFCFD2"/>
            </w:tcBorders>
          </w:tcPr>
          <w:p>
            <w:pPr>
              <w:spacing w:after="0"/>
              <w:rPr>
                <w:sz w:val="9"/>
                <w:szCs w:val="9"/>
                <w:color w:val="auto"/>
              </w:rPr>
            </w:pPr>
          </w:p>
        </w:tc>
        <w:tc>
          <w:tcPr>
            <w:tcW w:w="1400" w:type="dxa"/>
            <w:vAlign w:val="bottom"/>
            <w:tcBorders>
              <w:bottom w:val="single" w:sz="8" w:color="CFCFD2"/>
            </w:tcBorders>
          </w:tcPr>
          <w:p>
            <w:pPr>
              <w:spacing w:after="0"/>
              <w:rPr>
                <w:sz w:val="9"/>
                <w:szCs w:val="9"/>
                <w:color w:val="auto"/>
              </w:rPr>
            </w:pPr>
          </w:p>
        </w:tc>
        <w:tc>
          <w:tcPr>
            <w:tcW w:w="960" w:type="dxa"/>
            <w:vAlign w:val="bottom"/>
            <w:tcBorders>
              <w:bottom w:val="single" w:sz="8" w:color="CFCFD2"/>
            </w:tcBorders>
          </w:tcPr>
          <w:p>
            <w:pPr>
              <w:spacing w:after="0"/>
              <w:rPr>
                <w:sz w:val="9"/>
                <w:szCs w:val="9"/>
                <w:color w:val="auto"/>
              </w:rPr>
            </w:pPr>
          </w:p>
        </w:tc>
        <w:tc>
          <w:tcPr>
            <w:tcW w:w="1000" w:type="dxa"/>
            <w:vAlign w:val="bottom"/>
            <w:tcBorders>
              <w:bottom w:val="single" w:sz="8" w:color="CFCFD2"/>
            </w:tcBorders>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2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200" w:type="dxa"/>
            <w:vAlign w:val="bottom"/>
          </w:tcPr>
          <w:p>
            <w:pPr>
              <w:ind w:left="20"/>
              <w:spacing w:after="0"/>
              <w:rPr>
                <w:sz w:val="20"/>
                <w:szCs w:val="20"/>
                <w:color w:val="auto"/>
              </w:rPr>
            </w:pPr>
            <w:r>
              <w:rPr>
                <w:rFonts w:ascii="Arial" w:cs="Arial" w:eastAsia="Arial" w:hAnsi="Arial"/>
                <w:sz w:val="13"/>
                <w:szCs w:val="13"/>
                <w:color w:val="0E1020"/>
              </w:rPr>
              <w:t>President and</w:t>
            </w:r>
          </w:p>
        </w:tc>
        <w:tc>
          <w:tcPr>
            <w:tcW w:w="600" w:type="dxa"/>
            <w:vAlign w:val="bottom"/>
          </w:tcPr>
          <w:p>
            <w:pPr>
              <w:jc w:val="center"/>
              <w:spacing w:after="0"/>
              <w:rPr>
                <w:sz w:val="20"/>
                <w:szCs w:val="20"/>
                <w:color w:val="auto"/>
              </w:rPr>
            </w:pPr>
            <w:r>
              <w:rPr>
                <w:rFonts w:ascii="Arial" w:cs="Arial" w:eastAsia="Arial" w:hAnsi="Arial"/>
                <w:sz w:val="13"/>
                <w:szCs w:val="13"/>
                <w:color w:val="0E1020"/>
              </w:rPr>
              <w:t>2025</w:t>
            </w:r>
          </w:p>
        </w:tc>
        <w:tc>
          <w:tcPr>
            <w:tcW w:w="1060" w:type="dxa"/>
            <w:vAlign w:val="bottom"/>
          </w:tcPr>
          <w:p>
            <w:pPr>
              <w:jc w:val="right"/>
              <w:ind w:right="133"/>
              <w:spacing w:after="0"/>
              <w:rPr>
                <w:sz w:val="20"/>
                <w:szCs w:val="20"/>
                <w:color w:val="auto"/>
              </w:rPr>
            </w:pPr>
            <w:r>
              <w:rPr>
                <w:rFonts w:ascii="Arial" w:cs="Arial" w:eastAsia="Arial" w:hAnsi="Arial"/>
                <w:sz w:val="13"/>
                <w:szCs w:val="13"/>
                <w:color w:val="0E1020"/>
              </w:rPr>
              <w:t>1,380,000</w:t>
            </w:r>
          </w:p>
        </w:tc>
        <w:tc>
          <w:tcPr>
            <w:tcW w:w="820" w:type="dxa"/>
            <w:vAlign w:val="bottom"/>
          </w:tcPr>
          <w:p>
            <w:pPr>
              <w:jc w:val="right"/>
              <w:ind w:right="13"/>
              <w:spacing w:after="0"/>
              <w:rPr>
                <w:sz w:val="20"/>
                <w:szCs w:val="20"/>
                <w:color w:val="auto"/>
              </w:rPr>
            </w:pPr>
            <w:r>
              <w:rPr>
                <w:rFonts w:ascii="Arial" w:cs="Arial" w:eastAsia="Arial" w:hAnsi="Arial"/>
                <w:sz w:val="13"/>
                <w:szCs w:val="13"/>
                <w:color w:val="0E1020"/>
              </w:rPr>
              <w:t>—</w:t>
            </w:r>
          </w:p>
        </w:tc>
        <w:tc>
          <w:tcPr>
            <w:tcW w:w="1180" w:type="dxa"/>
            <w:vAlign w:val="bottom"/>
          </w:tcPr>
          <w:p>
            <w:pPr>
              <w:jc w:val="right"/>
              <w:ind w:right="133"/>
              <w:spacing w:after="0"/>
              <w:rPr>
                <w:sz w:val="20"/>
                <w:szCs w:val="20"/>
                <w:color w:val="auto"/>
              </w:rPr>
            </w:pPr>
            <w:r>
              <w:rPr>
                <w:rFonts w:ascii="Arial" w:cs="Arial" w:eastAsia="Arial" w:hAnsi="Arial"/>
                <w:sz w:val="13"/>
                <w:szCs w:val="13"/>
                <w:color w:val="0E1020"/>
              </w:rPr>
              <w:t>11,941,625</w:t>
            </w:r>
          </w:p>
        </w:tc>
        <w:tc>
          <w:tcPr>
            <w:tcW w:w="920" w:type="dxa"/>
            <w:vAlign w:val="bottom"/>
          </w:tcPr>
          <w:p>
            <w:pPr>
              <w:ind w:left="580"/>
              <w:spacing w:after="0"/>
              <w:rPr>
                <w:sz w:val="20"/>
                <w:szCs w:val="20"/>
                <w:color w:val="auto"/>
              </w:rPr>
            </w:pPr>
            <w:r>
              <w:rPr>
                <w:rFonts w:ascii="Arial" w:cs="Arial" w:eastAsia="Arial" w:hAnsi="Arial"/>
                <w:sz w:val="13"/>
                <w:szCs w:val="13"/>
                <w:color w:val="0E1020"/>
              </w:rPr>
              <w:t>—</w:t>
            </w:r>
          </w:p>
        </w:tc>
        <w:tc>
          <w:tcPr>
            <w:tcW w:w="1100" w:type="dxa"/>
            <w:vAlign w:val="bottom"/>
          </w:tcPr>
          <w:p>
            <w:pPr>
              <w:jc w:val="right"/>
              <w:ind w:right="13"/>
              <w:spacing w:after="0"/>
              <w:rPr>
                <w:sz w:val="20"/>
                <w:szCs w:val="20"/>
                <w:color w:val="auto"/>
              </w:rPr>
            </w:pPr>
            <w:r>
              <w:rPr>
                <w:rFonts w:ascii="Arial" w:cs="Arial" w:eastAsia="Arial" w:hAnsi="Arial"/>
                <w:sz w:val="13"/>
                <w:szCs w:val="13"/>
                <w:color w:val="0E1020"/>
              </w:rPr>
              <w:t>2,520,000</w:t>
            </w:r>
          </w:p>
        </w:tc>
        <w:tc>
          <w:tcPr>
            <w:tcW w:w="1400" w:type="dxa"/>
            <w:vAlign w:val="bottom"/>
          </w:tcPr>
          <w:p>
            <w:pPr>
              <w:ind w:left="1040"/>
              <w:spacing w:after="0"/>
              <w:rPr>
                <w:sz w:val="20"/>
                <w:szCs w:val="20"/>
                <w:color w:val="auto"/>
              </w:rPr>
            </w:pPr>
            <w:r>
              <w:rPr>
                <w:rFonts w:ascii="Arial" w:cs="Arial" w:eastAsia="Arial" w:hAnsi="Arial"/>
                <w:sz w:val="13"/>
                <w:szCs w:val="13"/>
                <w:color w:val="0E1020"/>
              </w:rPr>
              <w:t>—</w:t>
            </w:r>
          </w:p>
        </w:tc>
        <w:tc>
          <w:tcPr>
            <w:tcW w:w="960" w:type="dxa"/>
            <w:vAlign w:val="bottom"/>
          </w:tcPr>
          <w:p>
            <w:pPr>
              <w:jc w:val="right"/>
              <w:ind w:right="113"/>
              <w:spacing w:after="0"/>
              <w:rPr>
                <w:sz w:val="20"/>
                <w:szCs w:val="20"/>
                <w:color w:val="auto"/>
              </w:rPr>
            </w:pPr>
            <w:r>
              <w:rPr>
                <w:rFonts w:ascii="Arial" w:cs="Arial" w:eastAsia="Arial" w:hAnsi="Arial"/>
                <w:sz w:val="13"/>
                <w:szCs w:val="13"/>
                <w:color w:val="0E1020"/>
              </w:rPr>
              <w:t>896,123</w:t>
            </w:r>
          </w:p>
        </w:tc>
        <w:tc>
          <w:tcPr>
            <w:tcW w:w="1000" w:type="dxa"/>
            <w:vAlign w:val="bottom"/>
          </w:tcPr>
          <w:p>
            <w:pPr>
              <w:jc w:val="right"/>
              <w:ind w:right="113"/>
              <w:spacing w:after="0"/>
              <w:rPr>
                <w:sz w:val="20"/>
                <w:szCs w:val="20"/>
                <w:color w:val="auto"/>
              </w:rPr>
            </w:pPr>
            <w:r>
              <w:rPr>
                <w:rFonts w:ascii="Arial" w:cs="Arial" w:eastAsia="Arial" w:hAnsi="Arial"/>
                <w:sz w:val="13"/>
                <w:szCs w:val="13"/>
                <w:color w:val="0E1020"/>
              </w:rPr>
              <w:t>16,737,748</w:t>
            </w:r>
          </w:p>
        </w:tc>
        <w:tc>
          <w:tcPr>
            <w:tcW w:w="0" w:type="dxa"/>
            <w:vAlign w:val="bottom"/>
          </w:tcPr>
          <w:p>
            <w:pPr>
              <w:spacing w:after="0"/>
              <w:rPr>
                <w:sz w:val="1"/>
                <w:szCs w:val="1"/>
                <w:color w:val="auto"/>
              </w:rPr>
            </w:pPr>
          </w:p>
        </w:tc>
      </w:tr>
      <w:tr>
        <w:trPr>
          <w:trHeight w:val="120"/>
        </w:trPr>
        <w:tc>
          <w:tcPr>
            <w:tcW w:w="2200" w:type="dxa"/>
            <w:vAlign w:val="bottom"/>
          </w:tcPr>
          <w:p>
            <w:pPr>
              <w:ind w:left="20"/>
              <w:spacing w:after="0" w:line="113" w:lineRule="exact"/>
              <w:rPr>
                <w:sz w:val="20"/>
                <w:szCs w:val="20"/>
                <w:color w:val="auto"/>
              </w:rPr>
            </w:pPr>
            <w:r>
              <w:rPr>
                <w:rFonts w:ascii="Arial" w:cs="Arial" w:eastAsia="Arial" w:hAnsi="Arial"/>
                <w:sz w:val="13"/>
                <w:szCs w:val="13"/>
                <w:color w:val="0E1020"/>
              </w:rPr>
              <w:t>Chief Executive Officer</w:t>
            </w:r>
          </w:p>
        </w:tc>
        <w:tc>
          <w:tcPr>
            <w:tcW w:w="600" w:type="dxa"/>
            <w:vAlign w:val="bottom"/>
            <w:tcBorders>
              <w:bottom w:val="single" w:sz="8" w:color="CFCFD2"/>
            </w:tcBorders>
          </w:tcPr>
          <w:p>
            <w:pPr>
              <w:spacing w:after="0"/>
              <w:rPr>
                <w:sz w:val="10"/>
                <w:szCs w:val="10"/>
                <w:color w:val="auto"/>
              </w:rPr>
            </w:pPr>
          </w:p>
        </w:tc>
        <w:tc>
          <w:tcPr>
            <w:tcW w:w="1060" w:type="dxa"/>
            <w:vAlign w:val="bottom"/>
            <w:tcBorders>
              <w:bottom w:val="single" w:sz="8" w:color="CFCFD2"/>
            </w:tcBorders>
          </w:tcPr>
          <w:p>
            <w:pPr>
              <w:spacing w:after="0"/>
              <w:rPr>
                <w:sz w:val="10"/>
                <w:szCs w:val="10"/>
                <w:color w:val="auto"/>
              </w:rPr>
            </w:pPr>
          </w:p>
        </w:tc>
        <w:tc>
          <w:tcPr>
            <w:tcW w:w="820" w:type="dxa"/>
            <w:vAlign w:val="bottom"/>
            <w:tcBorders>
              <w:bottom w:val="single" w:sz="8" w:color="CFCFD2"/>
            </w:tcBorders>
          </w:tcPr>
          <w:p>
            <w:pPr>
              <w:spacing w:after="0"/>
              <w:rPr>
                <w:sz w:val="10"/>
                <w:szCs w:val="10"/>
                <w:color w:val="auto"/>
              </w:rPr>
            </w:pPr>
          </w:p>
        </w:tc>
        <w:tc>
          <w:tcPr>
            <w:tcW w:w="1180" w:type="dxa"/>
            <w:vAlign w:val="bottom"/>
            <w:tcBorders>
              <w:bottom w:val="single" w:sz="8" w:color="CFCFD2"/>
            </w:tcBorders>
          </w:tcPr>
          <w:p>
            <w:pPr>
              <w:spacing w:after="0"/>
              <w:rPr>
                <w:sz w:val="10"/>
                <w:szCs w:val="10"/>
                <w:color w:val="auto"/>
              </w:rPr>
            </w:pPr>
          </w:p>
        </w:tc>
        <w:tc>
          <w:tcPr>
            <w:tcW w:w="920" w:type="dxa"/>
            <w:vAlign w:val="bottom"/>
            <w:tcBorders>
              <w:bottom w:val="single" w:sz="8" w:color="CFCFD2"/>
            </w:tcBorders>
          </w:tcPr>
          <w:p>
            <w:pPr>
              <w:spacing w:after="0"/>
              <w:rPr>
                <w:sz w:val="10"/>
                <w:szCs w:val="10"/>
                <w:color w:val="auto"/>
              </w:rPr>
            </w:pPr>
          </w:p>
        </w:tc>
        <w:tc>
          <w:tcPr>
            <w:tcW w:w="1100" w:type="dxa"/>
            <w:vAlign w:val="bottom"/>
            <w:tcBorders>
              <w:bottom w:val="single" w:sz="8" w:color="CFCFD2"/>
            </w:tcBorders>
          </w:tcPr>
          <w:p>
            <w:pPr>
              <w:spacing w:after="0"/>
              <w:rPr>
                <w:sz w:val="10"/>
                <w:szCs w:val="10"/>
                <w:color w:val="auto"/>
              </w:rPr>
            </w:pPr>
          </w:p>
        </w:tc>
        <w:tc>
          <w:tcPr>
            <w:tcW w:w="1400" w:type="dxa"/>
            <w:vAlign w:val="bottom"/>
            <w:tcBorders>
              <w:bottom w:val="single" w:sz="8" w:color="CFCFD2"/>
            </w:tcBorders>
          </w:tcPr>
          <w:p>
            <w:pPr>
              <w:spacing w:after="0"/>
              <w:rPr>
                <w:sz w:val="10"/>
                <w:szCs w:val="10"/>
                <w:color w:val="auto"/>
              </w:rPr>
            </w:pPr>
          </w:p>
        </w:tc>
        <w:tc>
          <w:tcPr>
            <w:tcW w:w="960" w:type="dxa"/>
            <w:vAlign w:val="bottom"/>
            <w:tcBorders>
              <w:bottom w:val="single" w:sz="8" w:color="CFCFD2"/>
            </w:tcBorders>
          </w:tcPr>
          <w:p>
            <w:pPr>
              <w:spacing w:after="0"/>
              <w:rPr>
                <w:sz w:val="10"/>
                <w:szCs w:val="10"/>
                <w:color w:val="auto"/>
              </w:rPr>
            </w:pPr>
          </w:p>
        </w:tc>
        <w:tc>
          <w:tcPr>
            <w:tcW w:w="1000" w:type="dxa"/>
            <w:vAlign w:val="bottom"/>
            <w:tcBorders>
              <w:bottom w:val="single" w:sz="8" w:color="CFCFD2"/>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20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E1020"/>
              </w:rPr>
              <w:t>2024</w:t>
            </w:r>
          </w:p>
        </w:tc>
        <w:tc>
          <w:tcPr>
            <w:tcW w:w="1060" w:type="dxa"/>
            <w:vAlign w:val="bottom"/>
          </w:tcPr>
          <w:p>
            <w:pPr>
              <w:jc w:val="right"/>
              <w:ind w:right="133"/>
              <w:spacing w:after="0"/>
              <w:rPr>
                <w:sz w:val="20"/>
                <w:szCs w:val="20"/>
                <w:color w:val="auto"/>
              </w:rPr>
            </w:pPr>
            <w:r>
              <w:rPr>
                <w:rFonts w:ascii="Arial" w:cs="Arial" w:eastAsia="Arial" w:hAnsi="Arial"/>
                <w:sz w:val="13"/>
                <w:szCs w:val="13"/>
                <w:color w:val="0E1020"/>
              </w:rPr>
              <w:t>334,385</w:t>
            </w:r>
          </w:p>
        </w:tc>
        <w:tc>
          <w:tcPr>
            <w:tcW w:w="820" w:type="dxa"/>
            <w:vAlign w:val="bottom"/>
          </w:tcPr>
          <w:p>
            <w:pPr>
              <w:jc w:val="right"/>
              <w:ind w:right="13"/>
              <w:spacing w:after="0"/>
              <w:rPr>
                <w:sz w:val="20"/>
                <w:szCs w:val="20"/>
                <w:color w:val="auto"/>
              </w:rPr>
            </w:pPr>
            <w:r>
              <w:rPr>
                <w:rFonts w:ascii="Arial" w:cs="Arial" w:eastAsia="Arial" w:hAnsi="Arial"/>
                <w:sz w:val="13"/>
                <w:szCs w:val="13"/>
                <w:color w:val="0E1020"/>
              </w:rPr>
              <w:t>1,000,000</w:t>
            </w:r>
          </w:p>
        </w:tc>
        <w:tc>
          <w:tcPr>
            <w:tcW w:w="1180" w:type="dxa"/>
            <w:vAlign w:val="bottom"/>
          </w:tcPr>
          <w:p>
            <w:pPr>
              <w:jc w:val="right"/>
              <w:ind w:right="133"/>
              <w:spacing w:after="0"/>
              <w:rPr>
                <w:sz w:val="20"/>
                <w:szCs w:val="20"/>
                <w:color w:val="auto"/>
              </w:rPr>
            </w:pPr>
            <w:r>
              <w:rPr>
                <w:rFonts w:ascii="Arial" w:cs="Arial" w:eastAsia="Arial" w:hAnsi="Arial"/>
                <w:sz w:val="13"/>
                <w:szCs w:val="13"/>
                <w:color w:val="0E1020"/>
              </w:rPr>
              <w:t>8,208,431</w:t>
            </w:r>
          </w:p>
        </w:tc>
        <w:tc>
          <w:tcPr>
            <w:tcW w:w="920" w:type="dxa"/>
            <w:vAlign w:val="bottom"/>
          </w:tcPr>
          <w:p>
            <w:pPr>
              <w:ind w:left="580"/>
              <w:spacing w:after="0"/>
              <w:rPr>
                <w:sz w:val="20"/>
                <w:szCs w:val="20"/>
                <w:color w:val="auto"/>
              </w:rPr>
            </w:pPr>
            <w:r>
              <w:rPr>
                <w:rFonts w:ascii="Arial" w:cs="Arial" w:eastAsia="Arial" w:hAnsi="Arial"/>
                <w:sz w:val="13"/>
                <w:szCs w:val="13"/>
                <w:color w:val="0E1020"/>
              </w:rPr>
              <w:t>—</w:t>
            </w:r>
          </w:p>
        </w:tc>
        <w:tc>
          <w:tcPr>
            <w:tcW w:w="1100" w:type="dxa"/>
            <w:vAlign w:val="bottom"/>
          </w:tcPr>
          <w:p>
            <w:pPr>
              <w:jc w:val="right"/>
              <w:ind w:right="13"/>
              <w:spacing w:after="0"/>
              <w:rPr>
                <w:sz w:val="20"/>
                <w:szCs w:val="20"/>
                <w:color w:val="auto"/>
              </w:rPr>
            </w:pPr>
            <w:r>
              <w:rPr>
                <w:rFonts w:ascii="Arial" w:cs="Arial" w:eastAsia="Arial" w:hAnsi="Arial"/>
                <w:sz w:val="13"/>
                <w:szCs w:val="13"/>
                <w:color w:val="0E1020"/>
              </w:rPr>
              <w:t>—</w:t>
            </w:r>
          </w:p>
        </w:tc>
        <w:tc>
          <w:tcPr>
            <w:tcW w:w="1400" w:type="dxa"/>
            <w:vAlign w:val="bottom"/>
          </w:tcPr>
          <w:p>
            <w:pPr>
              <w:ind w:left="1040"/>
              <w:spacing w:after="0"/>
              <w:rPr>
                <w:sz w:val="20"/>
                <w:szCs w:val="20"/>
                <w:color w:val="auto"/>
              </w:rPr>
            </w:pPr>
            <w:r>
              <w:rPr>
                <w:rFonts w:ascii="Arial" w:cs="Arial" w:eastAsia="Arial" w:hAnsi="Arial"/>
                <w:sz w:val="13"/>
                <w:szCs w:val="13"/>
                <w:color w:val="0E1020"/>
              </w:rPr>
              <w:t>—</w:t>
            </w:r>
          </w:p>
        </w:tc>
        <w:tc>
          <w:tcPr>
            <w:tcW w:w="960" w:type="dxa"/>
            <w:vAlign w:val="bottom"/>
          </w:tcPr>
          <w:p>
            <w:pPr>
              <w:jc w:val="right"/>
              <w:ind w:right="113"/>
              <w:spacing w:after="0"/>
              <w:rPr>
                <w:sz w:val="20"/>
                <w:szCs w:val="20"/>
                <w:color w:val="auto"/>
              </w:rPr>
            </w:pPr>
            <w:r>
              <w:rPr>
                <w:rFonts w:ascii="Arial" w:cs="Arial" w:eastAsia="Arial" w:hAnsi="Arial"/>
                <w:sz w:val="13"/>
                <w:szCs w:val="13"/>
                <w:color w:val="0E1020"/>
              </w:rPr>
              <w:t>123,847</w:t>
            </w:r>
          </w:p>
        </w:tc>
        <w:tc>
          <w:tcPr>
            <w:tcW w:w="1000" w:type="dxa"/>
            <w:vAlign w:val="bottom"/>
          </w:tcPr>
          <w:p>
            <w:pPr>
              <w:jc w:val="right"/>
              <w:ind w:right="113"/>
              <w:spacing w:after="0"/>
              <w:rPr>
                <w:sz w:val="20"/>
                <w:szCs w:val="20"/>
                <w:color w:val="auto"/>
              </w:rPr>
            </w:pPr>
            <w:r>
              <w:rPr>
                <w:rFonts w:ascii="Arial" w:cs="Arial" w:eastAsia="Arial" w:hAnsi="Arial"/>
                <w:sz w:val="13"/>
                <w:szCs w:val="13"/>
                <w:color w:val="0E1020"/>
              </w:rPr>
              <w:t>9,666,663</w:t>
            </w:r>
          </w:p>
        </w:tc>
        <w:tc>
          <w:tcPr>
            <w:tcW w:w="0" w:type="dxa"/>
            <w:vAlign w:val="bottom"/>
          </w:tcPr>
          <w:p>
            <w:pPr>
              <w:spacing w:after="0"/>
              <w:rPr>
                <w:sz w:val="1"/>
                <w:szCs w:val="1"/>
                <w:color w:val="auto"/>
              </w:rPr>
            </w:pPr>
          </w:p>
        </w:tc>
      </w:tr>
      <w:tr>
        <w:trPr>
          <w:trHeight w:val="146"/>
        </w:trPr>
        <w:tc>
          <w:tcPr>
            <w:tcW w:w="2200" w:type="dxa"/>
            <w:vAlign w:val="bottom"/>
            <w:tcBorders>
              <w:bottom w:val="single" w:sz="8" w:color="CFCFD2"/>
            </w:tcBorders>
          </w:tcPr>
          <w:p>
            <w:pPr>
              <w:spacing w:after="0"/>
              <w:rPr>
                <w:sz w:val="12"/>
                <w:szCs w:val="12"/>
                <w:color w:val="auto"/>
              </w:rPr>
            </w:pPr>
          </w:p>
        </w:tc>
        <w:tc>
          <w:tcPr>
            <w:tcW w:w="600" w:type="dxa"/>
            <w:vAlign w:val="bottom"/>
            <w:tcBorders>
              <w:bottom w:val="single" w:sz="8" w:color="CFCFD2"/>
            </w:tcBorders>
          </w:tcPr>
          <w:p>
            <w:pPr>
              <w:spacing w:after="0"/>
              <w:rPr>
                <w:sz w:val="12"/>
                <w:szCs w:val="12"/>
                <w:color w:val="auto"/>
              </w:rPr>
            </w:pPr>
          </w:p>
        </w:tc>
        <w:tc>
          <w:tcPr>
            <w:tcW w:w="1060" w:type="dxa"/>
            <w:vAlign w:val="bottom"/>
            <w:tcBorders>
              <w:bottom w:val="single" w:sz="8" w:color="CFCFD2"/>
            </w:tcBorders>
          </w:tcPr>
          <w:p>
            <w:pPr>
              <w:spacing w:after="0"/>
              <w:rPr>
                <w:sz w:val="12"/>
                <w:szCs w:val="12"/>
                <w:color w:val="auto"/>
              </w:rPr>
            </w:pPr>
          </w:p>
        </w:tc>
        <w:tc>
          <w:tcPr>
            <w:tcW w:w="820" w:type="dxa"/>
            <w:vAlign w:val="bottom"/>
            <w:tcBorders>
              <w:bottom w:val="single" w:sz="8" w:color="CFCFD2"/>
            </w:tcBorders>
          </w:tcPr>
          <w:p>
            <w:pPr>
              <w:spacing w:after="0"/>
              <w:rPr>
                <w:sz w:val="12"/>
                <w:szCs w:val="12"/>
                <w:color w:val="auto"/>
              </w:rPr>
            </w:pPr>
          </w:p>
        </w:tc>
        <w:tc>
          <w:tcPr>
            <w:tcW w:w="1180" w:type="dxa"/>
            <w:vAlign w:val="bottom"/>
            <w:tcBorders>
              <w:bottom w:val="single" w:sz="8" w:color="CFCFD2"/>
            </w:tcBorders>
          </w:tcPr>
          <w:p>
            <w:pPr>
              <w:spacing w:after="0"/>
              <w:rPr>
                <w:sz w:val="12"/>
                <w:szCs w:val="12"/>
                <w:color w:val="auto"/>
              </w:rPr>
            </w:pPr>
          </w:p>
        </w:tc>
        <w:tc>
          <w:tcPr>
            <w:tcW w:w="920" w:type="dxa"/>
            <w:vAlign w:val="bottom"/>
            <w:tcBorders>
              <w:bottom w:val="single" w:sz="8" w:color="CFCFD2"/>
            </w:tcBorders>
          </w:tcPr>
          <w:p>
            <w:pPr>
              <w:spacing w:after="0"/>
              <w:rPr>
                <w:sz w:val="12"/>
                <w:szCs w:val="12"/>
                <w:color w:val="auto"/>
              </w:rPr>
            </w:pPr>
          </w:p>
        </w:tc>
        <w:tc>
          <w:tcPr>
            <w:tcW w:w="1100" w:type="dxa"/>
            <w:vAlign w:val="bottom"/>
            <w:tcBorders>
              <w:bottom w:val="single" w:sz="8" w:color="CFCFD2"/>
            </w:tcBorders>
          </w:tcPr>
          <w:p>
            <w:pPr>
              <w:spacing w:after="0"/>
              <w:rPr>
                <w:sz w:val="12"/>
                <w:szCs w:val="12"/>
                <w:color w:val="auto"/>
              </w:rPr>
            </w:pPr>
          </w:p>
        </w:tc>
        <w:tc>
          <w:tcPr>
            <w:tcW w:w="1400" w:type="dxa"/>
            <w:vAlign w:val="bottom"/>
            <w:tcBorders>
              <w:bottom w:val="single" w:sz="8" w:color="CFCFD2"/>
            </w:tcBorders>
          </w:tcPr>
          <w:p>
            <w:pPr>
              <w:spacing w:after="0"/>
              <w:rPr>
                <w:sz w:val="12"/>
                <w:szCs w:val="12"/>
                <w:color w:val="auto"/>
              </w:rPr>
            </w:pPr>
          </w:p>
        </w:tc>
        <w:tc>
          <w:tcPr>
            <w:tcW w:w="960" w:type="dxa"/>
            <w:vAlign w:val="bottom"/>
            <w:tcBorders>
              <w:bottom w:val="single" w:sz="8" w:color="CFCFD2"/>
            </w:tcBorders>
          </w:tcPr>
          <w:p>
            <w:pPr>
              <w:spacing w:after="0"/>
              <w:rPr>
                <w:sz w:val="12"/>
                <w:szCs w:val="12"/>
                <w:color w:val="auto"/>
              </w:rPr>
            </w:pPr>
          </w:p>
        </w:tc>
        <w:tc>
          <w:tcPr>
            <w:tcW w:w="1000" w:type="dxa"/>
            <w:vAlign w:val="bottom"/>
            <w:tcBorders>
              <w:bottom w:val="single" w:sz="8" w:color="CFCFD2"/>
            </w:tcBorders>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2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E1020"/>
              </w:rPr>
              <w:t>2026</w:t>
            </w:r>
          </w:p>
        </w:tc>
        <w:tc>
          <w:tcPr>
            <w:tcW w:w="1060" w:type="dxa"/>
            <w:vAlign w:val="bottom"/>
          </w:tcPr>
          <w:p>
            <w:pPr>
              <w:jc w:val="right"/>
              <w:ind w:right="133"/>
              <w:spacing w:after="0"/>
              <w:rPr>
                <w:sz w:val="20"/>
                <w:szCs w:val="20"/>
                <w:color w:val="auto"/>
              </w:rPr>
            </w:pPr>
            <w:r>
              <w:rPr>
                <w:rFonts w:ascii="Arial" w:cs="Arial" w:eastAsia="Arial" w:hAnsi="Arial"/>
                <w:sz w:val="13"/>
                <w:szCs w:val="13"/>
                <w:color w:val="0E1020"/>
              </w:rPr>
              <w:t>800,000</w:t>
            </w:r>
          </w:p>
        </w:tc>
        <w:tc>
          <w:tcPr>
            <w:tcW w:w="820" w:type="dxa"/>
            <w:vAlign w:val="bottom"/>
          </w:tcPr>
          <w:p>
            <w:pPr>
              <w:jc w:val="right"/>
              <w:ind w:right="13"/>
              <w:spacing w:after="0"/>
              <w:rPr>
                <w:sz w:val="20"/>
                <w:szCs w:val="20"/>
                <w:color w:val="auto"/>
              </w:rPr>
            </w:pPr>
            <w:r>
              <w:rPr>
                <w:rFonts w:ascii="Arial" w:cs="Arial" w:eastAsia="Arial" w:hAnsi="Arial"/>
                <w:sz w:val="13"/>
                <w:szCs w:val="13"/>
                <w:color w:val="0E1020"/>
              </w:rPr>
              <w:t>—</w:t>
            </w:r>
          </w:p>
        </w:tc>
        <w:tc>
          <w:tcPr>
            <w:tcW w:w="1180" w:type="dxa"/>
            <w:vAlign w:val="bottom"/>
          </w:tcPr>
          <w:p>
            <w:pPr>
              <w:jc w:val="right"/>
              <w:ind w:right="133"/>
              <w:spacing w:after="0"/>
              <w:rPr>
                <w:sz w:val="20"/>
                <w:szCs w:val="20"/>
                <w:color w:val="auto"/>
              </w:rPr>
            </w:pPr>
            <w:r>
              <w:rPr>
                <w:rFonts w:ascii="Arial" w:cs="Arial" w:eastAsia="Arial" w:hAnsi="Arial"/>
                <w:sz w:val="13"/>
                <w:szCs w:val="13"/>
                <w:color w:val="0E1020"/>
              </w:rPr>
              <w:t>19,513,449</w:t>
            </w:r>
          </w:p>
        </w:tc>
        <w:tc>
          <w:tcPr>
            <w:tcW w:w="920" w:type="dxa"/>
            <w:vAlign w:val="bottom"/>
          </w:tcPr>
          <w:p>
            <w:pPr>
              <w:ind w:left="580"/>
              <w:spacing w:after="0"/>
              <w:rPr>
                <w:sz w:val="20"/>
                <w:szCs w:val="20"/>
                <w:color w:val="auto"/>
              </w:rPr>
            </w:pPr>
            <w:r>
              <w:rPr>
                <w:rFonts w:ascii="Arial" w:cs="Arial" w:eastAsia="Arial" w:hAnsi="Arial"/>
                <w:sz w:val="13"/>
                <w:szCs w:val="13"/>
                <w:color w:val="0E1020"/>
              </w:rPr>
              <w:t>—</w:t>
            </w:r>
          </w:p>
        </w:tc>
        <w:tc>
          <w:tcPr>
            <w:tcW w:w="1100" w:type="dxa"/>
            <w:vAlign w:val="bottom"/>
          </w:tcPr>
          <w:p>
            <w:pPr>
              <w:jc w:val="right"/>
              <w:ind w:right="13"/>
              <w:spacing w:after="0"/>
              <w:rPr>
                <w:sz w:val="20"/>
                <w:szCs w:val="20"/>
                <w:color w:val="auto"/>
              </w:rPr>
            </w:pPr>
            <w:r>
              <w:rPr>
                <w:rFonts w:ascii="Arial" w:cs="Arial" w:eastAsia="Arial" w:hAnsi="Arial"/>
                <w:sz w:val="13"/>
                <w:szCs w:val="13"/>
                <w:color w:val="0E1020"/>
              </w:rPr>
              <w:t>831,600</w:t>
            </w:r>
          </w:p>
        </w:tc>
        <w:tc>
          <w:tcPr>
            <w:tcW w:w="1400" w:type="dxa"/>
            <w:vAlign w:val="bottom"/>
          </w:tcPr>
          <w:p>
            <w:pPr>
              <w:ind w:left="1040"/>
              <w:spacing w:after="0"/>
              <w:rPr>
                <w:sz w:val="20"/>
                <w:szCs w:val="20"/>
                <w:color w:val="auto"/>
              </w:rPr>
            </w:pPr>
            <w:r>
              <w:rPr>
                <w:rFonts w:ascii="Arial" w:cs="Arial" w:eastAsia="Arial" w:hAnsi="Arial"/>
                <w:sz w:val="13"/>
                <w:szCs w:val="13"/>
                <w:color w:val="0E1020"/>
              </w:rPr>
              <w:t>—</w:t>
            </w:r>
          </w:p>
        </w:tc>
        <w:tc>
          <w:tcPr>
            <w:tcW w:w="960" w:type="dxa"/>
            <w:vAlign w:val="bottom"/>
          </w:tcPr>
          <w:p>
            <w:pPr>
              <w:jc w:val="right"/>
              <w:ind w:right="113"/>
              <w:spacing w:after="0"/>
              <w:rPr>
                <w:sz w:val="20"/>
                <w:szCs w:val="20"/>
                <w:color w:val="auto"/>
              </w:rPr>
            </w:pPr>
            <w:r>
              <w:rPr>
                <w:rFonts w:ascii="Arial" w:cs="Arial" w:eastAsia="Arial" w:hAnsi="Arial"/>
                <w:sz w:val="13"/>
                <w:szCs w:val="13"/>
                <w:color w:val="0E1020"/>
              </w:rPr>
              <w:t>13,237</w:t>
            </w:r>
          </w:p>
        </w:tc>
        <w:tc>
          <w:tcPr>
            <w:tcW w:w="1000" w:type="dxa"/>
            <w:vAlign w:val="bottom"/>
          </w:tcPr>
          <w:p>
            <w:pPr>
              <w:jc w:val="right"/>
              <w:ind w:right="113"/>
              <w:spacing w:after="0"/>
              <w:rPr>
                <w:sz w:val="20"/>
                <w:szCs w:val="20"/>
                <w:color w:val="auto"/>
              </w:rPr>
            </w:pPr>
            <w:r>
              <w:rPr>
                <w:rFonts w:ascii="Arial" w:cs="Arial" w:eastAsia="Arial" w:hAnsi="Arial"/>
                <w:sz w:val="13"/>
                <w:szCs w:val="13"/>
                <w:color w:val="0E1020"/>
              </w:rPr>
              <w:t>21,158,286</w:t>
            </w:r>
          </w:p>
        </w:tc>
        <w:tc>
          <w:tcPr>
            <w:tcW w:w="0" w:type="dxa"/>
            <w:vAlign w:val="bottom"/>
          </w:tcPr>
          <w:p>
            <w:pPr>
              <w:spacing w:after="0"/>
              <w:rPr>
                <w:sz w:val="1"/>
                <w:szCs w:val="1"/>
                <w:color w:val="auto"/>
              </w:rPr>
            </w:pPr>
          </w:p>
        </w:tc>
      </w:tr>
      <w:tr>
        <w:trPr>
          <w:trHeight w:val="105"/>
        </w:trPr>
        <w:tc>
          <w:tcPr>
            <w:tcW w:w="2200" w:type="dxa"/>
            <w:vAlign w:val="bottom"/>
            <w:vMerge w:val="restart"/>
          </w:tcPr>
          <w:p>
            <w:pPr>
              <w:ind w:left="20"/>
              <w:spacing w:after="0"/>
              <w:rPr>
                <w:sz w:val="20"/>
                <w:szCs w:val="20"/>
                <w:color w:val="auto"/>
              </w:rPr>
            </w:pPr>
            <w:r>
              <w:rPr>
                <w:rFonts w:ascii="Arial" w:cs="Arial" w:eastAsia="Arial" w:hAnsi="Arial"/>
                <w:sz w:val="13"/>
                <w:szCs w:val="13"/>
                <w:b w:val="1"/>
                <w:bCs w:val="1"/>
                <w:color w:val="004AAC"/>
              </w:rPr>
              <w:t>Robert Del Bene</w:t>
            </w:r>
          </w:p>
        </w:tc>
        <w:tc>
          <w:tcPr>
            <w:tcW w:w="600" w:type="dxa"/>
            <w:vAlign w:val="bottom"/>
            <w:tcBorders>
              <w:bottom w:val="single" w:sz="8" w:color="CFCFD2"/>
            </w:tcBorders>
          </w:tcPr>
          <w:p>
            <w:pPr>
              <w:spacing w:after="0"/>
              <w:rPr>
                <w:sz w:val="9"/>
                <w:szCs w:val="9"/>
                <w:color w:val="auto"/>
              </w:rPr>
            </w:pPr>
          </w:p>
        </w:tc>
        <w:tc>
          <w:tcPr>
            <w:tcW w:w="1060" w:type="dxa"/>
            <w:vAlign w:val="bottom"/>
            <w:tcBorders>
              <w:bottom w:val="single" w:sz="8" w:color="CFCFD2"/>
            </w:tcBorders>
          </w:tcPr>
          <w:p>
            <w:pPr>
              <w:spacing w:after="0"/>
              <w:rPr>
                <w:sz w:val="9"/>
                <w:szCs w:val="9"/>
                <w:color w:val="auto"/>
              </w:rPr>
            </w:pPr>
          </w:p>
        </w:tc>
        <w:tc>
          <w:tcPr>
            <w:tcW w:w="820" w:type="dxa"/>
            <w:vAlign w:val="bottom"/>
            <w:tcBorders>
              <w:bottom w:val="single" w:sz="8" w:color="CFCFD2"/>
            </w:tcBorders>
          </w:tcPr>
          <w:p>
            <w:pPr>
              <w:spacing w:after="0"/>
              <w:rPr>
                <w:sz w:val="9"/>
                <w:szCs w:val="9"/>
                <w:color w:val="auto"/>
              </w:rPr>
            </w:pPr>
          </w:p>
        </w:tc>
        <w:tc>
          <w:tcPr>
            <w:tcW w:w="1180" w:type="dxa"/>
            <w:vAlign w:val="bottom"/>
            <w:tcBorders>
              <w:bottom w:val="single" w:sz="8" w:color="CFCFD2"/>
            </w:tcBorders>
          </w:tcPr>
          <w:p>
            <w:pPr>
              <w:spacing w:after="0"/>
              <w:rPr>
                <w:sz w:val="9"/>
                <w:szCs w:val="9"/>
                <w:color w:val="auto"/>
              </w:rPr>
            </w:pPr>
          </w:p>
        </w:tc>
        <w:tc>
          <w:tcPr>
            <w:tcW w:w="920" w:type="dxa"/>
            <w:vAlign w:val="bottom"/>
            <w:tcBorders>
              <w:bottom w:val="single" w:sz="8" w:color="CFCFD2"/>
            </w:tcBorders>
          </w:tcPr>
          <w:p>
            <w:pPr>
              <w:spacing w:after="0"/>
              <w:rPr>
                <w:sz w:val="9"/>
                <w:szCs w:val="9"/>
                <w:color w:val="auto"/>
              </w:rPr>
            </w:pPr>
          </w:p>
        </w:tc>
        <w:tc>
          <w:tcPr>
            <w:tcW w:w="1100" w:type="dxa"/>
            <w:vAlign w:val="bottom"/>
            <w:tcBorders>
              <w:bottom w:val="single" w:sz="8" w:color="CFCFD2"/>
            </w:tcBorders>
          </w:tcPr>
          <w:p>
            <w:pPr>
              <w:spacing w:after="0"/>
              <w:rPr>
                <w:sz w:val="9"/>
                <w:szCs w:val="9"/>
                <w:color w:val="auto"/>
              </w:rPr>
            </w:pPr>
          </w:p>
        </w:tc>
        <w:tc>
          <w:tcPr>
            <w:tcW w:w="1400" w:type="dxa"/>
            <w:vAlign w:val="bottom"/>
            <w:tcBorders>
              <w:bottom w:val="single" w:sz="8" w:color="CFCFD2"/>
            </w:tcBorders>
          </w:tcPr>
          <w:p>
            <w:pPr>
              <w:spacing w:after="0"/>
              <w:rPr>
                <w:sz w:val="9"/>
                <w:szCs w:val="9"/>
                <w:color w:val="auto"/>
              </w:rPr>
            </w:pPr>
          </w:p>
        </w:tc>
        <w:tc>
          <w:tcPr>
            <w:tcW w:w="960" w:type="dxa"/>
            <w:vAlign w:val="bottom"/>
            <w:tcBorders>
              <w:bottom w:val="single" w:sz="8" w:color="CFCFD2"/>
            </w:tcBorders>
          </w:tcPr>
          <w:p>
            <w:pPr>
              <w:spacing w:after="0"/>
              <w:rPr>
                <w:sz w:val="9"/>
                <w:szCs w:val="9"/>
                <w:color w:val="auto"/>
              </w:rPr>
            </w:pPr>
          </w:p>
        </w:tc>
        <w:tc>
          <w:tcPr>
            <w:tcW w:w="1000" w:type="dxa"/>
            <w:vAlign w:val="bottom"/>
            <w:tcBorders>
              <w:bottom w:val="single" w:sz="8" w:color="CFCFD2"/>
            </w:tcBorders>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2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200" w:type="dxa"/>
            <w:vAlign w:val="bottom"/>
          </w:tcPr>
          <w:p>
            <w:pPr>
              <w:ind w:left="20"/>
              <w:spacing w:after="0"/>
              <w:rPr>
                <w:sz w:val="20"/>
                <w:szCs w:val="20"/>
                <w:color w:val="auto"/>
              </w:rPr>
            </w:pPr>
            <w:r>
              <w:rPr>
                <w:rFonts w:ascii="Arial" w:cs="Arial" w:eastAsia="Arial" w:hAnsi="Arial"/>
                <w:sz w:val="13"/>
                <w:szCs w:val="13"/>
                <w:color w:val="0E1020"/>
              </w:rPr>
              <w:t>Executive Vice President, Chief</w:t>
            </w:r>
          </w:p>
        </w:tc>
        <w:tc>
          <w:tcPr>
            <w:tcW w:w="600" w:type="dxa"/>
            <w:vAlign w:val="bottom"/>
          </w:tcPr>
          <w:p>
            <w:pPr>
              <w:jc w:val="center"/>
              <w:spacing w:after="0"/>
              <w:rPr>
                <w:sz w:val="20"/>
                <w:szCs w:val="20"/>
                <w:color w:val="auto"/>
              </w:rPr>
            </w:pPr>
            <w:r>
              <w:rPr>
                <w:rFonts w:ascii="Arial" w:cs="Arial" w:eastAsia="Arial" w:hAnsi="Arial"/>
                <w:sz w:val="13"/>
                <w:szCs w:val="13"/>
                <w:color w:val="0E1020"/>
              </w:rPr>
              <w:t>2025</w:t>
            </w:r>
          </w:p>
        </w:tc>
        <w:tc>
          <w:tcPr>
            <w:tcW w:w="1060" w:type="dxa"/>
            <w:vAlign w:val="bottom"/>
          </w:tcPr>
          <w:p>
            <w:pPr>
              <w:jc w:val="right"/>
              <w:ind w:right="133"/>
              <w:spacing w:after="0"/>
              <w:rPr>
                <w:sz w:val="20"/>
                <w:szCs w:val="20"/>
                <w:color w:val="auto"/>
              </w:rPr>
            </w:pPr>
            <w:r>
              <w:rPr>
                <w:rFonts w:ascii="Arial" w:cs="Arial" w:eastAsia="Arial" w:hAnsi="Arial"/>
                <w:sz w:val="13"/>
                <w:szCs w:val="13"/>
                <w:color w:val="0E1020"/>
              </w:rPr>
              <w:t>725,000</w:t>
            </w:r>
          </w:p>
        </w:tc>
        <w:tc>
          <w:tcPr>
            <w:tcW w:w="820" w:type="dxa"/>
            <w:vAlign w:val="bottom"/>
          </w:tcPr>
          <w:p>
            <w:pPr>
              <w:jc w:val="right"/>
              <w:ind w:right="13"/>
              <w:spacing w:after="0"/>
              <w:rPr>
                <w:sz w:val="20"/>
                <w:szCs w:val="20"/>
                <w:color w:val="auto"/>
              </w:rPr>
            </w:pPr>
            <w:r>
              <w:rPr>
                <w:rFonts w:ascii="Arial" w:cs="Arial" w:eastAsia="Arial" w:hAnsi="Arial"/>
                <w:sz w:val="13"/>
                <w:szCs w:val="13"/>
                <w:color w:val="0E1020"/>
              </w:rPr>
              <w:t>—</w:t>
            </w:r>
          </w:p>
        </w:tc>
        <w:tc>
          <w:tcPr>
            <w:tcW w:w="1180" w:type="dxa"/>
            <w:vAlign w:val="bottom"/>
          </w:tcPr>
          <w:p>
            <w:pPr>
              <w:jc w:val="right"/>
              <w:ind w:right="133"/>
              <w:spacing w:after="0"/>
              <w:rPr>
                <w:sz w:val="20"/>
                <w:szCs w:val="20"/>
                <w:color w:val="auto"/>
              </w:rPr>
            </w:pPr>
            <w:r>
              <w:rPr>
                <w:rFonts w:ascii="Arial" w:cs="Arial" w:eastAsia="Arial" w:hAnsi="Arial"/>
                <w:sz w:val="13"/>
                <w:szCs w:val="13"/>
                <w:color w:val="0E1020"/>
              </w:rPr>
              <w:t>4,475,096</w:t>
            </w:r>
          </w:p>
        </w:tc>
        <w:tc>
          <w:tcPr>
            <w:tcW w:w="920" w:type="dxa"/>
            <w:vAlign w:val="bottom"/>
          </w:tcPr>
          <w:p>
            <w:pPr>
              <w:ind w:left="580"/>
              <w:spacing w:after="0"/>
              <w:rPr>
                <w:sz w:val="20"/>
                <w:szCs w:val="20"/>
                <w:color w:val="auto"/>
              </w:rPr>
            </w:pPr>
            <w:r>
              <w:rPr>
                <w:rFonts w:ascii="Arial" w:cs="Arial" w:eastAsia="Arial" w:hAnsi="Arial"/>
                <w:sz w:val="13"/>
                <w:szCs w:val="13"/>
                <w:color w:val="0E1020"/>
              </w:rPr>
              <w:t>—</w:t>
            </w:r>
          </w:p>
        </w:tc>
        <w:tc>
          <w:tcPr>
            <w:tcW w:w="1100" w:type="dxa"/>
            <w:vAlign w:val="bottom"/>
          </w:tcPr>
          <w:p>
            <w:pPr>
              <w:jc w:val="right"/>
              <w:ind w:right="13"/>
              <w:spacing w:after="0"/>
              <w:rPr>
                <w:sz w:val="20"/>
                <w:szCs w:val="20"/>
                <w:color w:val="auto"/>
              </w:rPr>
            </w:pPr>
            <w:r>
              <w:rPr>
                <w:rFonts w:ascii="Arial" w:cs="Arial" w:eastAsia="Arial" w:hAnsi="Arial"/>
                <w:sz w:val="13"/>
                <w:szCs w:val="13"/>
                <w:color w:val="0E1020"/>
              </w:rPr>
              <w:t>825,000</w:t>
            </w:r>
          </w:p>
        </w:tc>
        <w:tc>
          <w:tcPr>
            <w:tcW w:w="1400" w:type="dxa"/>
            <w:vAlign w:val="bottom"/>
          </w:tcPr>
          <w:p>
            <w:pPr>
              <w:ind w:left="1040"/>
              <w:spacing w:after="0"/>
              <w:rPr>
                <w:sz w:val="20"/>
                <w:szCs w:val="20"/>
                <w:color w:val="auto"/>
              </w:rPr>
            </w:pPr>
            <w:r>
              <w:rPr>
                <w:rFonts w:ascii="Arial" w:cs="Arial" w:eastAsia="Arial" w:hAnsi="Arial"/>
                <w:sz w:val="13"/>
                <w:szCs w:val="13"/>
                <w:color w:val="0E1020"/>
              </w:rPr>
              <w:t>—</w:t>
            </w:r>
          </w:p>
        </w:tc>
        <w:tc>
          <w:tcPr>
            <w:tcW w:w="960" w:type="dxa"/>
            <w:vAlign w:val="bottom"/>
          </w:tcPr>
          <w:p>
            <w:pPr>
              <w:jc w:val="right"/>
              <w:ind w:right="113"/>
              <w:spacing w:after="0"/>
              <w:rPr>
                <w:sz w:val="20"/>
                <w:szCs w:val="20"/>
                <w:color w:val="auto"/>
              </w:rPr>
            </w:pPr>
            <w:r>
              <w:rPr>
                <w:rFonts w:ascii="Arial" w:cs="Arial" w:eastAsia="Arial" w:hAnsi="Arial"/>
                <w:sz w:val="13"/>
                <w:szCs w:val="13"/>
                <w:color w:val="0E1020"/>
              </w:rPr>
              <w:t>7,002</w:t>
            </w:r>
          </w:p>
        </w:tc>
        <w:tc>
          <w:tcPr>
            <w:tcW w:w="1000" w:type="dxa"/>
            <w:vAlign w:val="bottom"/>
          </w:tcPr>
          <w:p>
            <w:pPr>
              <w:jc w:val="right"/>
              <w:ind w:right="113"/>
              <w:spacing w:after="0"/>
              <w:rPr>
                <w:sz w:val="20"/>
                <w:szCs w:val="20"/>
                <w:color w:val="auto"/>
              </w:rPr>
            </w:pPr>
            <w:r>
              <w:rPr>
                <w:rFonts w:ascii="Arial" w:cs="Arial" w:eastAsia="Arial" w:hAnsi="Arial"/>
                <w:sz w:val="13"/>
                <w:szCs w:val="13"/>
                <w:color w:val="0E1020"/>
              </w:rPr>
              <w:t>6,032,098</w:t>
            </w:r>
          </w:p>
        </w:tc>
        <w:tc>
          <w:tcPr>
            <w:tcW w:w="0" w:type="dxa"/>
            <w:vAlign w:val="bottom"/>
          </w:tcPr>
          <w:p>
            <w:pPr>
              <w:spacing w:after="0"/>
              <w:rPr>
                <w:sz w:val="1"/>
                <w:szCs w:val="1"/>
                <w:color w:val="auto"/>
              </w:rPr>
            </w:pPr>
          </w:p>
        </w:tc>
      </w:tr>
      <w:tr>
        <w:trPr>
          <w:trHeight w:val="120"/>
        </w:trPr>
        <w:tc>
          <w:tcPr>
            <w:tcW w:w="2200" w:type="dxa"/>
            <w:vAlign w:val="bottom"/>
          </w:tcPr>
          <w:p>
            <w:pPr>
              <w:ind w:left="20"/>
              <w:spacing w:after="0" w:line="113" w:lineRule="exact"/>
              <w:rPr>
                <w:sz w:val="20"/>
                <w:szCs w:val="20"/>
                <w:color w:val="auto"/>
              </w:rPr>
            </w:pPr>
            <w:r>
              <w:rPr>
                <w:rFonts w:ascii="Arial" w:cs="Arial" w:eastAsia="Arial" w:hAnsi="Arial"/>
                <w:sz w:val="13"/>
                <w:szCs w:val="13"/>
                <w:color w:val="0E1020"/>
              </w:rPr>
              <w:t>Financial Officer</w:t>
            </w:r>
          </w:p>
        </w:tc>
        <w:tc>
          <w:tcPr>
            <w:tcW w:w="600" w:type="dxa"/>
            <w:vAlign w:val="bottom"/>
            <w:tcBorders>
              <w:bottom w:val="single" w:sz="8" w:color="CFCFD2"/>
            </w:tcBorders>
          </w:tcPr>
          <w:p>
            <w:pPr>
              <w:spacing w:after="0"/>
              <w:rPr>
                <w:sz w:val="10"/>
                <w:szCs w:val="10"/>
                <w:color w:val="auto"/>
              </w:rPr>
            </w:pPr>
          </w:p>
        </w:tc>
        <w:tc>
          <w:tcPr>
            <w:tcW w:w="1060" w:type="dxa"/>
            <w:vAlign w:val="bottom"/>
            <w:tcBorders>
              <w:bottom w:val="single" w:sz="8" w:color="CFCFD2"/>
            </w:tcBorders>
          </w:tcPr>
          <w:p>
            <w:pPr>
              <w:spacing w:after="0"/>
              <w:rPr>
                <w:sz w:val="10"/>
                <w:szCs w:val="10"/>
                <w:color w:val="auto"/>
              </w:rPr>
            </w:pPr>
          </w:p>
        </w:tc>
        <w:tc>
          <w:tcPr>
            <w:tcW w:w="820" w:type="dxa"/>
            <w:vAlign w:val="bottom"/>
            <w:tcBorders>
              <w:bottom w:val="single" w:sz="8" w:color="CFCFD2"/>
            </w:tcBorders>
          </w:tcPr>
          <w:p>
            <w:pPr>
              <w:spacing w:after="0"/>
              <w:rPr>
                <w:sz w:val="10"/>
                <w:szCs w:val="10"/>
                <w:color w:val="auto"/>
              </w:rPr>
            </w:pPr>
          </w:p>
        </w:tc>
        <w:tc>
          <w:tcPr>
            <w:tcW w:w="1180" w:type="dxa"/>
            <w:vAlign w:val="bottom"/>
            <w:tcBorders>
              <w:bottom w:val="single" w:sz="8" w:color="CFCFD2"/>
            </w:tcBorders>
          </w:tcPr>
          <w:p>
            <w:pPr>
              <w:spacing w:after="0"/>
              <w:rPr>
                <w:sz w:val="10"/>
                <w:szCs w:val="10"/>
                <w:color w:val="auto"/>
              </w:rPr>
            </w:pPr>
          </w:p>
        </w:tc>
        <w:tc>
          <w:tcPr>
            <w:tcW w:w="920" w:type="dxa"/>
            <w:vAlign w:val="bottom"/>
            <w:tcBorders>
              <w:bottom w:val="single" w:sz="8" w:color="CFCFD2"/>
            </w:tcBorders>
          </w:tcPr>
          <w:p>
            <w:pPr>
              <w:spacing w:after="0"/>
              <w:rPr>
                <w:sz w:val="10"/>
                <w:szCs w:val="10"/>
                <w:color w:val="auto"/>
              </w:rPr>
            </w:pPr>
          </w:p>
        </w:tc>
        <w:tc>
          <w:tcPr>
            <w:tcW w:w="1100" w:type="dxa"/>
            <w:vAlign w:val="bottom"/>
            <w:tcBorders>
              <w:bottom w:val="single" w:sz="8" w:color="CFCFD2"/>
            </w:tcBorders>
          </w:tcPr>
          <w:p>
            <w:pPr>
              <w:spacing w:after="0"/>
              <w:rPr>
                <w:sz w:val="10"/>
                <w:szCs w:val="10"/>
                <w:color w:val="auto"/>
              </w:rPr>
            </w:pPr>
          </w:p>
        </w:tc>
        <w:tc>
          <w:tcPr>
            <w:tcW w:w="1400" w:type="dxa"/>
            <w:vAlign w:val="bottom"/>
            <w:tcBorders>
              <w:bottom w:val="single" w:sz="8" w:color="CFCFD2"/>
            </w:tcBorders>
          </w:tcPr>
          <w:p>
            <w:pPr>
              <w:spacing w:after="0"/>
              <w:rPr>
                <w:sz w:val="10"/>
                <w:szCs w:val="10"/>
                <w:color w:val="auto"/>
              </w:rPr>
            </w:pPr>
          </w:p>
        </w:tc>
        <w:tc>
          <w:tcPr>
            <w:tcW w:w="960" w:type="dxa"/>
            <w:vAlign w:val="bottom"/>
            <w:tcBorders>
              <w:bottom w:val="single" w:sz="8" w:color="CFCFD2"/>
            </w:tcBorders>
          </w:tcPr>
          <w:p>
            <w:pPr>
              <w:spacing w:after="0"/>
              <w:rPr>
                <w:sz w:val="10"/>
                <w:szCs w:val="10"/>
                <w:color w:val="auto"/>
              </w:rPr>
            </w:pPr>
          </w:p>
        </w:tc>
        <w:tc>
          <w:tcPr>
            <w:tcW w:w="1000" w:type="dxa"/>
            <w:vAlign w:val="bottom"/>
            <w:tcBorders>
              <w:bottom w:val="single" w:sz="8" w:color="CFCFD2"/>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20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E1020"/>
              </w:rPr>
              <w:t>2024</w:t>
            </w:r>
          </w:p>
        </w:tc>
        <w:tc>
          <w:tcPr>
            <w:tcW w:w="1060" w:type="dxa"/>
            <w:vAlign w:val="bottom"/>
          </w:tcPr>
          <w:p>
            <w:pPr>
              <w:jc w:val="right"/>
              <w:ind w:right="133"/>
              <w:spacing w:after="0"/>
              <w:rPr>
                <w:sz w:val="20"/>
                <w:szCs w:val="20"/>
                <w:color w:val="auto"/>
              </w:rPr>
            </w:pPr>
            <w:r>
              <w:rPr>
                <w:rFonts w:ascii="Arial" w:cs="Arial" w:eastAsia="Arial" w:hAnsi="Arial"/>
                <w:sz w:val="13"/>
                <w:szCs w:val="13"/>
                <w:color w:val="0E1020"/>
              </w:rPr>
              <w:t>549,327</w:t>
            </w:r>
          </w:p>
        </w:tc>
        <w:tc>
          <w:tcPr>
            <w:tcW w:w="820" w:type="dxa"/>
            <w:vAlign w:val="bottom"/>
          </w:tcPr>
          <w:p>
            <w:pPr>
              <w:jc w:val="right"/>
              <w:ind w:right="13"/>
              <w:spacing w:after="0"/>
              <w:rPr>
                <w:sz w:val="20"/>
                <w:szCs w:val="20"/>
                <w:color w:val="auto"/>
              </w:rPr>
            </w:pPr>
            <w:r>
              <w:rPr>
                <w:rFonts w:ascii="Arial" w:cs="Arial" w:eastAsia="Arial" w:hAnsi="Arial"/>
                <w:sz w:val="13"/>
                <w:szCs w:val="13"/>
                <w:color w:val="0E1020"/>
              </w:rPr>
              <w:t>500,000</w:t>
            </w:r>
          </w:p>
        </w:tc>
        <w:tc>
          <w:tcPr>
            <w:tcW w:w="1180" w:type="dxa"/>
            <w:vAlign w:val="bottom"/>
          </w:tcPr>
          <w:p>
            <w:pPr>
              <w:jc w:val="right"/>
              <w:ind w:right="133"/>
              <w:spacing w:after="0"/>
              <w:rPr>
                <w:sz w:val="20"/>
                <w:szCs w:val="20"/>
                <w:color w:val="auto"/>
              </w:rPr>
            </w:pPr>
            <w:r>
              <w:rPr>
                <w:rFonts w:ascii="Arial" w:cs="Arial" w:eastAsia="Arial" w:hAnsi="Arial"/>
                <w:sz w:val="13"/>
                <w:szCs w:val="13"/>
                <w:color w:val="0E1020"/>
              </w:rPr>
              <w:t>4,685,514</w:t>
            </w:r>
          </w:p>
        </w:tc>
        <w:tc>
          <w:tcPr>
            <w:tcW w:w="920" w:type="dxa"/>
            <w:vAlign w:val="bottom"/>
          </w:tcPr>
          <w:p>
            <w:pPr>
              <w:ind w:left="580"/>
              <w:spacing w:after="0"/>
              <w:rPr>
                <w:sz w:val="20"/>
                <w:szCs w:val="20"/>
                <w:color w:val="auto"/>
              </w:rPr>
            </w:pPr>
            <w:r>
              <w:rPr>
                <w:rFonts w:ascii="Arial" w:cs="Arial" w:eastAsia="Arial" w:hAnsi="Arial"/>
                <w:sz w:val="13"/>
                <w:szCs w:val="13"/>
                <w:color w:val="0E1020"/>
              </w:rPr>
              <w:t>—</w:t>
            </w:r>
          </w:p>
        </w:tc>
        <w:tc>
          <w:tcPr>
            <w:tcW w:w="1100" w:type="dxa"/>
            <w:vAlign w:val="bottom"/>
          </w:tcPr>
          <w:p>
            <w:pPr>
              <w:jc w:val="right"/>
              <w:ind w:right="13"/>
              <w:spacing w:after="0"/>
              <w:rPr>
                <w:sz w:val="20"/>
                <w:szCs w:val="20"/>
                <w:color w:val="auto"/>
              </w:rPr>
            </w:pPr>
            <w:r>
              <w:rPr>
                <w:rFonts w:ascii="Arial" w:cs="Arial" w:eastAsia="Arial" w:hAnsi="Arial"/>
                <w:sz w:val="13"/>
                <w:szCs w:val="13"/>
                <w:color w:val="0E1020"/>
              </w:rPr>
              <w:t>425,120</w:t>
            </w:r>
          </w:p>
        </w:tc>
        <w:tc>
          <w:tcPr>
            <w:tcW w:w="1400" w:type="dxa"/>
            <w:vAlign w:val="bottom"/>
          </w:tcPr>
          <w:p>
            <w:pPr>
              <w:ind w:left="1040"/>
              <w:spacing w:after="0"/>
              <w:rPr>
                <w:sz w:val="20"/>
                <w:szCs w:val="20"/>
                <w:color w:val="auto"/>
              </w:rPr>
            </w:pPr>
            <w:r>
              <w:rPr>
                <w:rFonts w:ascii="Arial" w:cs="Arial" w:eastAsia="Arial" w:hAnsi="Arial"/>
                <w:sz w:val="13"/>
                <w:szCs w:val="13"/>
                <w:color w:val="0E1020"/>
              </w:rPr>
              <w:t>—</w:t>
            </w:r>
          </w:p>
        </w:tc>
        <w:tc>
          <w:tcPr>
            <w:tcW w:w="960" w:type="dxa"/>
            <w:vAlign w:val="bottom"/>
          </w:tcPr>
          <w:p>
            <w:pPr>
              <w:jc w:val="right"/>
              <w:ind w:right="113"/>
              <w:spacing w:after="0"/>
              <w:rPr>
                <w:sz w:val="20"/>
                <w:szCs w:val="20"/>
                <w:color w:val="auto"/>
              </w:rPr>
            </w:pPr>
            <w:r>
              <w:rPr>
                <w:rFonts w:ascii="Arial" w:cs="Arial" w:eastAsia="Arial" w:hAnsi="Arial"/>
                <w:sz w:val="13"/>
                <w:szCs w:val="13"/>
                <w:color w:val="0E1020"/>
              </w:rPr>
              <w:t>7,095</w:t>
            </w:r>
          </w:p>
        </w:tc>
        <w:tc>
          <w:tcPr>
            <w:tcW w:w="1000" w:type="dxa"/>
            <w:vAlign w:val="bottom"/>
          </w:tcPr>
          <w:p>
            <w:pPr>
              <w:jc w:val="right"/>
              <w:ind w:right="113"/>
              <w:spacing w:after="0"/>
              <w:rPr>
                <w:sz w:val="20"/>
                <w:szCs w:val="20"/>
                <w:color w:val="auto"/>
              </w:rPr>
            </w:pPr>
            <w:r>
              <w:rPr>
                <w:rFonts w:ascii="Arial" w:cs="Arial" w:eastAsia="Arial" w:hAnsi="Arial"/>
                <w:sz w:val="13"/>
                <w:szCs w:val="13"/>
                <w:color w:val="0E1020"/>
              </w:rPr>
              <w:t>6,167,056</w:t>
            </w:r>
          </w:p>
        </w:tc>
        <w:tc>
          <w:tcPr>
            <w:tcW w:w="0" w:type="dxa"/>
            <w:vAlign w:val="bottom"/>
          </w:tcPr>
          <w:p>
            <w:pPr>
              <w:spacing w:after="0"/>
              <w:rPr>
                <w:sz w:val="1"/>
                <w:szCs w:val="1"/>
                <w:color w:val="auto"/>
              </w:rPr>
            </w:pPr>
          </w:p>
        </w:tc>
      </w:tr>
      <w:tr>
        <w:trPr>
          <w:trHeight w:val="146"/>
        </w:trPr>
        <w:tc>
          <w:tcPr>
            <w:tcW w:w="2200" w:type="dxa"/>
            <w:vAlign w:val="bottom"/>
            <w:tcBorders>
              <w:bottom w:val="single" w:sz="8" w:color="CFCFD2"/>
            </w:tcBorders>
          </w:tcPr>
          <w:p>
            <w:pPr>
              <w:spacing w:after="0"/>
              <w:rPr>
                <w:sz w:val="12"/>
                <w:szCs w:val="12"/>
                <w:color w:val="auto"/>
              </w:rPr>
            </w:pPr>
          </w:p>
        </w:tc>
        <w:tc>
          <w:tcPr>
            <w:tcW w:w="600" w:type="dxa"/>
            <w:vAlign w:val="bottom"/>
            <w:tcBorders>
              <w:bottom w:val="single" w:sz="8" w:color="CFCFD2"/>
            </w:tcBorders>
          </w:tcPr>
          <w:p>
            <w:pPr>
              <w:spacing w:after="0"/>
              <w:rPr>
                <w:sz w:val="12"/>
                <w:szCs w:val="12"/>
                <w:color w:val="auto"/>
              </w:rPr>
            </w:pPr>
          </w:p>
        </w:tc>
        <w:tc>
          <w:tcPr>
            <w:tcW w:w="1060" w:type="dxa"/>
            <w:vAlign w:val="bottom"/>
            <w:tcBorders>
              <w:bottom w:val="single" w:sz="8" w:color="CFCFD2"/>
            </w:tcBorders>
          </w:tcPr>
          <w:p>
            <w:pPr>
              <w:spacing w:after="0"/>
              <w:rPr>
                <w:sz w:val="12"/>
                <w:szCs w:val="12"/>
                <w:color w:val="auto"/>
              </w:rPr>
            </w:pPr>
          </w:p>
        </w:tc>
        <w:tc>
          <w:tcPr>
            <w:tcW w:w="820" w:type="dxa"/>
            <w:vAlign w:val="bottom"/>
            <w:tcBorders>
              <w:bottom w:val="single" w:sz="8" w:color="CFCFD2"/>
            </w:tcBorders>
          </w:tcPr>
          <w:p>
            <w:pPr>
              <w:spacing w:after="0"/>
              <w:rPr>
                <w:sz w:val="12"/>
                <w:szCs w:val="12"/>
                <w:color w:val="auto"/>
              </w:rPr>
            </w:pPr>
          </w:p>
        </w:tc>
        <w:tc>
          <w:tcPr>
            <w:tcW w:w="1180" w:type="dxa"/>
            <w:vAlign w:val="bottom"/>
            <w:tcBorders>
              <w:bottom w:val="single" w:sz="8" w:color="CFCFD2"/>
            </w:tcBorders>
          </w:tcPr>
          <w:p>
            <w:pPr>
              <w:spacing w:after="0"/>
              <w:rPr>
                <w:sz w:val="12"/>
                <w:szCs w:val="12"/>
                <w:color w:val="auto"/>
              </w:rPr>
            </w:pPr>
          </w:p>
        </w:tc>
        <w:tc>
          <w:tcPr>
            <w:tcW w:w="920" w:type="dxa"/>
            <w:vAlign w:val="bottom"/>
            <w:tcBorders>
              <w:bottom w:val="single" w:sz="8" w:color="CFCFD2"/>
            </w:tcBorders>
          </w:tcPr>
          <w:p>
            <w:pPr>
              <w:spacing w:after="0"/>
              <w:rPr>
                <w:sz w:val="12"/>
                <w:szCs w:val="12"/>
                <w:color w:val="auto"/>
              </w:rPr>
            </w:pPr>
          </w:p>
        </w:tc>
        <w:tc>
          <w:tcPr>
            <w:tcW w:w="1100" w:type="dxa"/>
            <w:vAlign w:val="bottom"/>
            <w:tcBorders>
              <w:bottom w:val="single" w:sz="8" w:color="CFCFD2"/>
            </w:tcBorders>
          </w:tcPr>
          <w:p>
            <w:pPr>
              <w:spacing w:after="0"/>
              <w:rPr>
                <w:sz w:val="12"/>
                <w:szCs w:val="12"/>
                <w:color w:val="auto"/>
              </w:rPr>
            </w:pPr>
          </w:p>
        </w:tc>
        <w:tc>
          <w:tcPr>
            <w:tcW w:w="1400" w:type="dxa"/>
            <w:vAlign w:val="bottom"/>
            <w:tcBorders>
              <w:bottom w:val="single" w:sz="8" w:color="CFCFD2"/>
            </w:tcBorders>
          </w:tcPr>
          <w:p>
            <w:pPr>
              <w:spacing w:after="0"/>
              <w:rPr>
                <w:sz w:val="12"/>
                <w:szCs w:val="12"/>
                <w:color w:val="auto"/>
              </w:rPr>
            </w:pPr>
          </w:p>
        </w:tc>
        <w:tc>
          <w:tcPr>
            <w:tcW w:w="960" w:type="dxa"/>
            <w:vAlign w:val="bottom"/>
            <w:tcBorders>
              <w:bottom w:val="single" w:sz="8" w:color="CFCFD2"/>
            </w:tcBorders>
          </w:tcPr>
          <w:p>
            <w:pPr>
              <w:spacing w:after="0"/>
              <w:rPr>
                <w:sz w:val="12"/>
                <w:szCs w:val="12"/>
                <w:color w:val="auto"/>
              </w:rPr>
            </w:pPr>
          </w:p>
        </w:tc>
        <w:tc>
          <w:tcPr>
            <w:tcW w:w="1000" w:type="dxa"/>
            <w:vAlign w:val="bottom"/>
            <w:tcBorders>
              <w:bottom w:val="single" w:sz="8" w:color="CFCFD2"/>
            </w:tcBorders>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2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E1020"/>
              </w:rPr>
              <w:t>2026</w:t>
            </w:r>
          </w:p>
        </w:tc>
        <w:tc>
          <w:tcPr>
            <w:tcW w:w="1060" w:type="dxa"/>
            <w:vAlign w:val="bottom"/>
          </w:tcPr>
          <w:p>
            <w:pPr>
              <w:jc w:val="right"/>
              <w:ind w:right="133"/>
              <w:spacing w:after="0"/>
              <w:rPr>
                <w:sz w:val="20"/>
                <w:szCs w:val="20"/>
                <w:color w:val="auto"/>
              </w:rPr>
            </w:pPr>
            <w:r>
              <w:rPr>
                <w:rFonts w:ascii="Arial" w:cs="Arial" w:eastAsia="Arial" w:hAnsi="Arial"/>
                <w:sz w:val="13"/>
                <w:szCs w:val="13"/>
                <w:color w:val="0E1020"/>
              </w:rPr>
              <w:t>800,000</w:t>
            </w:r>
          </w:p>
        </w:tc>
        <w:tc>
          <w:tcPr>
            <w:tcW w:w="820" w:type="dxa"/>
            <w:vAlign w:val="bottom"/>
          </w:tcPr>
          <w:p>
            <w:pPr>
              <w:jc w:val="right"/>
              <w:ind w:right="13"/>
              <w:spacing w:after="0"/>
              <w:rPr>
                <w:sz w:val="20"/>
                <w:szCs w:val="20"/>
                <w:color w:val="auto"/>
              </w:rPr>
            </w:pPr>
            <w:r>
              <w:rPr>
                <w:rFonts w:ascii="Arial" w:cs="Arial" w:eastAsia="Arial" w:hAnsi="Arial"/>
                <w:sz w:val="13"/>
                <w:szCs w:val="13"/>
                <w:color w:val="0E1020"/>
              </w:rPr>
              <w:t>—</w:t>
            </w:r>
          </w:p>
        </w:tc>
        <w:tc>
          <w:tcPr>
            <w:tcW w:w="1180" w:type="dxa"/>
            <w:vAlign w:val="bottom"/>
          </w:tcPr>
          <w:p>
            <w:pPr>
              <w:jc w:val="right"/>
              <w:ind w:right="133"/>
              <w:spacing w:after="0"/>
              <w:rPr>
                <w:sz w:val="20"/>
                <w:szCs w:val="20"/>
                <w:color w:val="auto"/>
              </w:rPr>
            </w:pPr>
            <w:r>
              <w:rPr>
                <w:rFonts w:ascii="Arial" w:cs="Arial" w:eastAsia="Arial" w:hAnsi="Arial"/>
                <w:sz w:val="13"/>
                <w:szCs w:val="13"/>
                <w:color w:val="0E1020"/>
              </w:rPr>
              <w:t>5,730,078</w:t>
            </w:r>
          </w:p>
        </w:tc>
        <w:tc>
          <w:tcPr>
            <w:tcW w:w="920" w:type="dxa"/>
            <w:vAlign w:val="bottom"/>
          </w:tcPr>
          <w:p>
            <w:pPr>
              <w:ind w:left="580"/>
              <w:spacing w:after="0"/>
              <w:rPr>
                <w:sz w:val="20"/>
                <w:szCs w:val="20"/>
                <w:color w:val="auto"/>
              </w:rPr>
            </w:pPr>
            <w:r>
              <w:rPr>
                <w:rFonts w:ascii="Arial" w:cs="Arial" w:eastAsia="Arial" w:hAnsi="Arial"/>
                <w:sz w:val="13"/>
                <w:szCs w:val="13"/>
                <w:color w:val="0E1020"/>
              </w:rPr>
              <w:t>—</w:t>
            </w:r>
          </w:p>
        </w:tc>
        <w:tc>
          <w:tcPr>
            <w:tcW w:w="1100" w:type="dxa"/>
            <w:vAlign w:val="bottom"/>
          </w:tcPr>
          <w:p>
            <w:pPr>
              <w:jc w:val="right"/>
              <w:ind w:right="13"/>
              <w:spacing w:after="0"/>
              <w:rPr>
                <w:sz w:val="20"/>
                <w:szCs w:val="20"/>
                <w:color w:val="auto"/>
              </w:rPr>
            </w:pPr>
            <w:r>
              <w:rPr>
                <w:rFonts w:ascii="Arial" w:cs="Arial" w:eastAsia="Arial" w:hAnsi="Arial"/>
                <w:sz w:val="13"/>
                <w:szCs w:val="13"/>
                <w:color w:val="0E1020"/>
              </w:rPr>
              <w:t>788,400</w:t>
            </w:r>
          </w:p>
        </w:tc>
        <w:tc>
          <w:tcPr>
            <w:tcW w:w="1400" w:type="dxa"/>
            <w:vAlign w:val="bottom"/>
          </w:tcPr>
          <w:p>
            <w:pPr>
              <w:ind w:left="1040"/>
              <w:spacing w:after="0"/>
              <w:rPr>
                <w:sz w:val="20"/>
                <w:szCs w:val="20"/>
                <w:color w:val="auto"/>
              </w:rPr>
            </w:pPr>
            <w:r>
              <w:rPr>
                <w:rFonts w:ascii="Arial" w:cs="Arial" w:eastAsia="Arial" w:hAnsi="Arial"/>
                <w:sz w:val="13"/>
                <w:szCs w:val="13"/>
                <w:color w:val="0E1020"/>
              </w:rPr>
              <w:t>—</w:t>
            </w:r>
          </w:p>
        </w:tc>
        <w:tc>
          <w:tcPr>
            <w:tcW w:w="960" w:type="dxa"/>
            <w:vAlign w:val="bottom"/>
          </w:tcPr>
          <w:p>
            <w:pPr>
              <w:jc w:val="right"/>
              <w:ind w:right="113"/>
              <w:spacing w:after="0"/>
              <w:rPr>
                <w:sz w:val="20"/>
                <w:szCs w:val="20"/>
                <w:color w:val="auto"/>
              </w:rPr>
            </w:pPr>
            <w:r>
              <w:rPr>
                <w:rFonts w:ascii="Arial" w:cs="Arial" w:eastAsia="Arial" w:hAnsi="Arial"/>
                <w:sz w:val="13"/>
                <w:szCs w:val="13"/>
                <w:color w:val="0E1020"/>
              </w:rPr>
              <w:t>91,836</w:t>
            </w:r>
          </w:p>
        </w:tc>
        <w:tc>
          <w:tcPr>
            <w:tcW w:w="1000" w:type="dxa"/>
            <w:vAlign w:val="bottom"/>
          </w:tcPr>
          <w:p>
            <w:pPr>
              <w:jc w:val="right"/>
              <w:ind w:right="113"/>
              <w:spacing w:after="0"/>
              <w:rPr>
                <w:sz w:val="20"/>
                <w:szCs w:val="20"/>
                <w:color w:val="auto"/>
              </w:rPr>
            </w:pPr>
            <w:r>
              <w:rPr>
                <w:rFonts w:ascii="Arial" w:cs="Arial" w:eastAsia="Arial" w:hAnsi="Arial"/>
                <w:sz w:val="13"/>
                <w:szCs w:val="13"/>
                <w:color w:val="0E1020"/>
              </w:rPr>
              <w:t>7,410,314</w:t>
            </w:r>
          </w:p>
        </w:tc>
        <w:tc>
          <w:tcPr>
            <w:tcW w:w="0" w:type="dxa"/>
            <w:vAlign w:val="bottom"/>
          </w:tcPr>
          <w:p>
            <w:pPr>
              <w:spacing w:after="0"/>
              <w:rPr>
                <w:sz w:val="1"/>
                <w:szCs w:val="1"/>
                <w:color w:val="auto"/>
              </w:rPr>
            </w:pPr>
          </w:p>
        </w:tc>
      </w:tr>
      <w:tr>
        <w:trPr>
          <w:trHeight w:val="105"/>
        </w:trPr>
        <w:tc>
          <w:tcPr>
            <w:tcW w:w="2200" w:type="dxa"/>
            <w:vAlign w:val="bottom"/>
            <w:vMerge w:val="restart"/>
          </w:tcPr>
          <w:p>
            <w:pPr>
              <w:ind w:left="20"/>
              <w:spacing w:after="0"/>
              <w:rPr>
                <w:sz w:val="20"/>
                <w:szCs w:val="20"/>
                <w:color w:val="auto"/>
              </w:rPr>
            </w:pPr>
            <w:r>
              <w:rPr>
                <w:rFonts w:ascii="Arial" w:cs="Arial" w:eastAsia="Arial" w:hAnsi="Arial"/>
                <w:sz w:val="13"/>
                <w:szCs w:val="13"/>
                <w:b w:val="1"/>
                <w:bCs w:val="1"/>
                <w:color w:val="004AAC"/>
              </w:rPr>
              <w:t>Christopher Drumgoole</w:t>
            </w:r>
          </w:p>
        </w:tc>
        <w:tc>
          <w:tcPr>
            <w:tcW w:w="600" w:type="dxa"/>
            <w:vAlign w:val="bottom"/>
            <w:tcBorders>
              <w:bottom w:val="single" w:sz="8" w:color="CFCFD2"/>
            </w:tcBorders>
          </w:tcPr>
          <w:p>
            <w:pPr>
              <w:spacing w:after="0"/>
              <w:rPr>
                <w:sz w:val="9"/>
                <w:szCs w:val="9"/>
                <w:color w:val="auto"/>
              </w:rPr>
            </w:pPr>
          </w:p>
        </w:tc>
        <w:tc>
          <w:tcPr>
            <w:tcW w:w="1060" w:type="dxa"/>
            <w:vAlign w:val="bottom"/>
            <w:tcBorders>
              <w:bottom w:val="single" w:sz="8" w:color="CFCFD2"/>
            </w:tcBorders>
          </w:tcPr>
          <w:p>
            <w:pPr>
              <w:spacing w:after="0"/>
              <w:rPr>
                <w:sz w:val="9"/>
                <w:szCs w:val="9"/>
                <w:color w:val="auto"/>
              </w:rPr>
            </w:pPr>
          </w:p>
        </w:tc>
        <w:tc>
          <w:tcPr>
            <w:tcW w:w="820" w:type="dxa"/>
            <w:vAlign w:val="bottom"/>
            <w:tcBorders>
              <w:bottom w:val="single" w:sz="8" w:color="CFCFD2"/>
            </w:tcBorders>
          </w:tcPr>
          <w:p>
            <w:pPr>
              <w:spacing w:after="0"/>
              <w:rPr>
                <w:sz w:val="9"/>
                <w:szCs w:val="9"/>
                <w:color w:val="auto"/>
              </w:rPr>
            </w:pPr>
          </w:p>
        </w:tc>
        <w:tc>
          <w:tcPr>
            <w:tcW w:w="1180" w:type="dxa"/>
            <w:vAlign w:val="bottom"/>
            <w:tcBorders>
              <w:bottom w:val="single" w:sz="8" w:color="CFCFD2"/>
            </w:tcBorders>
          </w:tcPr>
          <w:p>
            <w:pPr>
              <w:spacing w:after="0"/>
              <w:rPr>
                <w:sz w:val="9"/>
                <w:szCs w:val="9"/>
                <w:color w:val="auto"/>
              </w:rPr>
            </w:pPr>
          </w:p>
        </w:tc>
        <w:tc>
          <w:tcPr>
            <w:tcW w:w="920" w:type="dxa"/>
            <w:vAlign w:val="bottom"/>
            <w:tcBorders>
              <w:bottom w:val="single" w:sz="8" w:color="CFCFD2"/>
            </w:tcBorders>
          </w:tcPr>
          <w:p>
            <w:pPr>
              <w:spacing w:after="0"/>
              <w:rPr>
                <w:sz w:val="9"/>
                <w:szCs w:val="9"/>
                <w:color w:val="auto"/>
              </w:rPr>
            </w:pPr>
          </w:p>
        </w:tc>
        <w:tc>
          <w:tcPr>
            <w:tcW w:w="1100" w:type="dxa"/>
            <w:vAlign w:val="bottom"/>
            <w:tcBorders>
              <w:bottom w:val="single" w:sz="8" w:color="CFCFD2"/>
            </w:tcBorders>
          </w:tcPr>
          <w:p>
            <w:pPr>
              <w:spacing w:after="0"/>
              <w:rPr>
                <w:sz w:val="9"/>
                <w:szCs w:val="9"/>
                <w:color w:val="auto"/>
              </w:rPr>
            </w:pPr>
          </w:p>
        </w:tc>
        <w:tc>
          <w:tcPr>
            <w:tcW w:w="1400" w:type="dxa"/>
            <w:vAlign w:val="bottom"/>
            <w:tcBorders>
              <w:bottom w:val="single" w:sz="8" w:color="CFCFD2"/>
            </w:tcBorders>
          </w:tcPr>
          <w:p>
            <w:pPr>
              <w:spacing w:after="0"/>
              <w:rPr>
                <w:sz w:val="9"/>
                <w:szCs w:val="9"/>
                <w:color w:val="auto"/>
              </w:rPr>
            </w:pPr>
          </w:p>
        </w:tc>
        <w:tc>
          <w:tcPr>
            <w:tcW w:w="960" w:type="dxa"/>
            <w:vAlign w:val="bottom"/>
            <w:tcBorders>
              <w:bottom w:val="single" w:sz="8" w:color="CFCFD2"/>
            </w:tcBorders>
          </w:tcPr>
          <w:p>
            <w:pPr>
              <w:spacing w:after="0"/>
              <w:rPr>
                <w:sz w:val="9"/>
                <w:szCs w:val="9"/>
                <w:color w:val="auto"/>
              </w:rPr>
            </w:pPr>
          </w:p>
        </w:tc>
        <w:tc>
          <w:tcPr>
            <w:tcW w:w="1000" w:type="dxa"/>
            <w:vAlign w:val="bottom"/>
            <w:tcBorders>
              <w:bottom w:val="single" w:sz="8" w:color="CFCFD2"/>
            </w:tcBorders>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2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200" w:type="dxa"/>
            <w:vAlign w:val="bottom"/>
          </w:tcPr>
          <w:p>
            <w:pPr>
              <w:ind w:left="20"/>
              <w:spacing w:after="0"/>
              <w:rPr>
                <w:sz w:val="20"/>
                <w:szCs w:val="20"/>
                <w:color w:val="auto"/>
              </w:rPr>
            </w:pPr>
            <w:r>
              <w:rPr>
                <w:rFonts w:ascii="Arial" w:cs="Arial" w:eastAsia="Arial" w:hAnsi="Arial"/>
                <w:sz w:val="13"/>
                <w:szCs w:val="13"/>
                <w:color w:val="0E1020"/>
              </w:rPr>
              <w:t>President, Global Infrastructure</w:t>
            </w:r>
          </w:p>
        </w:tc>
        <w:tc>
          <w:tcPr>
            <w:tcW w:w="600" w:type="dxa"/>
            <w:vAlign w:val="bottom"/>
          </w:tcPr>
          <w:p>
            <w:pPr>
              <w:jc w:val="center"/>
              <w:spacing w:after="0"/>
              <w:rPr>
                <w:sz w:val="20"/>
                <w:szCs w:val="20"/>
                <w:color w:val="auto"/>
              </w:rPr>
            </w:pPr>
            <w:r>
              <w:rPr>
                <w:rFonts w:ascii="Arial" w:cs="Arial" w:eastAsia="Arial" w:hAnsi="Arial"/>
                <w:sz w:val="13"/>
                <w:szCs w:val="13"/>
                <w:color w:val="0E1020"/>
              </w:rPr>
              <w:t>2025</w:t>
            </w:r>
          </w:p>
        </w:tc>
        <w:tc>
          <w:tcPr>
            <w:tcW w:w="1060" w:type="dxa"/>
            <w:vAlign w:val="bottom"/>
          </w:tcPr>
          <w:p>
            <w:pPr>
              <w:jc w:val="right"/>
              <w:ind w:right="133"/>
              <w:spacing w:after="0"/>
              <w:rPr>
                <w:sz w:val="20"/>
                <w:szCs w:val="20"/>
                <w:color w:val="auto"/>
              </w:rPr>
            </w:pPr>
            <w:r>
              <w:rPr>
                <w:rFonts w:ascii="Arial" w:cs="Arial" w:eastAsia="Arial" w:hAnsi="Arial"/>
                <w:sz w:val="13"/>
                <w:szCs w:val="13"/>
                <w:color w:val="0E1020"/>
              </w:rPr>
              <w:t>800,000</w:t>
            </w:r>
          </w:p>
        </w:tc>
        <w:tc>
          <w:tcPr>
            <w:tcW w:w="820" w:type="dxa"/>
            <w:vAlign w:val="bottom"/>
          </w:tcPr>
          <w:p>
            <w:pPr>
              <w:jc w:val="right"/>
              <w:ind w:right="13"/>
              <w:spacing w:after="0"/>
              <w:rPr>
                <w:sz w:val="20"/>
                <w:szCs w:val="20"/>
                <w:color w:val="auto"/>
              </w:rPr>
            </w:pPr>
            <w:r>
              <w:rPr>
                <w:rFonts w:ascii="Arial" w:cs="Arial" w:eastAsia="Arial" w:hAnsi="Arial"/>
                <w:sz w:val="13"/>
                <w:szCs w:val="13"/>
                <w:color w:val="0E1020"/>
              </w:rPr>
              <w:t>—</w:t>
            </w:r>
          </w:p>
        </w:tc>
        <w:tc>
          <w:tcPr>
            <w:tcW w:w="1180" w:type="dxa"/>
            <w:vAlign w:val="bottom"/>
          </w:tcPr>
          <w:p>
            <w:pPr>
              <w:jc w:val="right"/>
              <w:ind w:right="133"/>
              <w:spacing w:after="0"/>
              <w:rPr>
                <w:sz w:val="20"/>
                <w:szCs w:val="20"/>
                <w:color w:val="auto"/>
              </w:rPr>
            </w:pPr>
            <w:r>
              <w:rPr>
                <w:rFonts w:ascii="Arial" w:cs="Arial" w:eastAsia="Arial" w:hAnsi="Arial"/>
                <w:sz w:val="13"/>
                <w:szCs w:val="13"/>
                <w:color w:val="0E1020"/>
              </w:rPr>
              <w:t>4,874,327</w:t>
            </w:r>
          </w:p>
        </w:tc>
        <w:tc>
          <w:tcPr>
            <w:tcW w:w="920" w:type="dxa"/>
            <w:vAlign w:val="bottom"/>
          </w:tcPr>
          <w:p>
            <w:pPr>
              <w:ind w:left="580"/>
              <w:spacing w:after="0"/>
              <w:rPr>
                <w:sz w:val="20"/>
                <w:szCs w:val="20"/>
                <w:color w:val="auto"/>
              </w:rPr>
            </w:pPr>
            <w:r>
              <w:rPr>
                <w:rFonts w:ascii="Arial" w:cs="Arial" w:eastAsia="Arial" w:hAnsi="Arial"/>
                <w:sz w:val="13"/>
                <w:szCs w:val="13"/>
                <w:color w:val="0E1020"/>
              </w:rPr>
              <w:t>—</w:t>
            </w:r>
          </w:p>
        </w:tc>
        <w:tc>
          <w:tcPr>
            <w:tcW w:w="1100" w:type="dxa"/>
            <w:vAlign w:val="bottom"/>
          </w:tcPr>
          <w:p>
            <w:pPr>
              <w:jc w:val="right"/>
              <w:ind w:right="13"/>
              <w:spacing w:after="0"/>
              <w:rPr>
                <w:sz w:val="20"/>
                <w:szCs w:val="20"/>
                <w:color w:val="auto"/>
              </w:rPr>
            </w:pPr>
            <w:r>
              <w:rPr>
                <w:rFonts w:ascii="Arial" w:cs="Arial" w:eastAsia="Arial" w:hAnsi="Arial"/>
                <w:sz w:val="13"/>
                <w:szCs w:val="13"/>
                <w:color w:val="0E1020"/>
              </w:rPr>
              <w:t>1,010,000</w:t>
            </w:r>
          </w:p>
        </w:tc>
        <w:tc>
          <w:tcPr>
            <w:tcW w:w="1400" w:type="dxa"/>
            <w:vAlign w:val="bottom"/>
          </w:tcPr>
          <w:p>
            <w:pPr>
              <w:ind w:left="1040"/>
              <w:spacing w:after="0"/>
              <w:rPr>
                <w:sz w:val="20"/>
                <w:szCs w:val="20"/>
                <w:color w:val="auto"/>
              </w:rPr>
            </w:pPr>
            <w:r>
              <w:rPr>
                <w:rFonts w:ascii="Arial" w:cs="Arial" w:eastAsia="Arial" w:hAnsi="Arial"/>
                <w:sz w:val="13"/>
                <w:szCs w:val="13"/>
                <w:color w:val="0E1020"/>
              </w:rPr>
              <w:t>—</w:t>
            </w:r>
          </w:p>
        </w:tc>
        <w:tc>
          <w:tcPr>
            <w:tcW w:w="960" w:type="dxa"/>
            <w:vAlign w:val="bottom"/>
          </w:tcPr>
          <w:p>
            <w:pPr>
              <w:jc w:val="right"/>
              <w:ind w:right="113"/>
              <w:spacing w:after="0"/>
              <w:rPr>
                <w:sz w:val="20"/>
                <w:szCs w:val="20"/>
                <w:color w:val="auto"/>
              </w:rPr>
            </w:pPr>
            <w:r>
              <w:rPr>
                <w:rFonts w:ascii="Arial" w:cs="Arial" w:eastAsia="Arial" w:hAnsi="Arial"/>
                <w:sz w:val="13"/>
                <w:szCs w:val="13"/>
                <w:color w:val="0E1020"/>
              </w:rPr>
              <w:t>17,184</w:t>
            </w:r>
          </w:p>
        </w:tc>
        <w:tc>
          <w:tcPr>
            <w:tcW w:w="1000" w:type="dxa"/>
            <w:vAlign w:val="bottom"/>
          </w:tcPr>
          <w:p>
            <w:pPr>
              <w:jc w:val="right"/>
              <w:ind w:right="113"/>
              <w:spacing w:after="0"/>
              <w:rPr>
                <w:sz w:val="20"/>
                <w:szCs w:val="20"/>
                <w:color w:val="auto"/>
              </w:rPr>
            </w:pPr>
            <w:r>
              <w:rPr>
                <w:rFonts w:ascii="Arial" w:cs="Arial" w:eastAsia="Arial" w:hAnsi="Arial"/>
                <w:sz w:val="13"/>
                <w:szCs w:val="13"/>
                <w:color w:val="0E1020"/>
              </w:rPr>
              <w:t>6,701,511</w:t>
            </w:r>
          </w:p>
        </w:tc>
        <w:tc>
          <w:tcPr>
            <w:tcW w:w="0" w:type="dxa"/>
            <w:vAlign w:val="bottom"/>
          </w:tcPr>
          <w:p>
            <w:pPr>
              <w:spacing w:after="0"/>
              <w:rPr>
                <w:sz w:val="1"/>
                <w:szCs w:val="1"/>
                <w:color w:val="auto"/>
              </w:rPr>
            </w:pPr>
          </w:p>
        </w:tc>
      </w:tr>
      <w:tr>
        <w:trPr>
          <w:trHeight w:val="120"/>
        </w:trPr>
        <w:tc>
          <w:tcPr>
            <w:tcW w:w="2200" w:type="dxa"/>
            <w:vAlign w:val="bottom"/>
          </w:tcPr>
          <w:p>
            <w:pPr>
              <w:ind w:left="20"/>
              <w:spacing w:after="0" w:line="113" w:lineRule="exact"/>
              <w:rPr>
                <w:sz w:val="20"/>
                <w:szCs w:val="20"/>
                <w:color w:val="auto"/>
              </w:rPr>
            </w:pPr>
            <w:r>
              <w:rPr>
                <w:rFonts w:ascii="Arial" w:cs="Arial" w:eastAsia="Arial" w:hAnsi="Arial"/>
                <w:sz w:val="13"/>
                <w:szCs w:val="13"/>
                <w:color w:val="0E1020"/>
              </w:rPr>
              <w:t>Services</w:t>
            </w:r>
          </w:p>
        </w:tc>
        <w:tc>
          <w:tcPr>
            <w:tcW w:w="600" w:type="dxa"/>
            <w:vAlign w:val="bottom"/>
            <w:tcBorders>
              <w:bottom w:val="single" w:sz="8" w:color="CFCFD2"/>
            </w:tcBorders>
          </w:tcPr>
          <w:p>
            <w:pPr>
              <w:spacing w:after="0"/>
              <w:rPr>
                <w:sz w:val="10"/>
                <w:szCs w:val="10"/>
                <w:color w:val="auto"/>
              </w:rPr>
            </w:pPr>
          </w:p>
        </w:tc>
        <w:tc>
          <w:tcPr>
            <w:tcW w:w="1060" w:type="dxa"/>
            <w:vAlign w:val="bottom"/>
            <w:tcBorders>
              <w:bottom w:val="single" w:sz="8" w:color="CFCFD2"/>
            </w:tcBorders>
          </w:tcPr>
          <w:p>
            <w:pPr>
              <w:spacing w:after="0"/>
              <w:rPr>
                <w:sz w:val="10"/>
                <w:szCs w:val="10"/>
                <w:color w:val="auto"/>
              </w:rPr>
            </w:pPr>
          </w:p>
        </w:tc>
        <w:tc>
          <w:tcPr>
            <w:tcW w:w="820" w:type="dxa"/>
            <w:vAlign w:val="bottom"/>
            <w:tcBorders>
              <w:bottom w:val="single" w:sz="8" w:color="CFCFD2"/>
            </w:tcBorders>
          </w:tcPr>
          <w:p>
            <w:pPr>
              <w:spacing w:after="0"/>
              <w:rPr>
                <w:sz w:val="10"/>
                <w:szCs w:val="10"/>
                <w:color w:val="auto"/>
              </w:rPr>
            </w:pPr>
          </w:p>
        </w:tc>
        <w:tc>
          <w:tcPr>
            <w:tcW w:w="1180" w:type="dxa"/>
            <w:vAlign w:val="bottom"/>
            <w:tcBorders>
              <w:bottom w:val="single" w:sz="8" w:color="CFCFD2"/>
            </w:tcBorders>
          </w:tcPr>
          <w:p>
            <w:pPr>
              <w:spacing w:after="0"/>
              <w:rPr>
                <w:sz w:val="10"/>
                <w:szCs w:val="10"/>
                <w:color w:val="auto"/>
              </w:rPr>
            </w:pPr>
          </w:p>
        </w:tc>
        <w:tc>
          <w:tcPr>
            <w:tcW w:w="920" w:type="dxa"/>
            <w:vAlign w:val="bottom"/>
            <w:tcBorders>
              <w:bottom w:val="single" w:sz="8" w:color="CFCFD2"/>
            </w:tcBorders>
          </w:tcPr>
          <w:p>
            <w:pPr>
              <w:spacing w:after="0"/>
              <w:rPr>
                <w:sz w:val="10"/>
                <w:szCs w:val="10"/>
                <w:color w:val="auto"/>
              </w:rPr>
            </w:pPr>
          </w:p>
        </w:tc>
        <w:tc>
          <w:tcPr>
            <w:tcW w:w="1100" w:type="dxa"/>
            <w:vAlign w:val="bottom"/>
            <w:tcBorders>
              <w:bottom w:val="single" w:sz="8" w:color="CFCFD2"/>
            </w:tcBorders>
          </w:tcPr>
          <w:p>
            <w:pPr>
              <w:spacing w:after="0"/>
              <w:rPr>
                <w:sz w:val="10"/>
                <w:szCs w:val="10"/>
                <w:color w:val="auto"/>
              </w:rPr>
            </w:pPr>
          </w:p>
        </w:tc>
        <w:tc>
          <w:tcPr>
            <w:tcW w:w="1400" w:type="dxa"/>
            <w:vAlign w:val="bottom"/>
            <w:tcBorders>
              <w:bottom w:val="single" w:sz="8" w:color="CFCFD2"/>
            </w:tcBorders>
          </w:tcPr>
          <w:p>
            <w:pPr>
              <w:spacing w:after="0"/>
              <w:rPr>
                <w:sz w:val="10"/>
                <w:szCs w:val="10"/>
                <w:color w:val="auto"/>
              </w:rPr>
            </w:pPr>
          </w:p>
        </w:tc>
        <w:tc>
          <w:tcPr>
            <w:tcW w:w="960" w:type="dxa"/>
            <w:vAlign w:val="bottom"/>
            <w:tcBorders>
              <w:bottom w:val="single" w:sz="8" w:color="CFCFD2"/>
            </w:tcBorders>
          </w:tcPr>
          <w:p>
            <w:pPr>
              <w:spacing w:after="0"/>
              <w:rPr>
                <w:sz w:val="10"/>
                <w:szCs w:val="10"/>
                <w:color w:val="auto"/>
              </w:rPr>
            </w:pPr>
          </w:p>
        </w:tc>
        <w:tc>
          <w:tcPr>
            <w:tcW w:w="1000" w:type="dxa"/>
            <w:vAlign w:val="bottom"/>
            <w:tcBorders>
              <w:bottom w:val="single" w:sz="8" w:color="CFCFD2"/>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20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E1020"/>
              </w:rPr>
              <w:t>2024</w:t>
            </w:r>
          </w:p>
        </w:tc>
        <w:tc>
          <w:tcPr>
            <w:tcW w:w="1060" w:type="dxa"/>
            <w:vAlign w:val="bottom"/>
          </w:tcPr>
          <w:p>
            <w:pPr>
              <w:jc w:val="right"/>
              <w:ind w:right="133"/>
              <w:spacing w:after="0"/>
              <w:rPr>
                <w:sz w:val="20"/>
                <w:szCs w:val="20"/>
                <w:color w:val="auto"/>
              </w:rPr>
            </w:pPr>
            <w:r>
              <w:rPr>
                <w:rFonts w:ascii="Arial" w:cs="Arial" w:eastAsia="Arial" w:hAnsi="Arial"/>
                <w:sz w:val="13"/>
                <w:szCs w:val="13"/>
                <w:color w:val="0E1020"/>
              </w:rPr>
              <w:t>700,000</w:t>
            </w:r>
          </w:p>
        </w:tc>
        <w:tc>
          <w:tcPr>
            <w:tcW w:w="820" w:type="dxa"/>
            <w:vAlign w:val="bottom"/>
          </w:tcPr>
          <w:p>
            <w:pPr>
              <w:jc w:val="right"/>
              <w:ind w:right="13"/>
              <w:spacing w:after="0"/>
              <w:rPr>
                <w:sz w:val="20"/>
                <w:szCs w:val="20"/>
                <w:color w:val="auto"/>
              </w:rPr>
            </w:pPr>
            <w:r>
              <w:rPr>
                <w:rFonts w:ascii="Arial" w:cs="Arial" w:eastAsia="Arial" w:hAnsi="Arial"/>
                <w:sz w:val="13"/>
                <w:szCs w:val="13"/>
                <w:color w:val="0E1020"/>
              </w:rPr>
              <w:t>—</w:t>
            </w:r>
          </w:p>
        </w:tc>
        <w:tc>
          <w:tcPr>
            <w:tcW w:w="1180" w:type="dxa"/>
            <w:vAlign w:val="bottom"/>
          </w:tcPr>
          <w:p>
            <w:pPr>
              <w:jc w:val="right"/>
              <w:ind w:right="133"/>
              <w:spacing w:after="0"/>
              <w:rPr>
                <w:sz w:val="20"/>
                <w:szCs w:val="20"/>
                <w:color w:val="auto"/>
              </w:rPr>
            </w:pPr>
            <w:r>
              <w:rPr>
                <w:rFonts w:ascii="Arial" w:cs="Arial" w:eastAsia="Arial" w:hAnsi="Arial"/>
                <w:sz w:val="13"/>
                <w:szCs w:val="13"/>
                <w:color w:val="0E1020"/>
              </w:rPr>
              <w:t>3,825,153</w:t>
            </w:r>
          </w:p>
        </w:tc>
        <w:tc>
          <w:tcPr>
            <w:tcW w:w="920" w:type="dxa"/>
            <w:vAlign w:val="bottom"/>
          </w:tcPr>
          <w:p>
            <w:pPr>
              <w:ind w:left="580"/>
              <w:spacing w:after="0"/>
              <w:rPr>
                <w:sz w:val="20"/>
                <w:szCs w:val="20"/>
                <w:color w:val="auto"/>
              </w:rPr>
            </w:pPr>
            <w:r>
              <w:rPr>
                <w:rFonts w:ascii="Arial" w:cs="Arial" w:eastAsia="Arial" w:hAnsi="Arial"/>
                <w:sz w:val="13"/>
                <w:szCs w:val="13"/>
                <w:color w:val="0E1020"/>
              </w:rPr>
              <w:t>—</w:t>
            </w:r>
          </w:p>
        </w:tc>
        <w:tc>
          <w:tcPr>
            <w:tcW w:w="1100" w:type="dxa"/>
            <w:vAlign w:val="bottom"/>
          </w:tcPr>
          <w:p>
            <w:pPr>
              <w:jc w:val="right"/>
              <w:ind w:right="13"/>
              <w:spacing w:after="0"/>
              <w:rPr>
                <w:sz w:val="20"/>
                <w:szCs w:val="20"/>
                <w:color w:val="auto"/>
              </w:rPr>
            </w:pPr>
            <w:r>
              <w:rPr>
                <w:rFonts w:ascii="Arial" w:cs="Arial" w:eastAsia="Arial" w:hAnsi="Arial"/>
                <w:sz w:val="13"/>
                <w:szCs w:val="13"/>
                <w:color w:val="0E1020"/>
              </w:rPr>
              <w:t>516,250</w:t>
            </w:r>
          </w:p>
        </w:tc>
        <w:tc>
          <w:tcPr>
            <w:tcW w:w="1400" w:type="dxa"/>
            <w:vAlign w:val="bottom"/>
          </w:tcPr>
          <w:p>
            <w:pPr>
              <w:ind w:left="1040"/>
              <w:spacing w:after="0"/>
              <w:rPr>
                <w:sz w:val="20"/>
                <w:szCs w:val="20"/>
                <w:color w:val="auto"/>
              </w:rPr>
            </w:pPr>
            <w:r>
              <w:rPr>
                <w:rFonts w:ascii="Arial" w:cs="Arial" w:eastAsia="Arial" w:hAnsi="Arial"/>
                <w:sz w:val="13"/>
                <w:szCs w:val="13"/>
                <w:color w:val="0E1020"/>
              </w:rPr>
              <w:t>—</w:t>
            </w:r>
          </w:p>
        </w:tc>
        <w:tc>
          <w:tcPr>
            <w:tcW w:w="960" w:type="dxa"/>
            <w:vAlign w:val="bottom"/>
          </w:tcPr>
          <w:p>
            <w:pPr>
              <w:jc w:val="right"/>
              <w:ind w:right="113"/>
              <w:spacing w:after="0"/>
              <w:rPr>
                <w:sz w:val="20"/>
                <w:szCs w:val="20"/>
                <w:color w:val="auto"/>
              </w:rPr>
            </w:pPr>
            <w:r>
              <w:rPr>
                <w:rFonts w:ascii="Arial" w:cs="Arial" w:eastAsia="Arial" w:hAnsi="Arial"/>
                <w:sz w:val="13"/>
                <w:szCs w:val="13"/>
                <w:color w:val="0E1020"/>
              </w:rPr>
              <w:t>29,432</w:t>
            </w:r>
          </w:p>
        </w:tc>
        <w:tc>
          <w:tcPr>
            <w:tcW w:w="1000" w:type="dxa"/>
            <w:vAlign w:val="bottom"/>
          </w:tcPr>
          <w:p>
            <w:pPr>
              <w:jc w:val="right"/>
              <w:ind w:right="113"/>
              <w:spacing w:after="0"/>
              <w:rPr>
                <w:sz w:val="20"/>
                <w:szCs w:val="20"/>
                <w:color w:val="auto"/>
              </w:rPr>
            </w:pPr>
            <w:r>
              <w:rPr>
                <w:rFonts w:ascii="Arial" w:cs="Arial" w:eastAsia="Arial" w:hAnsi="Arial"/>
                <w:sz w:val="13"/>
                <w:szCs w:val="13"/>
                <w:color w:val="0E1020"/>
              </w:rPr>
              <w:t>5,070,835</w:t>
            </w:r>
          </w:p>
        </w:tc>
        <w:tc>
          <w:tcPr>
            <w:tcW w:w="0" w:type="dxa"/>
            <w:vAlign w:val="bottom"/>
          </w:tcPr>
          <w:p>
            <w:pPr>
              <w:spacing w:after="0"/>
              <w:rPr>
                <w:sz w:val="1"/>
                <w:szCs w:val="1"/>
                <w:color w:val="auto"/>
              </w:rPr>
            </w:pPr>
          </w:p>
        </w:tc>
      </w:tr>
      <w:tr>
        <w:trPr>
          <w:trHeight w:val="146"/>
        </w:trPr>
        <w:tc>
          <w:tcPr>
            <w:tcW w:w="2200" w:type="dxa"/>
            <w:vAlign w:val="bottom"/>
            <w:tcBorders>
              <w:bottom w:val="single" w:sz="8" w:color="CFCFD2"/>
            </w:tcBorders>
          </w:tcPr>
          <w:p>
            <w:pPr>
              <w:spacing w:after="0"/>
              <w:rPr>
                <w:sz w:val="12"/>
                <w:szCs w:val="12"/>
                <w:color w:val="auto"/>
              </w:rPr>
            </w:pPr>
          </w:p>
        </w:tc>
        <w:tc>
          <w:tcPr>
            <w:tcW w:w="600" w:type="dxa"/>
            <w:vAlign w:val="bottom"/>
            <w:tcBorders>
              <w:bottom w:val="single" w:sz="8" w:color="CFCFD2"/>
            </w:tcBorders>
          </w:tcPr>
          <w:p>
            <w:pPr>
              <w:spacing w:after="0"/>
              <w:rPr>
                <w:sz w:val="12"/>
                <w:szCs w:val="12"/>
                <w:color w:val="auto"/>
              </w:rPr>
            </w:pPr>
          </w:p>
        </w:tc>
        <w:tc>
          <w:tcPr>
            <w:tcW w:w="1060" w:type="dxa"/>
            <w:vAlign w:val="bottom"/>
            <w:tcBorders>
              <w:bottom w:val="single" w:sz="8" w:color="CFCFD2"/>
            </w:tcBorders>
          </w:tcPr>
          <w:p>
            <w:pPr>
              <w:spacing w:after="0"/>
              <w:rPr>
                <w:sz w:val="12"/>
                <w:szCs w:val="12"/>
                <w:color w:val="auto"/>
              </w:rPr>
            </w:pPr>
          </w:p>
        </w:tc>
        <w:tc>
          <w:tcPr>
            <w:tcW w:w="820" w:type="dxa"/>
            <w:vAlign w:val="bottom"/>
            <w:tcBorders>
              <w:bottom w:val="single" w:sz="8" w:color="CFCFD2"/>
            </w:tcBorders>
          </w:tcPr>
          <w:p>
            <w:pPr>
              <w:spacing w:after="0"/>
              <w:rPr>
                <w:sz w:val="12"/>
                <w:szCs w:val="12"/>
                <w:color w:val="auto"/>
              </w:rPr>
            </w:pPr>
          </w:p>
        </w:tc>
        <w:tc>
          <w:tcPr>
            <w:tcW w:w="1180" w:type="dxa"/>
            <w:vAlign w:val="bottom"/>
            <w:tcBorders>
              <w:bottom w:val="single" w:sz="8" w:color="CFCFD2"/>
            </w:tcBorders>
          </w:tcPr>
          <w:p>
            <w:pPr>
              <w:spacing w:after="0"/>
              <w:rPr>
                <w:sz w:val="12"/>
                <w:szCs w:val="12"/>
                <w:color w:val="auto"/>
              </w:rPr>
            </w:pPr>
          </w:p>
        </w:tc>
        <w:tc>
          <w:tcPr>
            <w:tcW w:w="920" w:type="dxa"/>
            <w:vAlign w:val="bottom"/>
            <w:tcBorders>
              <w:bottom w:val="single" w:sz="8" w:color="CFCFD2"/>
            </w:tcBorders>
          </w:tcPr>
          <w:p>
            <w:pPr>
              <w:spacing w:after="0"/>
              <w:rPr>
                <w:sz w:val="12"/>
                <w:szCs w:val="12"/>
                <w:color w:val="auto"/>
              </w:rPr>
            </w:pPr>
          </w:p>
        </w:tc>
        <w:tc>
          <w:tcPr>
            <w:tcW w:w="1100" w:type="dxa"/>
            <w:vAlign w:val="bottom"/>
            <w:tcBorders>
              <w:bottom w:val="single" w:sz="8" w:color="CFCFD2"/>
            </w:tcBorders>
          </w:tcPr>
          <w:p>
            <w:pPr>
              <w:spacing w:after="0"/>
              <w:rPr>
                <w:sz w:val="12"/>
                <w:szCs w:val="12"/>
                <w:color w:val="auto"/>
              </w:rPr>
            </w:pPr>
          </w:p>
        </w:tc>
        <w:tc>
          <w:tcPr>
            <w:tcW w:w="1400" w:type="dxa"/>
            <w:vAlign w:val="bottom"/>
            <w:tcBorders>
              <w:bottom w:val="single" w:sz="8" w:color="CFCFD2"/>
            </w:tcBorders>
          </w:tcPr>
          <w:p>
            <w:pPr>
              <w:spacing w:after="0"/>
              <w:rPr>
                <w:sz w:val="12"/>
                <w:szCs w:val="12"/>
                <w:color w:val="auto"/>
              </w:rPr>
            </w:pPr>
          </w:p>
        </w:tc>
        <w:tc>
          <w:tcPr>
            <w:tcW w:w="960" w:type="dxa"/>
            <w:vAlign w:val="bottom"/>
            <w:tcBorders>
              <w:bottom w:val="single" w:sz="8" w:color="CFCFD2"/>
            </w:tcBorders>
          </w:tcPr>
          <w:p>
            <w:pPr>
              <w:spacing w:after="0"/>
              <w:rPr>
                <w:sz w:val="12"/>
                <w:szCs w:val="12"/>
                <w:color w:val="auto"/>
              </w:rPr>
            </w:pPr>
          </w:p>
        </w:tc>
        <w:tc>
          <w:tcPr>
            <w:tcW w:w="1000" w:type="dxa"/>
            <w:vAlign w:val="bottom"/>
            <w:tcBorders>
              <w:bottom w:val="single" w:sz="8" w:color="CFCFD2"/>
            </w:tcBorders>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2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E1020"/>
              </w:rPr>
              <w:t>2026</w:t>
            </w:r>
          </w:p>
        </w:tc>
        <w:tc>
          <w:tcPr>
            <w:tcW w:w="1060" w:type="dxa"/>
            <w:vAlign w:val="bottom"/>
          </w:tcPr>
          <w:p>
            <w:pPr>
              <w:jc w:val="right"/>
              <w:ind w:right="133"/>
              <w:spacing w:after="0"/>
              <w:rPr>
                <w:sz w:val="20"/>
                <w:szCs w:val="20"/>
                <w:color w:val="auto"/>
              </w:rPr>
            </w:pPr>
            <w:r>
              <w:rPr>
                <w:rFonts w:ascii="Arial" w:cs="Arial" w:eastAsia="Arial" w:hAnsi="Arial"/>
                <w:sz w:val="13"/>
                <w:szCs w:val="13"/>
                <w:color w:val="0E1020"/>
              </w:rPr>
              <w:t>700,000</w:t>
            </w:r>
          </w:p>
        </w:tc>
        <w:tc>
          <w:tcPr>
            <w:tcW w:w="820" w:type="dxa"/>
            <w:vAlign w:val="bottom"/>
          </w:tcPr>
          <w:p>
            <w:pPr>
              <w:jc w:val="right"/>
              <w:ind w:right="13"/>
              <w:spacing w:after="0"/>
              <w:rPr>
                <w:sz w:val="20"/>
                <w:szCs w:val="20"/>
                <w:color w:val="auto"/>
              </w:rPr>
            </w:pPr>
            <w:r>
              <w:rPr>
                <w:rFonts w:ascii="Arial" w:cs="Arial" w:eastAsia="Arial" w:hAnsi="Arial"/>
                <w:sz w:val="13"/>
                <w:szCs w:val="13"/>
                <w:color w:val="0E1020"/>
              </w:rPr>
              <w:t>—</w:t>
            </w:r>
          </w:p>
        </w:tc>
        <w:tc>
          <w:tcPr>
            <w:tcW w:w="1180" w:type="dxa"/>
            <w:vAlign w:val="bottom"/>
          </w:tcPr>
          <w:p>
            <w:pPr>
              <w:jc w:val="right"/>
              <w:ind w:right="133"/>
              <w:spacing w:after="0"/>
              <w:rPr>
                <w:sz w:val="20"/>
                <w:szCs w:val="20"/>
                <w:color w:val="auto"/>
              </w:rPr>
            </w:pPr>
            <w:r>
              <w:rPr>
                <w:rFonts w:ascii="Arial" w:cs="Arial" w:eastAsia="Arial" w:hAnsi="Arial"/>
                <w:sz w:val="13"/>
                <w:szCs w:val="13"/>
                <w:color w:val="0E1020"/>
              </w:rPr>
              <w:t>4,461,688</w:t>
            </w:r>
          </w:p>
        </w:tc>
        <w:tc>
          <w:tcPr>
            <w:tcW w:w="920" w:type="dxa"/>
            <w:vAlign w:val="bottom"/>
          </w:tcPr>
          <w:p>
            <w:pPr>
              <w:ind w:left="580"/>
              <w:spacing w:after="0"/>
              <w:rPr>
                <w:sz w:val="20"/>
                <w:szCs w:val="20"/>
                <w:color w:val="auto"/>
              </w:rPr>
            </w:pPr>
            <w:r>
              <w:rPr>
                <w:rFonts w:ascii="Arial" w:cs="Arial" w:eastAsia="Arial" w:hAnsi="Arial"/>
                <w:sz w:val="13"/>
                <w:szCs w:val="13"/>
                <w:color w:val="0E1020"/>
              </w:rPr>
              <w:t>—</w:t>
            </w:r>
          </w:p>
        </w:tc>
        <w:tc>
          <w:tcPr>
            <w:tcW w:w="1100" w:type="dxa"/>
            <w:vAlign w:val="bottom"/>
          </w:tcPr>
          <w:p>
            <w:pPr>
              <w:jc w:val="right"/>
              <w:ind w:right="13"/>
              <w:spacing w:after="0"/>
              <w:rPr>
                <w:sz w:val="20"/>
                <w:szCs w:val="20"/>
                <w:color w:val="auto"/>
              </w:rPr>
            </w:pPr>
            <w:r>
              <w:rPr>
                <w:rFonts w:ascii="Arial" w:cs="Arial" w:eastAsia="Arial" w:hAnsi="Arial"/>
                <w:sz w:val="13"/>
                <w:szCs w:val="13"/>
                <w:color w:val="0E1020"/>
              </w:rPr>
              <w:t>571,725</w:t>
            </w:r>
          </w:p>
        </w:tc>
        <w:tc>
          <w:tcPr>
            <w:tcW w:w="1400" w:type="dxa"/>
            <w:vAlign w:val="bottom"/>
          </w:tcPr>
          <w:p>
            <w:pPr>
              <w:ind w:left="1040"/>
              <w:spacing w:after="0"/>
              <w:rPr>
                <w:sz w:val="20"/>
                <w:szCs w:val="20"/>
                <w:color w:val="auto"/>
              </w:rPr>
            </w:pPr>
            <w:r>
              <w:rPr>
                <w:rFonts w:ascii="Arial" w:cs="Arial" w:eastAsia="Arial" w:hAnsi="Arial"/>
                <w:sz w:val="13"/>
                <w:szCs w:val="13"/>
                <w:color w:val="0E1020"/>
              </w:rPr>
              <w:t>—</w:t>
            </w:r>
          </w:p>
        </w:tc>
        <w:tc>
          <w:tcPr>
            <w:tcW w:w="960" w:type="dxa"/>
            <w:vAlign w:val="bottom"/>
          </w:tcPr>
          <w:p>
            <w:pPr>
              <w:jc w:val="right"/>
              <w:ind w:right="113"/>
              <w:spacing w:after="0"/>
              <w:rPr>
                <w:sz w:val="20"/>
                <w:szCs w:val="20"/>
                <w:color w:val="auto"/>
              </w:rPr>
            </w:pPr>
            <w:r>
              <w:rPr>
                <w:rFonts w:ascii="Arial" w:cs="Arial" w:eastAsia="Arial" w:hAnsi="Arial"/>
                <w:sz w:val="13"/>
                <w:szCs w:val="13"/>
                <w:color w:val="0E1020"/>
              </w:rPr>
              <w:t>12,264</w:t>
            </w:r>
          </w:p>
        </w:tc>
        <w:tc>
          <w:tcPr>
            <w:tcW w:w="1000" w:type="dxa"/>
            <w:vAlign w:val="bottom"/>
          </w:tcPr>
          <w:p>
            <w:pPr>
              <w:jc w:val="right"/>
              <w:ind w:right="113"/>
              <w:spacing w:after="0"/>
              <w:rPr>
                <w:sz w:val="20"/>
                <w:szCs w:val="20"/>
                <w:color w:val="auto"/>
              </w:rPr>
            </w:pPr>
            <w:r>
              <w:rPr>
                <w:rFonts w:ascii="Arial" w:cs="Arial" w:eastAsia="Arial" w:hAnsi="Arial"/>
                <w:sz w:val="13"/>
                <w:szCs w:val="13"/>
                <w:color w:val="0E1020"/>
              </w:rPr>
              <w:t>5,745,677</w:t>
            </w:r>
          </w:p>
        </w:tc>
        <w:tc>
          <w:tcPr>
            <w:tcW w:w="0" w:type="dxa"/>
            <w:vAlign w:val="bottom"/>
          </w:tcPr>
          <w:p>
            <w:pPr>
              <w:spacing w:after="0"/>
              <w:rPr>
                <w:sz w:val="1"/>
                <w:szCs w:val="1"/>
                <w:color w:val="auto"/>
              </w:rPr>
            </w:pPr>
          </w:p>
        </w:tc>
      </w:tr>
      <w:tr>
        <w:trPr>
          <w:trHeight w:val="187"/>
        </w:trPr>
        <w:tc>
          <w:tcPr>
            <w:tcW w:w="2200" w:type="dxa"/>
            <w:vAlign w:val="bottom"/>
          </w:tcPr>
          <w:p>
            <w:pPr>
              <w:ind w:left="20"/>
              <w:spacing w:after="0"/>
              <w:rPr>
                <w:sz w:val="20"/>
                <w:szCs w:val="20"/>
                <w:color w:val="auto"/>
              </w:rPr>
            </w:pPr>
            <w:r>
              <w:rPr>
                <w:rFonts w:ascii="Arial" w:cs="Arial" w:eastAsia="Arial" w:hAnsi="Arial"/>
                <w:sz w:val="13"/>
                <w:szCs w:val="13"/>
                <w:b w:val="1"/>
                <w:bCs w:val="1"/>
                <w:color w:val="004AAC"/>
              </w:rPr>
              <w:t>Raymond A. August</w:t>
            </w: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200" w:type="dxa"/>
            <w:vAlign w:val="bottom"/>
          </w:tcPr>
          <w:p>
            <w:pPr>
              <w:ind w:left="20"/>
              <w:spacing w:after="0"/>
              <w:rPr>
                <w:sz w:val="20"/>
                <w:szCs w:val="20"/>
                <w:color w:val="auto"/>
              </w:rPr>
            </w:pPr>
            <w:r>
              <w:rPr>
                <w:rFonts w:ascii="Arial" w:cs="Arial" w:eastAsia="Arial" w:hAnsi="Arial"/>
                <w:sz w:val="13"/>
                <w:szCs w:val="13"/>
                <w:color w:val="0E1020"/>
              </w:rPr>
              <w:t>President, Insurance Software &amp;</w:t>
            </w: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200" w:type="dxa"/>
            <w:vAlign w:val="bottom"/>
          </w:tcPr>
          <w:p>
            <w:pPr>
              <w:ind w:left="20"/>
              <w:spacing w:after="0"/>
              <w:rPr>
                <w:sz w:val="20"/>
                <w:szCs w:val="20"/>
                <w:color w:val="auto"/>
              </w:rPr>
            </w:pPr>
            <w:r>
              <w:rPr>
                <w:rFonts w:ascii="Arial" w:cs="Arial" w:eastAsia="Arial" w:hAnsi="Arial"/>
                <w:sz w:val="13"/>
                <w:szCs w:val="13"/>
                <w:color w:val="0E1020"/>
              </w:rPr>
              <w:t>Services</w:t>
            </w: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0"/>
        </w:trPr>
        <w:tc>
          <w:tcPr>
            <w:tcW w:w="2200" w:type="dxa"/>
            <w:vAlign w:val="bottom"/>
            <w:tcBorders>
              <w:bottom w:val="single" w:sz="8" w:color="CFCFD2"/>
            </w:tcBorders>
          </w:tcPr>
          <w:p>
            <w:pPr>
              <w:spacing w:after="0"/>
              <w:rPr>
                <w:sz w:val="24"/>
                <w:szCs w:val="24"/>
                <w:color w:val="auto"/>
              </w:rPr>
            </w:pPr>
          </w:p>
        </w:tc>
        <w:tc>
          <w:tcPr>
            <w:tcW w:w="600" w:type="dxa"/>
            <w:vAlign w:val="bottom"/>
            <w:tcBorders>
              <w:bottom w:val="single" w:sz="8" w:color="CFCFD2"/>
            </w:tcBorders>
          </w:tcPr>
          <w:p>
            <w:pPr>
              <w:spacing w:after="0"/>
              <w:rPr>
                <w:sz w:val="24"/>
                <w:szCs w:val="24"/>
                <w:color w:val="auto"/>
              </w:rPr>
            </w:pPr>
          </w:p>
        </w:tc>
        <w:tc>
          <w:tcPr>
            <w:tcW w:w="1060" w:type="dxa"/>
            <w:vAlign w:val="bottom"/>
            <w:tcBorders>
              <w:bottom w:val="single" w:sz="8" w:color="CFCFD2"/>
            </w:tcBorders>
          </w:tcPr>
          <w:p>
            <w:pPr>
              <w:spacing w:after="0"/>
              <w:rPr>
                <w:sz w:val="24"/>
                <w:szCs w:val="24"/>
                <w:color w:val="auto"/>
              </w:rPr>
            </w:pPr>
          </w:p>
        </w:tc>
        <w:tc>
          <w:tcPr>
            <w:tcW w:w="820" w:type="dxa"/>
            <w:vAlign w:val="bottom"/>
            <w:tcBorders>
              <w:bottom w:val="single" w:sz="8" w:color="CFCFD2"/>
            </w:tcBorders>
          </w:tcPr>
          <w:p>
            <w:pPr>
              <w:spacing w:after="0"/>
              <w:rPr>
                <w:sz w:val="24"/>
                <w:szCs w:val="24"/>
                <w:color w:val="auto"/>
              </w:rPr>
            </w:pPr>
          </w:p>
        </w:tc>
        <w:tc>
          <w:tcPr>
            <w:tcW w:w="1180" w:type="dxa"/>
            <w:vAlign w:val="bottom"/>
            <w:tcBorders>
              <w:bottom w:val="single" w:sz="8" w:color="CFCFD2"/>
            </w:tcBorders>
          </w:tcPr>
          <w:p>
            <w:pPr>
              <w:spacing w:after="0"/>
              <w:rPr>
                <w:sz w:val="24"/>
                <w:szCs w:val="24"/>
                <w:color w:val="auto"/>
              </w:rPr>
            </w:pPr>
          </w:p>
        </w:tc>
        <w:tc>
          <w:tcPr>
            <w:tcW w:w="920" w:type="dxa"/>
            <w:vAlign w:val="bottom"/>
            <w:tcBorders>
              <w:bottom w:val="single" w:sz="8" w:color="CFCFD2"/>
            </w:tcBorders>
          </w:tcPr>
          <w:p>
            <w:pPr>
              <w:spacing w:after="0"/>
              <w:rPr>
                <w:sz w:val="24"/>
                <w:szCs w:val="24"/>
                <w:color w:val="auto"/>
              </w:rPr>
            </w:pPr>
          </w:p>
        </w:tc>
        <w:tc>
          <w:tcPr>
            <w:tcW w:w="1100" w:type="dxa"/>
            <w:vAlign w:val="bottom"/>
            <w:tcBorders>
              <w:bottom w:val="single" w:sz="8" w:color="CFCFD2"/>
            </w:tcBorders>
          </w:tcPr>
          <w:p>
            <w:pPr>
              <w:spacing w:after="0"/>
              <w:rPr>
                <w:sz w:val="24"/>
                <w:szCs w:val="24"/>
                <w:color w:val="auto"/>
              </w:rPr>
            </w:pPr>
          </w:p>
        </w:tc>
        <w:tc>
          <w:tcPr>
            <w:tcW w:w="1400" w:type="dxa"/>
            <w:vAlign w:val="bottom"/>
            <w:tcBorders>
              <w:bottom w:val="single" w:sz="8" w:color="CFCFD2"/>
            </w:tcBorders>
          </w:tcPr>
          <w:p>
            <w:pPr>
              <w:spacing w:after="0"/>
              <w:rPr>
                <w:sz w:val="24"/>
                <w:szCs w:val="24"/>
                <w:color w:val="auto"/>
              </w:rPr>
            </w:pPr>
          </w:p>
        </w:tc>
        <w:tc>
          <w:tcPr>
            <w:tcW w:w="960" w:type="dxa"/>
            <w:vAlign w:val="bottom"/>
            <w:tcBorders>
              <w:bottom w:val="single" w:sz="8" w:color="CFCFD2"/>
            </w:tcBorders>
          </w:tcPr>
          <w:p>
            <w:pPr>
              <w:spacing w:after="0"/>
              <w:rPr>
                <w:sz w:val="24"/>
                <w:szCs w:val="24"/>
                <w:color w:val="auto"/>
              </w:rPr>
            </w:pPr>
          </w:p>
        </w:tc>
        <w:tc>
          <w:tcPr>
            <w:tcW w:w="1000" w:type="dxa"/>
            <w:vAlign w:val="bottom"/>
            <w:tcBorders>
              <w:bottom w:val="single" w:sz="8" w:color="CFCFD2"/>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2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E1020"/>
              </w:rPr>
              <w:t>2026</w:t>
            </w:r>
          </w:p>
        </w:tc>
        <w:tc>
          <w:tcPr>
            <w:tcW w:w="1060" w:type="dxa"/>
            <w:vAlign w:val="bottom"/>
          </w:tcPr>
          <w:p>
            <w:pPr>
              <w:jc w:val="right"/>
              <w:ind w:right="133"/>
              <w:spacing w:after="0"/>
              <w:rPr>
                <w:sz w:val="20"/>
                <w:szCs w:val="20"/>
                <w:color w:val="auto"/>
              </w:rPr>
            </w:pPr>
            <w:r>
              <w:rPr>
                <w:rFonts w:ascii="Arial" w:cs="Arial" w:eastAsia="Arial" w:hAnsi="Arial"/>
                <w:sz w:val="13"/>
                <w:szCs w:val="13"/>
                <w:color w:val="0E1020"/>
              </w:rPr>
              <w:t>675,000</w:t>
            </w:r>
          </w:p>
        </w:tc>
        <w:tc>
          <w:tcPr>
            <w:tcW w:w="820" w:type="dxa"/>
            <w:vAlign w:val="bottom"/>
          </w:tcPr>
          <w:p>
            <w:pPr>
              <w:jc w:val="right"/>
              <w:ind w:right="13"/>
              <w:spacing w:after="0"/>
              <w:rPr>
                <w:sz w:val="20"/>
                <w:szCs w:val="20"/>
                <w:color w:val="auto"/>
              </w:rPr>
            </w:pPr>
            <w:r>
              <w:rPr>
                <w:rFonts w:ascii="Arial" w:cs="Arial" w:eastAsia="Arial" w:hAnsi="Arial"/>
                <w:sz w:val="13"/>
                <w:szCs w:val="13"/>
                <w:color w:val="0E1020"/>
              </w:rPr>
              <w:t>—</w:t>
            </w:r>
          </w:p>
        </w:tc>
        <w:tc>
          <w:tcPr>
            <w:tcW w:w="1180" w:type="dxa"/>
            <w:vAlign w:val="bottom"/>
          </w:tcPr>
          <w:p>
            <w:pPr>
              <w:jc w:val="right"/>
              <w:ind w:right="133"/>
              <w:spacing w:after="0"/>
              <w:rPr>
                <w:sz w:val="20"/>
                <w:szCs w:val="20"/>
                <w:color w:val="auto"/>
              </w:rPr>
            </w:pPr>
            <w:r>
              <w:rPr>
                <w:rFonts w:ascii="Arial" w:cs="Arial" w:eastAsia="Arial" w:hAnsi="Arial"/>
                <w:sz w:val="13"/>
                <w:szCs w:val="13"/>
                <w:color w:val="0E1020"/>
              </w:rPr>
              <w:t>3,475,961</w:t>
            </w:r>
          </w:p>
        </w:tc>
        <w:tc>
          <w:tcPr>
            <w:tcW w:w="920" w:type="dxa"/>
            <w:vAlign w:val="bottom"/>
          </w:tcPr>
          <w:p>
            <w:pPr>
              <w:ind w:left="580"/>
              <w:spacing w:after="0"/>
              <w:rPr>
                <w:sz w:val="20"/>
                <w:szCs w:val="20"/>
                <w:color w:val="auto"/>
              </w:rPr>
            </w:pPr>
            <w:r>
              <w:rPr>
                <w:rFonts w:ascii="Arial" w:cs="Arial" w:eastAsia="Arial" w:hAnsi="Arial"/>
                <w:sz w:val="13"/>
                <w:szCs w:val="13"/>
                <w:color w:val="0E1020"/>
              </w:rPr>
              <w:t>—</w:t>
            </w:r>
          </w:p>
        </w:tc>
        <w:tc>
          <w:tcPr>
            <w:tcW w:w="1100" w:type="dxa"/>
            <w:vAlign w:val="bottom"/>
          </w:tcPr>
          <w:p>
            <w:pPr>
              <w:jc w:val="right"/>
              <w:ind w:right="13"/>
              <w:spacing w:after="0"/>
              <w:rPr>
                <w:sz w:val="20"/>
                <w:szCs w:val="20"/>
                <w:color w:val="auto"/>
              </w:rPr>
            </w:pPr>
            <w:r>
              <w:rPr>
                <w:rFonts w:ascii="Arial" w:cs="Arial" w:eastAsia="Arial" w:hAnsi="Arial"/>
                <w:sz w:val="13"/>
                <w:szCs w:val="13"/>
                <w:color w:val="0E1020"/>
              </w:rPr>
              <w:t>571,550</w:t>
            </w:r>
          </w:p>
        </w:tc>
        <w:tc>
          <w:tcPr>
            <w:tcW w:w="1400" w:type="dxa"/>
            <w:vAlign w:val="bottom"/>
          </w:tcPr>
          <w:p>
            <w:pPr>
              <w:ind w:left="1040"/>
              <w:spacing w:after="0"/>
              <w:rPr>
                <w:sz w:val="20"/>
                <w:szCs w:val="20"/>
                <w:color w:val="auto"/>
              </w:rPr>
            </w:pPr>
            <w:r>
              <w:rPr>
                <w:rFonts w:ascii="Arial" w:cs="Arial" w:eastAsia="Arial" w:hAnsi="Arial"/>
                <w:sz w:val="13"/>
                <w:szCs w:val="13"/>
                <w:color w:val="0E1020"/>
              </w:rPr>
              <w:t>—</w:t>
            </w:r>
          </w:p>
        </w:tc>
        <w:tc>
          <w:tcPr>
            <w:tcW w:w="960" w:type="dxa"/>
            <w:vAlign w:val="bottom"/>
          </w:tcPr>
          <w:p>
            <w:pPr>
              <w:jc w:val="right"/>
              <w:ind w:right="113"/>
              <w:spacing w:after="0"/>
              <w:rPr>
                <w:sz w:val="20"/>
                <w:szCs w:val="20"/>
                <w:color w:val="auto"/>
              </w:rPr>
            </w:pPr>
            <w:r>
              <w:rPr>
                <w:rFonts w:ascii="Arial" w:cs="Arial" w:eastAsia="Arial" w:hAnsi="Arial"/>
                <w:sz w:val="13"/>
                <w:szCs w:val="13"/>
                <w:color w:val="0E1020"/>
              </w:rPr>
              <w:t>11,050</w:t>
            </w:r>
          </w:p>
        </w:tc>
        <w:tc>
          <w:tcPr>
            <w:tcW w:w="1000" w:type="dxa"/>
            <w:vAlign w:val="bottom"/>
          </w:tcPr>
          <w:p>
            <w:pPr>
              <w:jc w:val="right"/>
              <w:ind w:right="113"/>
              <w:spacing w:after="0"/>
              <w:rPr>
                <w:sz w:val="20"/>
                <w:szCs w:val="20"/>
                <w:color w:val="auto"/>
              </w:rPr>
            </w:pPr>
            <w:r>
              <w:rPr>
                <w:rFonts w:ascii="Arial" w:cs="Arial" w:eastAsia="Arial" w:hAnsi="Arial"/>
                <w:sz w:val="13"/>
                <w:szCs w:val="13"/>
                <w:color w:val="0E1020"/>
              </w:rPr>
              <w:t>4,733,561</w:t>
            </w:r>
          </w:p>
        </w:tc>
        <w:tc>
          <w:tcPr>
            <w:tcW w:w="0" w:type="dxa"/>
            <w:vAlign w:val="bottom"/>
          </w:tcPr>
          <w:p>
            <w:pPr>
              <w:spacing w:after="0"/>
              <w:rPr>
                <w:sz w:val="1"/>
                <w:szCs w:val="1"/>
                <w:color w:val="auto"/>
              </w:rPr>
            </w:pPr>
          </w:p>
        </w:tc>
      </w:tr>
      <w:tr>
        <w:trPr>
          <w:trHeight w:val="105"/>
        </w:trPr>
        <w:tc>
          <w:tcPr>
            <w:tcW w:w="2200" w:type="dxa"/>
            <w:vAlign w:val="bottom"/>
            <w:vMerge w:val="restart"/>
          </w:tcPr>
          <w:p>
            <w:pPr>
              <w:ind w:left="20"/>
              <w:spacing w:after="0"/>
              <w:rPr>
                <w:sz w:val="20"/>
                <w:szCs w:val="20"/>
                <w:color w:val="auto"/>
              </w:rPr>
            </w:pPr>
            <w:r>
              <w:rPr>
                <w:rFonts w:ascii="Arial" w:cs="Arial" w:eastAsia="Arial" w:hAnsi="Arial"/>
                <w:sz w:val="13"/>
                <w:szCs w:val="13"/>
                <w:b w:val="1"/>
                <w:bCs w:val="1"/>
                <w:color w:val="004AAC"/>
              </w:rPr>
              <w:t>Matthew K. Fawcett</w:t>
            </w:r>
          </w:p>
        </w:tc>
        <w:tc>
          <w:tcPr>
            <w:tcW w:w="600" w:type="dxa"/>
            <w:vAlign w:val="bottom"/>
            <w:tcBorders>
              <w:bottom w:val="single" w:sz="8" w:color="CFCFD2"/>
            </w:tcBorders>
          </w:tcPr>
          <w:p>
            <w:pPr>
              <w:spacing w:after="0"/>
              <w:rPr>
                <w:sz w:val="9"/>
                <w:szCs w:val="9"/>
                <w:color w:val="auto"/>
              </w:rPr>
            </w:pPr>
          </w:p>
        </w:tc>
        <w:tc>
          <w:tcPr>
            <w:tcW w:w="1060" w:type="dxa"/>
            <w:vAlign w:val="bottom"/>
            <w:tcBorders>
              <w:bottom w:val="single" w:sz="8" w:color="CFCFD2"/>
            </w:tcBorders>
          </w:tcPr>
          <w:p>
            <w:pPr>
              <w:spacing w:after="0"/>
              <w:rPr>
                <w:sz w:val="9"/>
                <w:szCs w:val="9"/>
                <w:color w:val="auto"/>
              </w:rPr>
            </w:pPr>
          </w:p>
        </w:tc>
        <w:tc>
          <w:tcPr>
            <w:tcW w:w="820" w:type="dxa"/>
            <w:vAlign w:val="bottom"/>
            <w:tcBorders>
              <w:bottom w:val="single" w:sz="8" w:color="CFCFD2"/>
            </w:tcBorders>
          </w:tcPr>
          <w:p>
            <w:pPr>
              <w:spacing w:after="0"/>
              <w:rPr>
                <w:sz w:val="9"/>
                <w:szCs w:val="9"/>
                <w:color w:val="auto"/>
              </w:rPr>
            </w:pPr>
          </w:p>
        </w:tc>
        <w:tc>
          <w:tcPr>
            <w:tcW w:w="1180" w:type="dxa"/>
            <w:vAlign w:val="bottom"/>
            <w:tcBorders>
              <w:bottom w:val="single" w:sz="8" w:color="CFCFD2"/>
            </w:tcBorders>
          </w:tcPr>
          <w:p>
            <w:pPr>
              <w:spacing w:after="0"/>
              <w:rPr>
                <w:sz w:val="9"/>
                <w:szCs w:val="9"/>
                <w:color w:val="auto"/>
              </w:rPr>
            </w:pPr>
          </w:p>
        </w:tc>
        <w:tc>
          <w:tcPr>
            <w:tcW w:w="920" w:type="dxa"/>
            <w:vAlign w:val="bottom"/>
            <w:tcBorders>
              <w:bottom w:val="single" w:sz="8" w:color="CFCFD2"/>
            </w:tcBorders>
          </w:tcPr>
          <w:p>
            <w:pPr>
              <w:spacing w:after="0"/>
              <w:rPr>
                <w:sz w:val="9"/>
                <w:szCs w:val="9"/>
                <w:color w:val="auto"/>
              </w:rPr>
            </w:pPr>
          </w:p>
        </w:tc>
        <w:tc>
          <w:tcPr>
            <w:tcW w:w="1100" w:type="dxa"/>
            <w:vAlign w:val="bottom"/>
            <w:tcBorders>
              <w:bottom w:val="single" w:sz="8" w:color="CFCFD2"/>
            </w:tcBorders>
          </w:tcPr>
          <w:p>
            <w:pPr>
              <w:spacing w:after="0"/>
              <w:rPr>
                <w:sz w:val="9"/>
                <w:szCs w:val="9"/>
                <w:color w:val="auto"/>
              </w:rPr>
            </w:pPr>
          </w:p>
        </w:tc>
        <w:tc>
          <w:tcPr>
            <w:tcW w:w="1400" w:type="dxa"/>
            <w:vAlign w:val="bottom"/>
            <w:tcBorders>
              <w:bottom w:val="single" w:sz="8" w:color="CFCFD2"/>
            </w:tcBorders>
          </w:tcPr>
          <w:p>
            <w:pPr>
              <w:spacing w:after="0"/>
              <w:rPr>
                <w:sz w:val="9"/>
                <w:szCs w:val="9"/>
                <w:color w:val="auto"/>
              </w:rPr>
            </w:pPr>
          </w:p>
        </w:tc>
        <w:tc>
          <w:tcPr>
            <w:tcW w:w="960" w:type="dxa"/>
            <w:vAlign w:val="bottom"/>
            <w:tcBorders>
              <w:bottom w:val="single" w:sz="8" w:color="CFCFD2"/>
            </w:tcBorders>
          </w:tcPr>
          <w:p>
            <w:pPr>
              <w:spacing w:after="0"/>
              <w:rPr>
                <w:sz w:val="9"/>
                <w:szCs w:val="9"/>
                <w:color w:val="auto"/>
              </w:rPr>
            </w:pPr>
          </w:p>
        </w:tc>
        <w:tc>
          <w:tcPr>
            <w:tcW w:w="1000" w:type="dxa"/>
            <w:vAlign w:val="bottom"/>
            <w:tcBorders>
              <w:bottom w:val="single" w:sz="8" w:color="CFCFD2"/>
            </w:tcBorders>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2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200" w:type="dxa"/>
            <w:vAlign w:val="bottom"/>
          </w:tcPr>
          <w:p>
            <w:pPr>
              <w:ind w:left="20"/>
              <w:spacing w:after="0"/>
              <w:rPr>
                <w:sz w:val="20"/>
                <w:szCs w:val="20"/>
                <w:color w:val="auto"/>
              </w:rPr>
            </w:pPr>
            <w:r>
              <w:rPr>
                <w:rFonts w:ascii="Arial" w:cs="Arial" w:eastAsia="Arial" w:hAnsi="Arial"/>
                <w:sz w:val="13"/>
                <w:szCs w:val="13"/>
                <w:color w:val="0E1020"/>
              </w:rPr>
              <w:t>Executive Vice President, General</w:t>
            </w:r>
          </w:p>
        </w:tc>
        <w:tc>
          <w:tcPr>
            <w:tcW w:w="600" w:type="dxa"/>
            <w:vAlign w:val="bottom"/>
          </w:tcPr>
          <w:p>
            <w:pPr>
              <w:jc w:val="center"/>
              <w:spacing w:after="0"/>
              <w:rPr>
                <w:sz w:val="20"/>
                <w:szCs w:val="20"/>
                <w:color w:val="auto"/>
              </w:rPr>
            </w:pPr>
            <w:r>
              <w:rPr>
                <w:rFonts w:ascii="Arial" w:cs="Arial" w:eastAsia="Arial" w:hAnsi="Arial"/>
                <w:sz w:val="13"/>
                <w:szCs w:val="13"/>
                <w:color w:val="0E1020"/>
              </w:rPr>
              <w:t>2025</w:t>
            </w:r>
          </w:p>
        </w:tc>
        <w:tc>
          <w:tcPr>
            <w:tcW w:w="1060" w:type="dxa"/>
            <w:vAlign w:val="bottom"/>
          </w:tcPr>
          <w:p>
            <w:pPr>
              <w:jc w:val="right"/>
              <w:ind w:right="133"/>
              <w:spacing w:after="0"/>
              <w:rPr>
                <w:sz w:val="20"/>
                <w:szCs w:val="20"/>
                <w:color w:val="auto"/>
              </w:rPr>
            </w:pPr>
            <w:r>
              <w:rPr>
                <w:rFonts w:ascii="Arial" w:cs="Arial" w:eastAsia="Arial" w:hAnsi="Arial"/>
                <w:sz w:val="13"/>
                <w:szCs w:val="13"/>
                <w:color w:val="0E1020"/>
              </w:rPr>
              <w:t>650,000</w:t>
            </w:r>
          </w:p>
        </w:tc>
        <w:tc>
          <w:tcPr>
            <w:tcW w:w="820" w:type="dxa"/>
            <w:vAlign w:val="bottom"/>
          </w:tcPr>
          <w:p>
            <w:pPr>
              <w:jc w:val="right"/>
              <w:ind w:right="13"/>
              <w:spacing w:after="0"/>
              <w:rPr>
                <w:sz w:val="20"/>
                <w:szCs w:val="20"/>
                <w:color w:val="auto"/>
              </w:rPr>
            </w:pPr>
            <w:r>
              <w:rPr>
                <w:rFonts w:ascii="Arial" w:cs="Arial" w:eastAsia="Arial" w:hAnsi="Arial"/>
                <w:sz w:val="13"/>
                <w:szCs w:val="13"/>
                <w:color w:val="0E1020"/>
              </w:rPr>
              <w:t>—</w:t>
            </w:r>
          </w:p>
        </w:tc>
        <w:tc>
          <w:tcPr>
            <w:tcW w:w="1180" w:type="dxa"/>
            <w:vAlign w:val="bottom"/>
          </w:tcPr>
          <w:p>
            <w:pPr>
              <w:jc w:val="right"/>
              <w:ind w:right="133"/>
              <w:spacing w:after="0"/>
              <w:rPr>
                <w:sz w:val="20"/>
                <w:szCs w:val="20"/>
                <w:color w:val="auto"/>
              </w:rPr>
            </w:pPr>
            <w:r>
              <w:rPr>
                <w:rFonts w:ascii="Arial" w:cs="Arial" w:eastAsia="Arial" w:hAnsi="Arial"/>
                <w:sz w:val="13"/>
                <w:szCs w:val="13"/>
                <w:color w:val="0E1020"/>
              </w:rPr>
              <w:t>2,588,485</w:t>
            </w:r>
          </w:p>
        </w:tc>
        <w:tc>
          <w:tcPr>
            <w:tcW w:w="920" w:type="dxa"/>
            <w:vAlign w:val="bottom"/>
          </w:tcPr>
          <w:p>
            <w:pPr>
              <w:ind w:left="580"/>
              <w:spacing w:after="0"/>
              <w:rPr>
                <w:sz w:val="20"/>
                <w:szCs w:val="20"/>
                <w:color w:val="auto"/>
              </w:rPr>
            </w:pPr>
            <w:r>
              <w:rPr>
                <w:rFonts w:ascii="Arial" w:cs="Arial" w:eastAsia="Arial" w:hAnsi="Arial"/>
                <w:sz w:val="13"/>
                <w:szCs w:val="13"/>
                <w:color w:val="0E1020"/>
              </w:rPr>
              <w:t>—</w:t>
            </w:r>
          </w:p>
        </w:tc>
        <w:tc>
          <w:tcPr>
            <w:tcW w:w="1100" w:type="dxa"/>
            <w:vAlign w:val="bottom"/>
          </w:tcPr>
          <w:p>
            <w:pPr>
              <w:jc w:val="right"/>
              <w:ind w:right="13"/>
              <w:spacing w:after="0"/>
              <w:rPr>
                <w:sz w:val="20"/>
                <w:szCs w:val="20"/>
                <w:color w:val="auto"/>
              </w:rPr>
            </w:pPr>
            <w:r>
              <w:rPr>
                <w:rFonts w:ascii="Arial" w:cs="Arial" w:eastAsia="Arial" w:hAnsi="Arial"/>
                <w:sz w:val="13"/>
                <w:szCs w:val="13"/>
                <w:color w:val="0E1020"/>
              </w:rPr>
              <w:t>651,000</w:t>
            </w:r>
          </w:p>
        </w:tc>
        <w:tc>
          <w:tcPr>
            <w:tcW w:w="1400" w:type="dxa"/>
            <w:vAlign w:val="bottom"/>
          </w:tcPr>
          <w:p>
            <w:pPr>
              <w:ind w:left="1040"/>
              <w:spacing w:after="0"/>
              <w:rPr>
                <w:sz w:val="20"/>
                <w:szCs w:val="20"/>
                <w:color w:val="auto"/>
              </w:rPr>
            </w:pPr>
            <w:r>
              <w:rPr>
                <w:rFonts w:ascii="Arial" w:cs="Arial" w:eastAsia="Arial" w:hAnsi="Arial"/>
                <w:sz w:val="13"/>
                <w:szCs w:val="13"/>
                <w:color w:val="0E1020"/>
              </w:rPr>
              <w:t>—</w:t>
            </w:r>
          </w:p>
        </w:tc>
        <w:tc>
          <w:tcPr>
            <w:tcW w:w="960" w:type="dxa"/>
            <w:vAlign w:val="bottom"/>
          </w:tcPr>
          <w:p>
            <w:pPr>
              <w:jc w:val="right"/>
              <w:ind w:right="113"/>
              <w:spacing w:after="0"/>
              <w:rPr>
                <w:sz w:val="20"/>
                <w:szCs w:val="20"/>
                <w:color w:val="auto"/>
              </w:rPr>
            </w:pPr>
            <w:r>
              <w:rPr>
                <w:rFonts w:ascii="Arial" w:cs="Arial" w:eastAsia="Arial" w:hAnsi="Arial"/>
                <w:sz w:val="13"/>
                <w:szCs w:val="13"/>
                <w:color w:val="0E1020"/>
              </w:rPr>
              <w:t>11,581</w:t>
            </w:r>
          </w:p>
        </w:tc>
        <w:tc>
          <w:tcPr>
            <w:tcW w:w="1000" w:type="dxa"/>
            <w:vAlign w:val="bottom"/>
          </w:tcPr>
          <w:p>
            <w:pPr>
              <w:jc w:val="right"/>
              <w:ind w:right="113"/>
              <w:spacing w:after="0"/>
              <w:rPr>
                <w:sz w:val="20"/>
                <w:szCs w:val="20"/>
                <w:color w:val="auto"/>
              </w:rPr>
            </w:pPr>
            <w:r>
              <w:rPr>
                <w:rFonts w:ascii="Arial" w:cs="Arial" w:eastAsia="Arial" w:hAnsi="Arial"/>
                <w:sz w:val="13"/>
                <w:szCs w:val="13"/>
                <w:color w:val="0E1020"/>
              </w:rPr>
              <w:t>3,901,066</w:t>
            </w:r>
          </w:p>
        </w:tc>
        <w:tc>
          <w:tcPr>
            <w:tcW w:w="0" w:type="dxa"/>
            <w:vAlign w:val="bottom"/>
          </w:tcPr>
          <w:p>
            <w:pPr>
              <w:spacing w:after="0"/>
              <w:rPr>
                <w:sz w:val="1"/>
                <w:szCs w:val="1"/>
                <w:color w:val="auto"/>
              </w:rPr>
            </w:pPr>
          </w:p>
        </w:tc>
      </w:tr>
      <w:tr>
        <w:trPr>
          <w:trHeight w:val="120"/>
        </w:trPr>
        <w:tc>
          <w:tcPr>
            <w:tcW w:w="2200" w:type="dxa"/>
            <w:vAlign w:val="bottom"/>
          </w:tcPr>
          <w:p>
            <w:pPr>
              <w:ind w:left="20"/>
              <w:spacing w:after="0" w:line="113" w:lineRule="exact"/>
              <w:rPr>
                <w:sz w:val="20"/>
                <w:szCs w:val="20"/>
                <w:color w:val="auto"/>
              </w:rPr>
            </w:pPr>
            <w:r>
              <w:rPr>
                <w:rFonts w:ascii="Arial" w:cs="Arial" w:eastAsia="Arial" w:hAnsi="Arial"/>
                <w:sz w:val="13"/>
                <w:szCs w:val="13"/>
                <w:color w:val="0E1020"/>
              </w:rPr>
              <w:t>Counsel</w:t>
            </w:r>
          </w:p>
        </w:tc>
        <w:tc>
          <w:tcPr>
            <w:tcW w:w="600" w:type="dxa"/>
            <w:vAlign w:val="bottom"/>
            <w:tcBorders>
              <w:bottom w:val="single" w:sz="8" w:color="CFCFD2"/>
            </w:tcBorders>
          </w:tcPr>
          <w:p>
            <w:pPr>
              <w:spacing w:after="0"/>
              <w:rPr>
                <w:sz w:val="10"/>
                <w:szCs w:val="10"/>
                <w:color w:val="auto"/>
              </w:rPr>
            </w:pPr>
          </w:p>
        </w:tc>
        <w:tc>
          <w:tcPr>
            <w:tcW w:w="1060" w:type="dxa"/>
            <w:vAlign w:val="bottom"/>
            <w:tcBorders>
              <w:bottom w:val="single" w:sz="8" w:color="CFCFD2"/>
            </w:tcBorders>
          </w:tcPr>
          <w:p>
            <w:pPr>
              <w:spacing w:after="0"/>
              <w:rPr>
                <w:sz w:val="10"/>
                <w:szCs w:val="10"/>
                <w:color w:val="auto"/>
              </w:rPr>
            </w:pPr>
          </w:p>
        </w:tc>
        <w:tc>
          <w:tcPr>
            <w:tcW w:w="820" w:type="dxa"/>
            <w:vAlign w:val="bottom"/>
            <w:tcBorders>
              <w:bottom w:val="single" w:sz="8" w:color="CFCFD2"/>
            </w:tcBorders>
          </w:tcPr>
          <w:p>
            <w:pPr>
              <w:spacing w:after="0"/>
              <w:rPr>
                <w:sz w:val="10"/>
                <w:szCs w:val="10"/>
                <w:color w:val="auto"/>
              </w:rPr>
            </w:pPr>
          </w:p>
        </w:tc>
        <w:tc>
          <w:tcPr>
            <w:tcW w:w="1180" w:type="dxa"/>
            <w:vAlign w:val="bottom"/>
            <w:tcBorders>
              <w:bottom w:val="single" w:sz="8" w:color="CFCFD2"/>
            </w:tcBorders>
          </w:tcPr>
          <w:p>
            <w:pPr>
              <w:spacing w:after="0"/>
              <w:rPr>
                <w:sz w:val="10"/>
                <w:szCs w:val="10"/>
                <w:color w:val="auto"/>
              </w:rPr>
            </w:pPr>
          </w:p>
        </w:tc>
        <w:tc>
          <w:tcPr>
            <w:tcW w:w="920" w:type="dxa"/>
            <w:vAlign w:val="bottom"/>
            <w:tcBorders>
              <w:bottom w:val="single" w:sz="8" w:color="CFCFD2"/>
            </w:tcBorders>
          </w:tcPr>
          <w:p>
            <w:pPr>
              <w:spacing w:after="0"/>
              <w:rPr>
                <w:sz w:val="10"/>
                <w:szCs w:val="10"/>
                <w:color w:val="auto"/>
              </w:rPr>
            </w:pPr>
          </w:p>
        </w:tc>
        <w:tc>
          <w:tcPr>
            <w:tcW w:w="1100" w:type="dxa"/>
            <w:vAlign w:val="bottom"/>
            <w:tcBorders>
              <w:bottom w:val="single" w:sz="8" w:color="CFCFD2"/>
            </w:tcBorders>
          </w:tcPr>
          <w:p>
            <w:pPr>
              <w:spacing w:after="0"/>
              <w:rPr>
                <w:sz w:val="10"/>
                <w:szCs w:val="10"/>
                <w:color w:val="auto"/>
              </w:rPr>
            </w:pPr>
          </w:p>
        </w:tc>
        <w:tc>
          <w:tcPr>
            <w:tcW w:w="1400" w:type="dxa"/>
            <w:vAlign w:val="bottom"/>
            <w:tcBorders>
              <w:bottom w:val="single" w:sz="8" w:color="CFCFD2"/>
            </w:tcBorders>
          </w:tcPr>
          <w:p>
            <w:pPr>
              <w:spacing w:after="0"/>
              <w:rPr>
                <w:sz w:val="10"/>
                <w:szCs w:val="10"/>
                <w:color w:val="auto"/>
              </w:rPr>
            </w:pPr>
          </w:p>
        </w:tc>
        <w:tc>
          <w:tcPr>
            <w:tcW w:w="960" w:type="dxa"/>
            <w:vAlign w:val="bottom"/>
            <w:tcBorders>
              <w:bottom w:val="single" w:sz="8" w:color="CFCFD2"/>
            </w:tcBorders>
          </w:tcPr>
          <w:p>
            <w:pPr>
              <w:spacing w:after="0"/>
              <w:rPr>
                <w:sz w:val="10"/>
                <w:szCs w:val="10"/>
                <w:color w:val="auto"/>
              </w:rPr>
            </w:pPr>
          </w:p>
        </w:tc>
        <w:tc>
          <w:tcPr>
            <w:tcW w:w="1000" w:type="dxa"/>
            <w:vAlign w:val="bottom"/>
            <w:tcBorders>
              <w:bottom w:val="single" w:sz="8" w:color="CFCFD2"/>
            </w:tcBorders>
          </w:tcPr>
          <w:p>
            <w:pPr>
              <w:spacing w:after="0"/>
              <w:rPr>
                <w:sz w:val="10"/>
                <w:szCs w:val="10"/>
                <w:color w:val="auto"/>
              </w:rPr>
            </w:pPr>
          </w:p>
        </w:tc>
        <w:tc>
          <w:tcPr>
            <w:tcW w:w="0" w:type="dxa"/>
            <w:vAlign w:val="bottom"/>
          </w:tcPr>
          <w:p>
            <w:pPr>
              <w:spacing w:after="0"/>
              <w:rPr>
                <w:sz w:val="1"/>
                <w:szCs w:val="1"/>
                <w:color w:val="auto"/>
              </w:rPr>
            </w:pPr>
          </w:p>
        </w:tc>
      </w:tr>
      <w:tr>
        <w:trPr>
          <w:trHeight w:val="396"/>
        </w:trPr>
        <w:tc>
          <w:tcPr>
            <w:tcW w:w="2200" w:type="dxa"/>
            <w:vAlign w:val="bottom"/>
            <w:tcBorders>
              <w:bottom w:val="single" w:sz="8" w:color="CFCFD2"/>
            </w:tcBorders>
          </w:tcPr>
          <w:p>
            <w:pPr>
              <w:spacing w:after="0"/>
              <w:rPr>
                <w:sz w:val="24"/>
                <w:szCs w:val="24"/>
                <w:color w:val="auto"/>
              </w:rPr>
            </w:pPr>
          </w:p>
        </w:tc>
        <w:tc>
          <w:tcPr>
            <w:tcW w:w="600" w:type="dxa"/>
            <w:vAlign w:val="bottom"/>
            <w:tcBorders>
              <w:bottom w:val="single" w:sz="8" w:color="CFCFD2"/>
            </w:tcBorders>
          </w:tcPr>
          <w:p>
            <w:pPr>
              <w:spacing w:after="0"/>
              <w:rPr>
                <w:sz w:val="24"/>
                <w:szCs w:val="24"/>
                <w:color w:val="auto"/>
              </w:rPr>
            </w:pPr>
          </w:p>
        </w:tc>
        <w:tc>
          <w:tcPr>
            <w:tcW w:w="1060" w:type="dxa"/>
            <w:vAlign w:val="bottom"/>
            <w:tcBorders>
              <w:bottom w:val="single" w:sz="8" w:color="CFCFD2"/>
            </w:tcBorders>
          </w:tcPr>
          <w:p>
            <w:pPr>
              <w:spacing w:after="0"/>
              <w:rPr>
                <w:sz w:val="24"/>
                <w:szCs w:val="24"/>
                <w:color w:val="auto"/>
              </w:rPr>
            </w:pPr>
          </w:p>
        </w:tc>
        <w:tc>
          <w:tcPr>
            <w:tcW w:w="820" w:type="dxa"/>
            <w:vAlign w:val="bottom"/>
            <w:tcBorders>
              <w:bottom w:val="single" w:sz="8" w:color="CFCFD2"/>
            </w:tcBorders>
          </w:tcPr>
          <w:p>
            <w:pPr>
              <w:spacing w:after="0"/>
              <w:rPr>
                <w:sz w:val="24"/>
                <w:szCs w:val="24"/>
                <w:color w:val="auto"/>
              </w:rPr>
            </w:pPr>
          </w:p>
        </w:tc>
        <w:tc>
          <w:tcPr>
            <w:tcW w:w="1180" w:type="dxa"/>
            <w:vAlign w:val="bottom"/>
            <w:tcBorders>
              <w:bottom w:val="single" w:sz="8" w:color="CFCFD2"/>
            </w:tcBorders>
          </w:tcPr>
          <w:p>
            <w:pPr>
              <w:spacing w:after="0"/>
              <w:rPr>
                <w:sz w:val="24"/>
                <w:szCs w:val="24"/>
                <w:color w:val="auto"/>
              </w:rPr>
            </w:pPr>
          </w:p>
        </w:tc>
        <w:tc>
          <w:tcPr>
            <w:tcW w:w="920" w:type="dxa"/>
            <w:vAlign w:val="bottom"/>
            <w:tcBorders>
              <w:bottom w:val="single" w:sz="8" w:color="CFCFD2"/>
            </w:tcBorders>
          </w:tcPr>
          <w:p>
            <w:pPr>
              <w:spacing w:after="0"/>
              <w:rPr>
                <w:sz w:val="24"/>
                <w:szCs w:val="24"/>
                <w:color w:val="auto"/>
              </w:rPr>
            </w:pPr>
          </w:p>
        </w:tc>
        <w:tc>
          <w:tcPr>
            <w:tcW w:w="1100" w:type="dxa"/>
            <w:vAlign w:val="bottom"/>
            <w:tcBorders>
              <w:bottom w:val="single" w:sz="8" w:color="CFCFD2"/>
            </w:tcBorders>
          </w:tcPr>
          <w:p>
            <w:pPr>
              <w:spacing w:after="0"/>
              <w:rPr>
                <w:sz w:val="24"/>
                <w:szCs w:val="24"/>
                <w:color w:val="auto"/>
              </w:rPr>
            </w:pPr>
          </w:p>
        </w:tc>
        <w:tc>
          <w:tcPr>
            <w:tcW w:w="1400" w:type="dxa"/>
            <w:vAlign w:val="bottom"/>
            <w:tcBorders>
              <w:bottom w:val="single" w:sz="8" w:color="CFCFD2"/>
            </w:tcBorders>
          </w:tcPr>
          <w:p>
            <w:pPr>
              <w:spacing w:after="0"/>
              <w:rPr>
                <w:sz w:val="24"/>
                <w:szCs w:val="24"/>
                <w:color w:val="auto"/>
              </w:rPr>
            </w:pPr>
          </w:p>
        </w:tc>
        <w:tc>
          <w:tcPr>
            <w:tcW w:w="960" w:type="dxa"/>
            <w:vAlign w:val="bottom"/>
            <w:tcBorders>
              <w:bottom w:val="single" w:sz="8" w:color="CFCFD2"/>
            </w:tcBorders>
          </w:tcPr>
          <w:p>
            <w:pPr>
              <w:spacing w:after="0"/>
              <w:rPr>
                <w:sz w:val="24"/>
                <w:szCs w:val="24"/>
                <w:color w:val="auto"/>
              </w:rPr>
            </w:pPr>
          </w:p>
        </w:tc>
        <w:tc>
          <w:tcPr>
            <w:tcW w:w="1000" w:type="dxa"/>
            <w:vAlign w:val="bottom"/>
            <w:tcBorders>
              <w:bottom w:val="single" w:sz="8" w:color="CFCFD2"/>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2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E1020"/>
              </w:rPr>
              <w:t>2026</w:t>
            </w:r>
          </w:p>
        </w:tc>
        <w:tc>
          <w:tcPr>
            <w:tcW w:w="1060" w:type="dxa"/>
            <w:vAlign w:val="bottom"/>
          </w:tcPr>
          <w:p>
            <w:pPr>
              <w:jc w:val="right"/>
              <w:ind w:right="133"/>
              <w:spacing w:after="0"/>
              <w:rPr>
                <w:sz w:val="20"/>
                <w:szCs w:val="20"/>
                <w:color w:val="auto"/>
              </w:rPr>
            </w:pPr>
            <w:r>
              <w:rPr>
                <w:rFonts w:ascii="Arial" w:cs="Arial" w:eastAsia="Arial" w:hAnsi="Arial"/>
                <w:sz w:val="13"/>
                <w:szCs w:val="13"/>
                <w:color w:val="0E1020"/>
              </w:rPr>
              <w:t>296,154</w:t>
            </w:r>
          </w:p>
        </w:tc>
        <w:tc>
          <w:tcPr>
            <w:tcW w:w="820" w:type="dxa"/>
            <w:vAlign w:val="bottom"/>
          </w:tcPr>
          <w:p>
            <w:pPr>
              <w:jc w:val="right"/>
              <w:ind w:right="13"/>
              <w:spacing w:after="0"/>
              <w:rPr>
                <w:sz w:val="20"/>
                <w:szCs w:val="20"/>
                <w:color w:val="auto"/>
              </w:rPr>
            </w:pPr>
            <w:r>
              <w:rPr>
                <w:rFonts w:ascii="Arial" w:cs="Arial" w:eastAsia="Arial" w:hAnsi="Arial"/>
                <w:sz w:val="13"/>
                <w:szCs w:val="13"/>
                <w:color w:val="0E1020"/>
              </w:rPr>
              <w:t>—</w:t>
            </w:r>
          </w:p>
        </w:tc>
        <w:tc>
          <w:tcPr>
            <w:tcW w:w="1180" w:type="dxa"/>
            <w:vAlign w:val="bottom"/>
          </w:tcPr>
          <w:p>
            <w:pPr>
              <w:jc w:val="right"/>
              <w:ind w:right="133"/>
              <w:spacing w:after="0"/>
              <w:rPr>
                <w:sz w:val="20"/>
                <w:szCs w:val="20"/>
                <w:color w:val="auto"/>
              </w:rPr>
            </w:pPr>
            <w:r>
              <w:rPr>
                <w:rFonts w:ascii="Arial" w:cs="Arial" w:eastAsia="Arial" w:hAnsi="Arial"/>
                <w:sz w:val="13"/>
                <w:szCs w:val="13"/>
                <w:color w:val="0E1020"/>
              </w:rPr>
              <w:t>7,490,301</w:t>
            </w:r>
          </w:p>
        </w:tc>
        <w:tc>
          <w:tcPr>
            <w:tcW w:w="920" w:type="dxa"/>
            <w:vAlign w:val="bottom"/>
          </w:tcPr>
          <w:p>
            <w:pPr>
              <w:ind w:left="580"/>
              <w:spacing w:after="0"/>
              <w:rPr>
                <w:sz w:val="20"/>
                <w:szCs w:val="20"/>
                <w:color w:val="auto"/>
              </w:rPr>
            </w:pPr>
            <w:r>
              <w:rPr>
                <w:rFonts w:ascii="Arial" w:cs="Arial" w:eastAsia="Arial" w:hAnsi="Arial"/>
                <w:sz w:val="13"/>
                <w:szCs w:val="13"/>
                <w:color w:val="0E1020"/>
              </w:rPr>
              <w:t>—</w:t>
            </w:r>
          </w:p>
        </w:tc>
        <w:tc>
          <w:tcPr>
            <w:tcW w:w="1100" w:type="dxa"/>
            <w:vAlign w:val="bottom"/>
          </w:tcPr>
          <w:p>
            <w:pPr>
              <w:jc w:val="right"/>
              <w:ind w:right="13"/>
              <w:spacing w:after="0"/>
              <w:rPr>
                <w:sz w:val="20"/>
                <w:szCs w:val="20"/>
                <w:color w:val="auto"/>
              </w:rPr>
            </w:pPr>
            <w:r>
              <w:rPr>
                <w:rFonts w:ascii="Arial" w:cs="Arial" w:eastAsia="Arial" w:hAnsi="Arial"/>
                <w:sz w:val="13"/>
                <w:szCs w:val="13"/>
                <w:color w:val="0E1020"/>
              </w:rPr>
              <w:t>—</w:t>
            </w:r>
          </w:p>
        </w:tc>
        <w:tc>
          <w:tcPr>
            <w:tcW w:w="1400" w:type="dxa"/>
            <w:vAlign w:val="bottom"/>
          </w:tcPr>
          <w:p>
            <w:pPr>
              <w:ind w:left="1040"/>
              <w:spacing w:after="0"/>
              <w:rPr>
                <w:sz w:val="20"/>
                <w:szCs w:val="20"/>
                <w:color w:val="auto"/>
              </w:rPr>
            </w:pPr>
            <w:r>
              <w:rPr>
                <w:rFonts w:ascii="Arial" w:cs="Arial" w:eastAsia="Arial" w:hAnsi="Arial"/>
                <w:sz w:val="13"/>
                <w:szCs w:val="13"/>
                <w:color w:val="0E1020"/>
              </w:rPr>
              <w:t>—</w:t>
            </w:r>
          </w:p>
        </w:tc>
        <w:tc>
          <w:tcPr>
            <w:tcW w:w="960" w:type="dxa"/>
            <w:vAlign w:val="bottom"/>
          </w:tcPr>
          <w:p>
            <w:pPr>
              <w:jc w:val="right"/>
              <w:ind w:right="113"/>
              <w:spacing w:after="0"/>
              <w:rPr>
                <w:sz w:val="20"/>
                <w:szCs w:val="20"/>
                <w:color w:val="auto"/>
              </w:rPr>
            </w:pPr>
            <w:r>
              <w:rPr>
                <w:rFonts w:ascii="Arial" w:cs="Arial" w:eastAsia="Arial" w:hAnsi="Arial"/>
                <w:sz w:val="13"/>
                <w:szCs w:val="13"/>
                <w:color w:val="0E1020"/>
              </w:rPr>
              <w:t>2,363,275</w:t>
            </w:r>
          </w:p>
        </w:tc>
        <w:tc>
          <w:tcPr>
            <w:tcW w:w="1000" w:type="dxa"/>
            <w:vAlign w:val="bottom"/>
          </w:tcPr>
          <w:p>
            <w:pPr>
              <w:jc w:val="right"/>
              <w:ind w:right="113"/>
              <w:spacing w:after="0"/>
              <w:rPr>
                <w:sz w:val="20"/>
                <w:szCs w:val="20"/>
                <w:color w:val="auto"/>
              </w:rPr>
            </w:pPr>
            <w:r>
              <w:rPr>
                <w:rFonts w:ascii="Arial" w:cs="Arial" w:eastAsia="Arial" w:hAnsi="Arial"/>
                <w:sz w:val="13"/>
                <w:szCs w:val="13"/>
                <w:color w:val="0E1020"/>
              </w:rPr>
              <w:t>10,149,730</w:t>
            </w:r>
          </w:p>
        </w:tc>
        <w:tc>
          <w:tcPr>
            <w:tcW w:w="0" w:type="dxa"/>
            <w:vAlign w:val="bottom"/>
          </w:tcPr>
          <w:p>
            <w:pPr>
              <w:spacing w:after="0"/>
              <w:rPr>
                <w:sz w:val="1"/>
                <w:szCs w:val="1"/>
                <w:color w:val="auto"/>
              </w:rPr>
            </w:pPr>
          </w:p>
        </w:tc>
      </w:tr>
      <w:tr>
        <w:trPr>
          <w:trHeight w:val="105"/>
        </w:trPr>
        <w:tc>
          <w:tcPr>
            <w:tcW w:w="2200" w:type="dxa"/>
            <w:vAlign w:val="bottom"/>
            <w:vMerge w:val="restart"/>
          </w:tcPr>
          <w:p>
            <w:pPr>
              <w:ind w:left="20"/>
              <w:spacing w:after="0"/>
              <w:rPr>
                <w:sz w:val="20"/>
                <w:szCs w:val="20"/>
                <w:color w:val="auto"/>
              </w:rPr>
            </w:pPr>
            <w:r>
              <w:rPr>
                <w:rFonts w:ascii="Arial" w:cs="Arial" w:eastAsia="Arial" w:hAnsi="Arial"/>
                <w:sz w:val="13"/>
                <w:szCs w:val="13"/>
                <w:b w:val="1"/>
                <w:bCs w:val="1"/>
                <w:color w:val="004AAC"/>
              </w:rPr>
              <w:t>Howard Boville</w:t>
            </w:r>
          </w:p>
        </w:tc>
        <w:tc>
          <w:tcPr>
            <w:tcW w:w="600" w:type="dxa"/>
            <w:vAlign w:val="bottom"/>
            <w:tcBorders>
              <w:bottom w:val="single" w:sz="8" w:color="CFCFD2"/>
            </w:tcBorders>
          </w:tcPr>
          <w:p>
            <w:pPr>
              <w:spacing w:after="0"/>
              <w:rPr>
                <w:sz w:val="9"/>
                <w:szCs w:val="9"/>
                <w:color w:val="auto"/>
              </w:rPr>
            </w:pPr>
          </w:p>
        </w:tc>
        <w:tc>
          <w:tcPr>
            <w:tcW w:w="1060" w:type="dxa"/>
            <w:vAlign w:val="bottom"/>
            <w:tcBorders>
              <w:bottom w:val="single" w:sz="8" w:color="CFCFD2"/>
            </w:tcBorders>
          </w:tcPr>
          <w:p>
            <w:pPr>
              <w:spacing w:after="0"/>
              <w:rPr>
                <w:sz w:val="9"/>
                <w:szCs w:val="9"/>
                <w:color w:val="auto"/>
              </w:rPr>
            </w:pPr>
          </w:p>
        </w:tc>
        <w:tc>
          <w:tcPr>
            <w:tcW w:w="820" w:type="dxa"/>
            <w:vAlign w:val="bottom"/>
            <w:tcBorders>
              <w:bottom w:val="single" w:sz="8" w:color="CFCFD2"/>
            </w:tcBorders>
          </w:tcPr>
          <w:p>
            <w:pPr>
              <w:spacing w:after="0"/>
              <w:rPr>
                <w:sz w:val="9"/>
                <w:szCs w:val="9"/>
                <w:color w:val="auto"/>
              </w:rPr>
            </w:pPr>
          </w:p>
        </w:tc>
        <w:tc>
          <w:tcPr>
            <w:tcW w:w="1180" w:type="dxa"/>
            <w:vAlign w:val="bottom"/>
            <w:tcBorders>
              <w:bottom w:val="single" w:sz="8" w:color="CFCFD2"/>
            </w:tcBorders>
          </w:tcPr>
          <w:p>
            <w:pPr>
              <w:spacing w:after="0"/>
              <w:rPr>
                <w:sz w:val="9"/>
                <w:szCs w:val="9"/>
                <w:color w:val="auto"/>
              </w:rPr>
            </w:pPr>
          </w:p>
        </w:tc>
        <w:tc>
          <w:tcPr>
            <w:tcW w:w="920" w:type="dxa"/>
            <w:vAlign w:val="bottom"/>
            <w:tcBorders>
              <w:bottom w:val="single" w:sz="8" w:color="CFCFD2"/>
            </w:tcBorders>
          </w:tcPr>
          <w:p>
            <w:pPr>
              <w:spacing w:after="0"/>
              <w:rPr>
                <w:sz w:val="9"/>
                <w:szCs w:val="9"/>
                <w:color w:val="auto"/>
              </w:rPr>
            </w:pPr>
          </w:p>
        </w:tc>
        <w:tc>
          <w:tcPr>
            <w:tcW w:w="1100" w:type="dxa"/>
            <w:vAlign w:val="bottom"/>
            <w:tcBorders>
              <w:bottom w:val="single" w:sz="8" w:color="CFCFD2"/>
            </w:tcBorders>
          </w:tcPr>
          <w:p>
            <w:pPr>
              <w:spacing w:after="0"/>
              <w:rPr>
                <w:sz w:val="9"/>
                <w:szCs w:val="9"/>
                <w:color w:val="auto"/>
              </w:rPr>
            </w:pPr>
          </w:p>
        </w:tc>
        <w:tc>
          <w:tcPr>
            <w:tcW w:w="1400" w:type="dxa"/>
            <w:vAlign w:val="bottom"/>
            <w:tcBorders>
              <w:bottom w:val="single" w:sz="8" w:color="CFCFD2"/>
            </w:tcBorders>
          </w:tcPr>
          <w:p>
            <w:pPr>
              <w:spacing w:after="0"/>
              <w:rPr>
                <w:sz w:val="9"/>
                <w:szCs w:val="9"/>
                <w:color w:val="auto"/>
              </w:rPr>
            </w:pPr>
          </w:p>
        </w:tc>
        <w:tc>
          <w:tcPr>
            <w:tcW w:w="960" w:type="dxa"/>
            <w:vAlign w:val="bottom"/>
            <w:tcBorders>
              <w:bottom w:val="single" w:sz="8" w:color="CFCFD2"/>
            </w:tcBorders>
          </w:tcPr>
          <w:p>
            <w:pPr>
              <w:spacing w:after="0"/>
              <w:rPr>
                <w:sz w:val="9"/>
                <w:szCs w:val="9"/>
                <w:color w:val="auto"/>
              </w:rPr>
            </w:pPr>
          </w:p>
        </w:tc>
        <w:tc>
          <w:tcPr>
            <w:tcW w:w="1000" w:type="dxa"/>
            <w:vAlign w:val="bottom"/>
            <w:tcBorders>
              <w:bottom w:val="single" w:sz="8" w:color="CFCFD2"/>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2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200" w:type="dxa"/>
            <w:vAlign w:val="bottom"/>
          </w:tcPr>
          <w:p>
            <w:pPr>
              <w:ind w:left="20"/>
              <w:spacing w:after="0"/>
              <w:rPr>
                <w:sz w:val="20"/>
                <w:szCs w:val="20"/>
                <w:color w:val="auto"/>
              </w:rPr>
            </w:pPr>
            <w:r>
              <w:rPr>
                <w:rFonts w:ascii="Arial" w:cs="Arial" w:eastAsia="Arial" w:hAnsi="Arial"/>
                <w:sz w:val="14"/>
                <w:szCs w:val="14"/>
                <w:color w:val="0E1020"/>
              </w:rPr>
              <w:t>Former President, Consulting &amp;</w:t>
            </w:r>
          </w:p>
        </w:tc>
        <w:tc>
          <w:tcPr>
            <w:tcW w:w="600" w:type="dxa"/>
            <w:vAlign w:val="bottom"/>
          </w:tcPr>
          <w:p>
            <w:pPr>
              <w:jc w:val="center"/>
              <w:spacing w:after="0"/>
              <w:rPr>
                <w:sz w:val="20"/>
                <w:szCs w:val="20"/>
                <w:color w:val="auto"/>
              </w:rPr>
            </w:pPr>
            <w:r>
              <w:rPr>
                <w:rFonts w:ascii="Arial" w:cs="Arial" w:eastAsia="Arial" w:hAnsi="Arial"/>
                <w:sz w:val="13"/>
                <w:szCs w:val="13"/>
                <w:color w:val="0E1020"/>
              </w:rPr>
              <w:t>2025</w:t>
            </w:r>
          </w:p>
        </w:tc>
        <w:tc>
          <w:tcPr>
            <w:tcW w:w="1060" w:type="dxa"/>
            <w:vAlign w:val="bottom"/>
          </w:tcPr>
          <w:p>
            <w:pPr>
              <w:jc w:val="right"/>
              <w:ind w:right="133"/>
              <w:spacing w:after="0"/>
              <w:rPr>
                <w:sz w:val="20"/>
                <w:szCs w:val="20"/>
                <w:color w:val="auto"/>
              </w:rPr>
            </w:pPr>
            <w:r>
              <w:rPr>
                <w:rFonts w:ascii="Arial" w:cs="Arial" w:eastAsia="Arial" w:hAnsi="Arial"/>
                <w:sz w:val="13"/>
                <w:szCs w:val="13"/>
                <w:color w:val="0E1020"/>
              </w:rPr>
              <w:t>1,000,000</w:t>
            </w:r>
          </w:p>
        </w:tc>
        <w:tc>
          <w:tcPr>
            <w:tcW w:w="820" w:type="dxa"/>
            <w:vAlign w:val="bottom"/>
          </w:tcPr>
          <w:p>
            <w:pPr>
              <w:jc w:val="right"/>
              <w:ind w:right="13"/>
              <w:spacing w:after="0"/>
              <w:rPr>
                <w:sz w:val="20"/>
                <w:szCs w:val="20"/>
                <w:color w:val="auto"/>
              </w:rPr>
            </w:pPr>
            <w:r>
              <w:rPr>
                <w:rFonts w:ascii="Arial" w:cs="Arial" w:eastAsia="Arial" w:hAnsi="Arial"/>
                <w:sz w:val="13"/>
                <w:szCs w:val="13"/>
                <w:color w:val="0E1020"/>
              </w:rPr>
              <w:t>—</w:t>
            </w:r>
          </w:p>
        </w:tc>
        <w:tc>
          <w:tcPr>
            <w:tcW w:w="1180" w:type="dxa"/>
            <w:vAlign w:val="bottom"/>
          </w:tcPr>
          <w:p>
            <w:pPr>
              <w:jc w:val="right"/>
              <w:ind w:right="133"/>
              <w:spacing w:after="0"/>
              <w:rPr>
                <w:sz w:val="20"/>
                <w:szCs w:val="20"/>
                <w:color w:val="auto"/>
              </w:rPr>
            </w:pPr>
            <w:r>
              <w:rPr>
                <w:rFonts w:ascii="Arial" w:cs="Arial" w:eastAsia="Arial" w:hAnsi="Arial"/>
                <w:sz w:val="13"/>
                <w:szCs w:val="13"/>
                <w:color w:val="0E1020"/>
              </w:rPr>
              <w:t>6,371,666</w:t>
            </w:r>
          </w:p>
        </w:tc>
        <w:tc>
          <w:tcPr>
            <w:tcW w:w="920" w:type="dxa"/>
            <w:vAlign w:val="bottom"/>
          </w:tcPr>
          <w:p>
            <w:pPr>
              <w:ind w:left="580"/>
              <w:spacing w:after="0"/>
              <w:rPr>
                <w:sz w:val="20"/>
                <w:szCs w:val="20"/>
                <w:color w:val="auto"/>
              </w:rPr>
            </w:pPr>
            <w:r>
              <w:rPr>
                <w:rFonts w:ascii="Arial" w:cs="Arial" w:eastAsia="Arial" w:hAnsi="Arial"/>
                <w:sz w:val="13"/>
                <w:szCs w:val="13"/>
                <w:color w:val="0E1020"/>
              </w:rPr>
              <w:t>—</w:t>
            </w:r>
          </w:p>
        </w:tc>
        <w:tc>
          <w:tcPr>
            <w:tcW w:w="1100" w:type="dxa"/>
            <w:vAlign w:val="bottom"/>
          </w:tcPr>
          <w:p>
            <w:pPr>
              <w:jc w:val="right"/>
              <w:ind w:right="13"/>
              <w:spacing w:after="0"/>
              <w:rPr>
                <w:sz w:val="20"/>
                <w:szCs w:val="20"/>
                <w:color w:val="auto"/>
              </w:rPr>
            </w:pPr>
            <w:r>
              <w:rPr>
                <w:rFonts w:ascii="Arial" w:cs="Arial" w:eastAsia="Arial" w:hAnsi="Arial"/>
                <w:sz w:val="13"/>
                <w:szCs w:val="13"/>
                <w:color w:val="0E1020"/>
              </w:rPr>
              <w:t>864,000</w:t>
            </w:r>
          </w:p>
        </w:tc>
        <w:tc>
          <w:tcPr>
            <w:tcW w:w="1400" w:type="dxa"/>
            <w:vAlign w:val="bottom"/>
          </w:tcPr>
          <w:p>
            <w:pPr>
              <w:ind w:left="1040"/>
              <w:spacing w:after="0"/>
              <w:rPr>
                <w:sz w:val="20"/>
                <w:szCs w:val="20"/>
                <w:color w:val="auto"/>
              </w:rPr>
            </w:pPr>
            <w:r>
              <w:rPr>
                <w:rFonts w:ascii="Arial" w:cs="Arial" w:eastAsia="Arial" w:hAnsi="Arial"/>
                <w:sz w:val="13"/>
                <w:szCs w:val="13"/>
                <w:color w:val="0E1020"/>
              </w:rPr>
              <w:t>—</w:t>
            </w:r>
          </w:p>
        </w:tc>
        <w:tc>
          <w:tcPr>
            <w:tcW w:w="960" w:type="dxa"/>
            <w:vAlign w:val="bottom"/>
          </w:tcPr>
          <w:p>
            <w:pPr>
              <w:jc w:val="right"/>
              <w:ind w:right="113"/>
              <w:spacing w:after="0"/>
              <w:rPr>
                <w:sz w:val="20"/>
                <w:szCs w:val="20"/>
                <w:color w:val="auto"/>
              </w:rPr>
            </w:pPr>
            <w:r>
              <w:rPr>
                <w:rFonts w:ascii="Arial" w:cs="Arial" w:eastAsia="Arial" w:hAnsi="Arial"/>
                <w:sz w:val="13"/>
                <w:szCs w:val="13"/>
                <w:color w:val="0E1020"/>
              </w:rPr>
              <w:t>11,121</w:t>
            </w:r>
          </w:p>
        </w:tc>
        <w:tc>
          <w:tcPr>
            <w:tcW w:w="1000" w:type="dxa"/>
            <w:vAlign w:val="bottom"/>
          </w:tcPr>
          <w:p>
            <w:pPr>
              <w:jc w:val="right"/>
              <w:ind w:right="113"/>
              <w:spacing w:after="0"/>
              <w:rPr>
                <w:sz w:val="20"/>
                <w:szCs w:val="20"/>
                <w:color w:val="auto"/>
              </w:rPr>
            </w:pPr>
            <w:r>
              <w:rPr>
                <w:rFonts w:ascii="Arial" w:cs="Arial" w:eastAsia="Arial" w:hAnsi="Arial"/>
                <w:sz w:val="13"/>
                <w:szCs w:val="13"/>
                <w:color w:val="0E1020"/>
              </w:rPr>
              <w:t>8,246,787</w:t>
            </w:r>
          </w:p>
        </w:tc>
        <w:tc>
          <w:tcPr>
            <w:tcW w:w="0" w:type="dxa"/>
            <w:vAlign w:val="bottom"/>
          </w:tcPr>
          <w:p>
            <w:pPr>
              <w:spacing w:after="0"/>
              <w:rPr>
                <w:sz w:val="1"/>
                <w:szCs w:val="1"/>
                <w:color w:val="auto"/>
              </w:rPr>
            </w:pPr>
          </w:p>
        </w:tc>
      </w:tr>
      <w:tr>
        <w:trPr>
          <w:trHeight w:val="130"/>
        </w:trPr>
        <w:tc>
          <w:tcPr>
            <w:tcW w:w="2200" w:type="dxa"/>
            <w:vAlign w:val="bottom"/>
          </w:tcPr>
          <w:p>
            <w:pPr>
              <w:ind w:left="20"/>
              <w:spacing w:after="0" w:line="123" w:lineRule="exact"/>
              <w:rPr>
                <w:sz w:val="20"/>
                <w:szCs w:val="20"/>
                <w:color w:val="auto"/>
              </w:rPr>
            </w:pPr>
            <w:r>
              <w:rPr>
                <w:rFonts w:ascii="Arial" w:cs="Arial" w:eastAsia="Arial" w:hAnsi="Arial"/>
                <w:sz w:val="14"/>
                <w:szCs w:val="14"/>
                <w:color w:val="0E1020"/>
              </w:rPr>
              <w:t>Engineering Services</w:t>
            </w:r>
          </w:p>
        </w:tc>
        <w:tc>
          <w:tcPr>
            <w:tcW w:w="600" w:type="dxa"/>
            <w:vAlign w:val="bottom"/>
            <w:tcBorders>
              <w:bottom w:val="single" w:sz="8" w:color="CFCFD2"/>
            </w:tcBorders>
          </w:tcPr>
          <w:p>
            <w:pPr>
              <w:spacing w:after="0"/>
              <w:rPr>
                <w:sz w:val="11"/>
                <w:szCs w:val="11"/>
                <w:color w:val="auto"/>
              </w:rPr>
            </w:pPr>
          </w:p>
        </w:tc>
        <w:tc>
          <w:tcPr>
            <w:tcW w:w="1060" w:type="dxa"/>
            <w:vAlign w:val="bottom"/>
            <w:tcBorders>
              <w:bottom w:val="single" w:sz="8" w:color="CFCFD2"/>
            </w:tcBorders>
          </w:tcPr>
          <w:p>
            <w:pPr>
              <w:spacing w:after="0"/>
              <w:rPr>
                <w:sz w:val="11"/>
                <w:szCs w:val="11"/>
                <w:color w:val="auto"/>
              </w:rPr>
            </w:pPr>
          </w:p>
        </w:tc>
        <w:tc>
          <w:tcPr>
            <w:tcW w:w="820" w:type="dxa"/>
            <w:vAlign w:val="bottom"/>
            <w:tcBorders>
              <w:bottom w:val="single" w:sz="8" w:color="CFCFD2"/>
            </w:tcBorders>
          </w:tcPr>
          <w:p>
            <w:pPr>
              <w:spacing w:after="0"/>
              <w:rPr>
                <w:sz w:val="11"/>
                <w:szCs w:val="11"/>
                <w:color w:val="auto"/>
              </w:rPr>
            </w:pPr>
          </w:p>
        </w:tc>
        <w:tc>
          <w:tcPr>
            <w:tcW w:w="1180" w:type="dxa"/>
            <w:vAlign w:val="bottom"/>
            <w:tcBorders>
              <w:bottom w:val="single" w:sz="8" w:color="CFCFD2"/>
            </w:tcBorders>
          </w:tcPr>
          <w:p>
            <w:pPr>
              <w:spacing w:after="0"/>
              <w:rPr>
                <w:sz w:val="11"/>
                <w:szCs w:val="11"/>
                <w:color w:val="auto"/>
              </w:rPr>
            </w:pPr>
          </w:p>
        </w:tc>
        <w:tc>
          <w:tcPr>
            <w:tcW w:w="920" w:type="dxa"/>
            <w:vAlign w:val="bottom"/>
            <w:tcBorders>
              <w:bottom w:val="single" w:sz="8" w:color="CFCFD2"/>
            </w:tcBorders>
          </w:tcPr>
          <w:p>
            <w:pPr>
              <w:spacing w:after="0"/>
              <w:rPr>
                <w:sz w:val="11"/>
                <w:szCs w:val="11"/>
                <w:color w:val="auto"/>
              </w:rPr>
            </w:pPr>
          </w:p>
        </w:tc>
        <w:tc>
          <w:tcPr>
            <w:tcW w:w="1100" w:type="dxa"/>
            <w:vAlign w:val="bottom"/>
            <w:tcBorders>
              <w:bottom w:val="single" w:sz="8" w:color="CFCFD2"/>
            </w:tcBorders>
          </w:tcPr>
          <w:p>
            <w:pPr>
              <w:spacing w:after="0"/>
              <w:rPr>
                <w:sz w:val="11"/>
                <w:szCs w:val="11"/>
                <w:color w:val="auto"/>
              </w:rPr>
            </w:pPr>
          </w:p>
        </w:tc>
        <w:tc>
          <w:tcPr>
            <w:tcW w:w="1400" w:type="dxa"/>
            <w:vAlign w:val="bottom"/>
            <w:tcBorders>
              <w:bottom w:val="single" w:sz="8" w:color="CFCFD2"/>
            </w:tcBorders>
          </w:tcPr>
          <w:p>
            <w:pPr>
              <w:spacing w:after="0"/>
              <w:rPr>
                <w:sz w:val="11"/>
                <w:szCs w:val="11"/>
                <w:color w:val="auto"/>
              </w:rPr>
            </w:pPr>
          </w:p>
        </w:tc>
        <w:tc>
          <w:tcPr>
            <w:tcW w:w="960" w:type="dxa"/>
            <w:vAlign w:val="bottom"/>
            <w:tcBorders>
              <w:bottom w:val="single" w:sz="8" w:color="CFCFD2"/>
            </w:tcBorders>
          </w:tcPr>
          <w:p>
            <w:pPr>
              <w:spacing w:after="0"/>
              <w:rPr>
                <w:sz w:val="11"/>
                <w:szCs w:val="11"/>
                <w:color w:val="auto"/>
              </w:rPr>
            </w:pPr>
          </w:p>
        </w:tc>
        <w:tc>
          <w:tcPr>
            <w:tcW w:w="1000" w:type="dxa"/>
            <w:vAlign w:val="bottom"/>
            <w:tcBorders>
              <w:bottom w:val="single" w:sz="8" w:color="CFCFD2"/>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20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E1020"/>
              </w:rPr>
              <w:t>2024</w:t>
            </w:r>
          </w:p>
        </w:tc>
        <w:tc>
          <w:tcPr>
            <w:tcW w:w="1060" w:type="dxa"/>
            <w:vAlign w:val="bottom"/>
          </w:tcPr>
          <w:p>
            <w:pPr>
              <w:jc w:val="right"/>
              <w:ind w:right="133"/>
              <w:spacing w:after="0"/>
              <w:rPr>
                <w:sz w:val="20"/>
                <w:szCs w:val="20"/>
                <w:color w:val="auto"/>
              </w:rPr>
            </w:pPr>
            <w:r>
              <w:rPr>
                <w:rFonts w:ascii="Arial" w:cs="Arial" w:eastAsia="Arial" w:hAnsi="Arial"/>
                <w:sz w:val="13"/>
                <w:szCs w:val="13"/>
                <w:color w:val="0E1020"/>
              </w:rPr>
              <w:t>542,308</w:t>
            </w:r>
          </w:p>
        </w:tc>
        <w:tc>
          <w:tcPr>
            <w:tcW w:w="820" w:type="dxa"/>
            <w:vAlign w:val="bottom"/>
          </w:tcPr>
          <w:p>
            <w:pPr>
              <w:jc w:val="right"/>
              <w:ind w:right="13"/>
              <w:spacing w:after="0"/>
              <w:rPr>
                <w:sz w:val="20"/>
                <w:szCs w:val="20"/>
                <w:color w:val="auto"/>
              </w:rPr>
            </w:pPr>
            <w:r>
              <w:rPr>
                <w:rFonts w:ascii="Arial" w:cs="Arial" w:eastAsia="Arial" w:hAnsi="Arial"/>
                <w:sz w:val="13"/>
                <w:szCs w:val="13"/>
                <w:color w:val="0E1020"/>
              </w:rPr>
              <w:t>900,000</w:t>
            </w:r>
          </w:p>
        </w:tc>
        <w:tc>
          <w:tcPr>
            <w:tcW w:w="1180" w:type="dxa"/>
            <w:vAlign w:val="bottom"/>
          </w:tcPr>
          <w:p>
            <w:pPr>
              <w:jc w:val="right"/>
              <w:ind w:right="133"/>
              <w:spacing w:after="0"/>
              <w:rPr>
                <w:sz w:val="20"/>
                <w:szCs w:val="20"/>
                <w:color w:val="auto"/>
              </w:rPr>
            </w:pPr>
            <w:r>
              <w:rPr>
                <w:rFonts w:ascii="Arial" w:cs="Arial" w:eastAsia="Arial" w:hAnsi="Arial"/>
                <w:sz w:val="13"/>
                <w:szCs w:val="13"/>
                <w:color w:val="0E1020"/>
              </w:rPr>
              <w:t>8,275,459</w:t>
            </w:r>
          </w:p>
        </w:tc>
        <w:tc>
          <w:tcPr>
            <w:tcW w:w="920" w:type="dxa"/>
            <w:vAlign w:val="bottom"/>
          </w:tcPr>
          <w:p>
            <w:pPr>
              <w:ind w:left="580"/>
              <w:spacing w:after="0"/>
              <w:rPr>
                <w:sz w:val="20"/>
                <w:szCs w:val="20"/>
                <w:color w:val="auto"/>
              </w:rPr>
            </w:pPr>
            <w:r>
              <w:rPr>
                <w:rFonts w:ascii="Arial" w:cs="Arial" w:eastAsia="Arial" w:hAnsi="Arial"/>
                <w:sz w:val="13"/>
                <w:szCs w:val="13"/>
                <w:color w:val="0E1020"/>
              </w:rPr>
              <w:t>—</w:t>
            </w:r>
          </w:p>
        </w:tc>
        <w:tc>
          <w:tcPr>
            <w:tcW w:w="1100" w:type="dxa"/>
            <w:vAlign w:val="bottom"/>
          </w:tcPr>
          <w:p>
            <w:pPr>
              <w:jc w:val="right"/>
              <w:ind w:right="13"/>
              <w:spacing w:after="0"/>
              <w:rPr>
                <w:sz w:val="20"/>
                <w:szCs w:val="20"/>
                <w:color w:val="auto"/>
              </w:rPr>
            </w:pPr>
            <w:r>
              <w:rPr>
                <w:rFonts w:ascii="Arial" w:cs="Arial" w:eastAsia="Arial" w:hAnsi="Arial"/>
                <w:sz w:val="13"/>
                <w:szCs w:val="13"/>
                <w:color w:val="0E1020"/>
              </w:rPr>
              <w:t>463,537</w:t>
            </w:r>
          </w:p>
        </w:tc>
        <w:tc>
          <w:tcPr>
            <w:tcW w:w="1400" w:type="dxa"/>
            <w:vAlign w:val="bottom"/>
          </w:tcPr>
          <w:p>
            <w:pPr>
              <w:ind w:left="1040"/>
              <w:spacing w:after="0"/>
              <w:rPr>
                <w:sz w:val="20"/>
                <w:szCs w:val="20"/>
                <w:color w:val="auto"/>
              </w:rPr>
            </w:pPr>
            <w:r>
              <w:rPr>
                <w:rFonts w:ascii="Arial" w:cs="Arial" w:eastAsia="Arial" w:hAnsi="Arial"/>
                <w:sz w:val="13"/>
                <w:szCs w:val="13"/>
                <w:color w:val="0E1020"/>
              </w:rPr>
              <w:t>—</w:t>
            </w:r>
          </w:p>
        </w:tc>
        <w:tc>
          <w:tcPr>
            <w:tcW w:w="960" w:type="dxa"/>
            <w:vAlign w:val="bottom"/>
          </w:tcPr>
          <w:p>
            <w:pPr>
              <w:jc w:val="right"/>
              <w:ind w:right="113"/>
              <w:spacing w:after="0"/>
              <w:rPr>
                <w:sz w:val="20"/>
                <w:szCs w:val="20"/>
                <w:color w:val="auto"/>
              </w:rPr>
            </w:pPr>
            <w:r>
              <w:rPr>
                <w:rFonts w:ascii="Arial" w:cs="Arial" w:eastAsia="Arial" w:hAnsi="Arial"/>
                <w:sz w:val="13"/>
                <w:szCs w:val="13"/>
                <w:color w:val="0E1020"/>
              </w:rPr>
              <w:t>10,094</w:t>
            </w:r>
          </w:p>
        </w:tc>
        <w:tc>
          <w:tcPr>
            <w:tcW w:w="1000" w:type="dxa"/>
            <w:vAlign w:val="bottom"/>
          </w:tcPr>
          <w:p>
            <w:pPr>
              <w:jc w:val="right"/>
              <w:ind w:right="113"/>
              <w:spacing w:after="0"/>
              <w:rPr>
                <w:sz w:val="20"/>
                <w:szCs w:val="20"/>
                <w:color w:val="auto"/>
              </w:rPr>
            </w:pPr>
            <w:r>
              <w:rPr>
                <w:rFonts w:ascii="Arial" w:cs="Arial" w:eastAsia="Arial" w:hAnsi="Arial"/>
                <w:sz w:val="13"/>
                <w:szCs w:val="13"/>
                <w:color w:val="0E1020"/>
              </w:rPr>
              <w:t>10,191,398</w:t>
            </w:r>
          </w:p>
        </w:tc>
        <w:tc>
          <w:tcPr>
            <w:tcW w:w="0" w:type="dxa"/>
            <w:vAlign w:val="bottom"/>
          </w:tcPr>
          <w:p>
            <w:pPr>
              <w:spacing w:after="0"/>
              <w:rPr>
                <w:sz w:val="1"/>
                <w:szCs w:val="1"/>
                <w:color w:val="auto"/>
              </w:rPr>
            </w:pPr>
          </w:p>
        </w:tc>
      </w:tr>
      <w:tr>
        <w:trPr>
          <w:trHeight w:val="92"/>
        </w:trPr>
        <w:tc>
          <w:tcPr>
            <w:tcW w:w="2200" w:type="dxa"/>
            <w:vAlign w:val="bottom"/>
            <w:tcBorders>
              <w:bottom w:val="single" w:sz="8" w:color="CFCFD2"/>
            </w:tcBorders>
          </w:tcPr>
          <w:p>
            <w:pPr>
              <w:spacing w:after="0"/>
              <w:rPr>
                <w:sz w:val="8"/>
                <w:szCs w:val="8"/>
                <w:color w:val="auto"/>
              </w:rPr>
            </w:pPr>
          </w:p>
        </w:tc>
        <w:tc>
          <w:tcPr>
            <w:tcW w:w="600" w:type="dxa"/>
            <w:vAlign w:val="bottom"/>
            <w:tcBorders>
              <w:bottom w:val="single" w:sz="8" w:color="CFCFD2"/>
            </w:tcBorders>
          </w:tcPr>
          <w:p>
            <w:pPr>
              <w:spacing w:after="0"/>
              <w:rPr>
                <w:sz w:val="8"/>
                <w:szCs w:val="8"/>
                <w:color w:val="auto"/>
              </w:rPr>
            </w:pPr>
          </w:p>
        </w:tc>
        <w:tc>
          <w:tcPr>
            <w:tcW w:w="1060" w:type="dxa"/>
            <w:vAlign w:val="bottom"/>
            <w:tcBorders>
              <w:bottom w:val="single" w:sz="8" w:color="CFCFD2"/>
            </w:tcBorders>
          </w:tcPr>
          <w:p>
            <w:pPr>
              <w:spacing w:after="0"/>
              <w:rPr>
                <w:sz w:val="8"/>
                <w:szCs w:val="8"/>
                <w:color w:val="auto"/>
              </w:rPr>
            </w:pPr>
          </w:p>
        </w:tc>
        <w:tc>
          <w:tcPr>
            <w:tcW w:w="820" w:type="dxa"/>
            <w:vAlign w:val="bottom"/>
            <w:tcBorders>
              <w:bottom w:val="single" w:sz="8" w:color="CFCFD2"/>
            </w:tcBorders>
          </w:tcPr>
          <w:p>
            <w:pPr>
              <w:spacing w:after="0"/>
              <w:rPr>
                <w:sz w:val="8"/>
                <w:szCs w:val="8"/>
                <w:color w:val="auto"/>
              </w:rPr>
            </w:pPr>
          </w:p>
        </w:tc>
        <w:tc>
          <w:tcPr>
            <w:tcW w:w="1180" w:type="dxa"/>
            <w:vAlign w:val="bottom"/>
            <w:tcBorders>
              <w:bottom w:val="single" w:sz="8" w:color="CFCFD2"/>
            </w:tcBorders>
          </w:tcPr>
          <w:p>
            <w:pPr>
              <w:spacing w:after="0"/>
              <w:rPr>
                <w:sz w:val="8"/>
                <w:szCs w:val="8"/>
                <w:color w:val="auto"/>
              </w:rPr>
            </w:pPr>
          </w:p>
        </w:tc>
        <w:tc>
          <w:tcPr>
            <w:tcW w:w="920" w:type="dxa"/>
            <w:vAlign w:val="bottom"/>
            <w:tcBorders>
              <w:bottom w:val="single" w:sz="8" w:color="CFCFD2"/>
            </w:tcBorders>
          </w:tcPr>
          <w:p>
            <w:pPr>
              <w:spacing w:after="0"/>
              <w:rPr>
                <w:sz w:val="8"/>
                <w:szCs w:val="8"/>
                <w:color w:val="auto"/>
              </w:rPr>
            </w:pPr>
          </w:p>
        </w:tc>
        <w:tc>
          <w:tcPr>
            <w:tcW w:w="1100" w:type="dxa"/>
            <w:vAlign w:val="bottom"/>
            <w:tcBorders>
              <w:bottom w:val="single" w:sz="8" w:color="CFCFD2"/>
            </w:tcBorders>
          </w:tcPr>
          <w:p>
            <w:pPr>
              <w:spacing w:after="0"/>
              <w:rPr>
                <w:sz w:val="8"/>
                <w:szCs w:val="8"/>
                <w:color w:val="auto"/>
              </w:rPr>
            </w:pPr>
          </w:p>
        </w:tc>
        <w:tc>
          <w:tcPr>
            <w:tcW w:w="1400" w:type="dxa"/>
            <w:vAlign w:val="bottom"/>
            <w:tcBorders>
              <w:bottom w:val="single" w:sz="8" w:color="CFCFD2"/>
            </w:tcBorders>
          </w:tcPr>
          <w:p>
            <w:pPr>
              <w:spacing w:after="0"/>
              <w:rPr>
                <w:sz w:val="8"/>
                <w:szCs w:val="8"/>
                <w:color w:val="auto"/>
              </w:rPr>
            </w:pPr>
          </w:p>
        </w:tc>
        <w:tc>
          <w:tcPr>
            <w:tcW w:w="960" w:type="dxa"/>
            <w:vAlign w:val="bottom"/>
            <w:tcBorders>
              <w:bottom w:val="single" w:sz="8" w:color="CFCFD2"/>
            </w:tcBorders>
          </w:tcPr>
          <w:p>
            <w:pPr>
              <w:spacing w:after="0"/>
              <w:rPr>
                <w:sz w:val="8"/>
                <w:szCs w:val="8"/>
                <w:color w:val="auto"/>
              </w:rPr>
            </w:pPr>
          </w:p>
        </w:tc>
        <w:tc>
          <w:tcPr>
            <w:tcW w:w="1000" w:type="dxa"/>
            <w:vAlign w:val="bottom"/>
            <w:tcBorders>
              <w:bottom w:val="single" w:sz="8" w:color="CFCFD2"/>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500" w:hanging="332"/>
        <w:spacing w:after="0"/>
        <w:tabs>
          <w:tab w:leader="none" w:pos="500" w:val="left"/>
        </w:tabs>
        <w:numPr>
          <w:ilvl w:val="0"/>
          <w:numId w:val="85"/>
        </w:numPr>
        <w:rPr>
          <w:rFonts w:ascii="Arial" w:cs="Arial" w:eastAsia="Arial" w:hAnsi="Arial"/>
          <w:sz w:val="14"/>
          <w:szCs w:val="14"/>
          <w:color w:val="0E1020"/>
        </w:rPr>
      </w:pPr>
      <w:r>
        <w:rPr>
          <w:rFonts w:ascii="Arial" w:cs="Arial" w:eastAsia="Arial" w:hAnsi="Arial"/>
          <w:sz w:val="14"/>
          <w:szCs w:val="14"/>
          <w:color w:val="0E1020"/>
        </w:rPr>
        <w:t>The amounts shown in Column (c) reflect salary paid through separation of service date for Mr. Boville (July 1, 2025).</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84</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92" w:name="page93"/>
    <w:bookmarkEnd w:id="92"/>
    <w:p>
      <w:pPr>
        <w:spacing w:after="0"/>
        <w:tabs>
          <w:tab w:leader="none" w:pos="916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0E1020"/>
        </w:rPr>
        <w:t>Executive Compensation Tables</w:t>
      </w:r>
    </w:p>
    <w:p>
      <w:pPr>
        <w:spacing w:after="0" w:line="200" w:lineRule="exact"/>
        <w:rPr>
          <w:sz w:val="20"/>
          <w:szCs w:val="20"/>
          <w:color w:val="auto"/>
        </w:rPr>
      </w:pPr>
    </w:p>
    <w:p>
      <w:pPr>
        <w:spacing w:after="0" w:line="349" w:lineRule="exact"/>
        <w:rPr>
          <w:sz w:val="20"/>
          <w:szCs w:val="20"/>
          <w:color w:val="auto"/>
        </w:rPr>
      </w:pPr>
    </w:p>
    <w:p>
      <w:pPr>
        <w:ind w:left="460" w:hanging="312"/>
        <w:spacing w:after="0" w:line="279" w:lineRule="auto"/>
        <w:tabs>
          <w:tab w:leader="none" w:pos="433" w:val="left"/>
        </w:tabs>
        <w:numPr>
          <w:ilvl w:val="0"/>
          <w:numId w:val="86"/>
        </w:numPr>
        <w:rPr>
          <w:rFonts w:ascii="Arial" w:cs="Arial" w:eastAsia="Arial" w:hAnsi="Arial"/>
          <w:sz w:val="14"/>
          <w:szCs w:val="14"/>
          <w:color w:val="0E1020"/>
        </w:rPr>
      </w:pPr>
      <w:r>
        <w:rPr>
          <w:rFonts w:ascii="Arial" w:cs="Arial" w:eastAsia="Arial" w:hAnsi="Arial"/>
          <w:sz w:val="14"/>
          <w:szCs w:val="14"/>
          <w:color w:val="0E1020"/>
        </w:rPr>
        <w:t>The fiscal 2024 amount shown in Column (d) for Mr. Fernandez reflects the one-time retention bonus paid as part of his initial employment as Interim President and Chief Executive Officer, and the fiscal 2024 amounts shown in Column (d) for Messrs. Del Bene and Boville reflect the make-whole, one-time cash sign-on bonuses paid as part of their respective individual offer letters.</w:t>
      </w:r>
    </w:p>
    <w:p>
      <w:pPr>
        <w:spacing w:after="0" w:line="1" w:lineRule="exact"/>
        <w:rPr>
          <w:rFonts w:ascii="Arial" w:cs="Arial" w:eastAsia="Arial" w:hAnsi="Arial"/>
          <w:sz w:val="14"/>
          <w:szCs w:val="14"/>
          <w:color w:val="0E1020"/>
        </w:rPr>
      </w:pPr>
    </w:p>
    <w:p>
      <w:pPr>
        <w:ind w:left="460" w:right="40" w:hanging="312"/>
        <w:spacing w:after="0" w:line="262" w:lineRule="auto"/>
        <w:tabs>
          <w:tab w:leader="none" w:pos="433" w:val="left"/>
        </w:tabs>
        <w:numPr>
          <w:ilvl w:val="0"/>
          <w:numId w:val="86"/>
        </w:numPr>
        <w:rPr>
          <w:rFonts w:ascii="Arial" w:cs="Arial" w:eastAsia="Arial" w:hAnsi="Arial"/>
          <w:sz w:val="14"/>
          <w:szCs w:val="14"/>
          <w:color w:val="0E1020"/>
        </w:rPr>
      </w:pPr>
      <w:r>
        <w:rPr>
          <w:rFonts w:ascii="Arial" w:cs="Arial" w:eastAsia="Arial" w:hAnsi="Arial"/>
          <w:sz w:val="14"/>
          <w:szCs w:val="14"/>
          <w:color w:val="0E1020"/>
        </w:rPr>
        <w:t>The amounts shown in Column (e) reflect the aggregate grant date fair values computed in accordance with FASB ASC Topic 718 for performance-vesting and service-vesting RSUs granted during the fiscal year. Mr. Boville left the Company in fiscal 2026 and his entire fiscal 2026 equity grant was canceled, except for pro rata amounts, per the severance terms of his individual offer letter. Pursuant to SEC rules, we present the amounts excluding the impact of estimated forfeitures. For a discussion of the assumptions made in the valuation of RSUs, reference is made to the section of Notes 1 and 16 to the Company’s consolidated financial statements set forth in the Company’s 2026 Annual Report filed on Form 10-K providing details of the Company’s accounting under FASB ASC Topic 718. A substantial portion of the stock awards granted consisted of PSUs. For all PSUs, the amounts included in Column (e) reflect the value at the grant date based upon the estimated performance during the performance period at 100% of target. The maximum grant date values of the fiscal 2026 stock awards (including service-vesting RSUs, and assuming that PSUs were to have a payout at the maximum of 200% of target) are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45"/>
        </w:trPr>
        <w:tc>
          <w:tcPr>
            <w:tcW w:w="7540" w:type="dxa"/>
            <w:vAlign w:val="bottom"/>
            <w:shd w:val="clear" w:color="auto" w:fill="F6F3F0"/>
          </w:tcPr>
          <w:p>
            <w:pPr>
              <w:spacing w:after="0"/>
              <w:rPr>
                <w:sz w:val="21"/>
                <w:szCs w:val="21"/>
                <w:color w:val="auto"/>
              </w:rPr>
            </w:pPr>
          </w:p>
        </w:tc>
        <w:tc>
          <w:tcPr>
            <w:tcW w:w="2640" w:type="dxa"/>
            <w:vAlign w:val="bottom"/>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Fiscal 2026 Stock Awards</w:t>
            </w:r>
          </w:p>
        </w:tc>
      </w:tr>
      <w:tr>
        <w:trPr>
          <w:trHeight w:val="174"/>
        </w:trPr>
        <w:tc>
          <w:tcPr>
            <w:tcW w:w="7540" w:type="dxa"/>
            <w:vAlign w:val="bottom"/>
            <w:shd w:val="clear" w:color="auto" w:fill="F6F3F0"/>
          </w:tcPr>
          <w:p>
            <w:pPr>
              <w:spacing w:after="0"/>
              <w:rPr>
                <w:sz w:val="15"/>
                <w:szCs w:val="15"/>
                <w:color w:val="auto"/>
              </w:rPr>
            </w:pPr>
          </w:p>
        </w:tc>
        <w:tc>
          <w:tcPr>
            <w:tcW w:w="2640" w:type="dxa"/>
            <w:vAlign w:val="bottom"/>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at Maximum Value</w:t>
            </w:r>
          </w:p>
        </w:tc>
      </w:tr>
      <w:tr>
        <w:trPr>
          <w:trHeight w:val="256"/>
        </w:trPr>
        <w:tc>
          <w:tcPr>
            <w:tcW w:w="7540" w:type="dxa"/>
            <w:vAlign w:val="bottom"/>
            <w:tcBorders>
              <w:bottom w:val="single" w:sz="8" w:color="F6F3F0"/>
            </w:tcBorders>
            <w:shd w:val="clear" w:color="auto" w:fill="F6F3F0"/>
          </w:tcPr>
          <w:p>
            <w:pPr>
              <w:spacing w:after="0"/>
              <w:rPr>
                <w:sz w:val="21"/>
                <w:szCs w:val="21"/>
                <w:color w:val="auto"/>
              </w:rPr>
            </w:pPr>
          </w:p>
        </w:tc>
        <w:tc>
          <w:tcPr>
            <w:tcW w:w="2640" w:type="dxa"/>
            <w:vAlign w:val="bottom"/>
            <w:tcBorders>
              <w:bottom w:val="single" w:sz="8" w:color="F6F3F0"/>
            </w:tcBorders>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w:t>
            </w:r>
          </w:p>
        </w:tc>
      </w:tr>
      <w:tr>
        <w:trPr>
          <w:trHeight w:val="215"/>
        </w:trPr>
        <w:tc>
          <w:tcPr>
            <w:tcW w:w="7540" w:type="dxa"/>
            <w:vAlign w:val="bottom"/>
            <w:tcBorders>
              <w:top w:val="single" w:sz="8" w:color="CFCFD2"/>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Raul J. Fernandez</w:t>
            </w:r>
          </w:p>
        </w:tc>
        <w:tc>
          <w:tcPr>
            <w:tcW w:w="2640" w:type="dxa"/>
            <w:vAlign w:val="bottom"/>
            <w:tcBorders>
              <w:top w:val="single" w:sz="8" w:color="CFCFD2"/>
              <w:bottom w:val="single" w:sz="8" w:color="CFCFD2"/>
            </w:tcBorders>
          </w:tcPr>
          <w:p>
            <w:pPr>
              <w:jc w:val="right"/>
              <w:ind w:right="129"/>
              <w:spacing w:after="0"/>
              <w:rPr>
                <w:sz w:val="20"/>
                <w:szCs w:val="20"/>
                <w:color w:val="auto"/>
              </w:rPr>
            </w:pPr>
            <w:r>
              <w:rPr>
                <w:rFonts w:ascii="Arial" w:cs="Arial" w:eastAsia="Arial" w:hAnsi="Arial"/>
                <w:sz w:val="14"/>
                <w:szCs w:val="14"/>
                <w:color w:val="0E1020"/>
              </w:rPr>
              <w:t>78,652,648</w:t>
            </w:r>
          </w:p>
        </w:tc>
      </w:tr>
      <w:tr>
        <w:trPr>
          <w:trHeight w:val="221"/>
        </w:trPr>
        <w:tc>
          <w:tcPr>
            <w:tcW w:w="75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Robert Del Bene</w:t>
            </w:r>
          </w:p>
        </w:tc>
        <w:tc>
          <w:tcPr>
            <w:tcW w:w="2640" w:type="dxa"/>
            <w:vAlign w:val="bottom"/>
            <w:tcBorders>
              <w:bottom w:val="single" w:sz="8" w:color="CFCFD2"/>
            </w:tcBorders>
          </w:tcPr>
          <w:p>
            <w:pPr>
              <w:jc w:val="right"/>
              <w:ind w:right="129"/>
              <w:spacing w:after="0"/>
              <w:rPr>
                <w:sz w:val="20"/>
                <w:szCs w:val="20"/>
                <w:color w:val="auto"/>
              </w:rPr>
            </w:pPr>
            <w:r>
              <w:rPr>
                <w:rFonts w:ascii="Arial" w:cs="Arial" w:eastAsia="Arial" w:hAnsi="Arial"/>
                <w:sz w:val="14"/>
                <w:szCs w:val="14"/>
                <w:color w:val="0E1020"/>
              </w:rPr>
              <w:t>36,196,009</w:t>
            </w:r>
          </w:p>
        </w:tc>
      </w:tr>
      <w:tr>
        <w:trPr>
          <w:trHeight w:val="221"/>
        </w:trPr>
        <w:tc>
          <w:tcPr>
            <w:tcW w:w="75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Christopher Drumgoole</w:t>
            </w:r>
          </w:p>
        </w:tc>
        <w:tc>
          <w:tcPr>
            <w:tcW w:w="2640" w:type="dxa"/>
            <w:vAlign w:val="bottom"/>
            <w:tcBorders>
              <w:bottom w:val="single" w:sz="8" w:color="CFCFD2"/>
            </w:tcBorders>
          </w:tcPr>
          <w:p>
            <w:pPr>
              <w:jc w:val="right"/>
              <w:ind w:right="129"/>
              <w:spacing w:after="0"/>
              <w:rPr>
                <w:sz w:val="20"/>
                <w:szCs w:val="20"/>
                <w:color w:val="auto"/>
              </w:rPr>
            </w:pPr>
            <w:r>
              <w:rPr>
                <w:rFonts w:ascii="Arial" w:cs="Arial" w:eastAsia="Arial" w:hAnsi="Arial"/>
                <w:sz w:val="14"/>
                <w:szCs w:val="14"/>
                <w:color w:val="0E1020"/>
              </w:rPr>
              <w:t>9,221,772</w:t>
            </w:r>
          </w:p>
        </w:tc>
      </w:tr>
      <w:tr>
        <w:trPr>
          <w:trHeight w:val="221"/>
        </w:trPr>
        <w:tc>
          <w:tcPr>
            <w:tcW w:w="75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Raymond A. August</w:t>
            </w:r>
          </w:p>
        </w:tc>
        <w:tc>
          <w:tcPr>
            <w:tcW w:w="2640" w:type="dxa"/>
            <w:vAlign w:val="bottom"/>
            <w:tcBorders>
              <w:bottom w:val="single" w:sz="8" w:color="CFCFD2"/>
            </w:tcBorders>
          </w:tcPr>
          <w:p>
            <w:pPr>
              <w:jc w:val="right"/>
              <w:ind w:right="129"/>
              <w:spacing w:after="0"/>
              <w:rPr>
                <w:sz w:val="20"/>
                <w:szCs w:val="20"/>
                <w:color w:val="auto"/>
              </w:rPr>
            </w:pPr>
            <w:r>
              <w:rPr>
                <w:rFonts w:ascii="Arial" w:cs="Arial" w:eastAsia="Arial" w:hAnsi="Arial"/>
                <w:sz w:val="14"/>
                <w:szCs w:val="14"/>
                <w:color w:val="0E1020"/>
              </w:rPr>
              <w:t>6,258,892</w:t>
            </w:r>
          </w:p>
        </w:tc>
      </w:tr>
      <w:tr>
        <w:trPr>
          <w:trHeight w:val="221"/>
        </w:trPr>
        <w:tc>
          <w:tcPr>
            <w:tcW w:w="75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Matthew K. Fawcett</w:t>
            </w:r>
          </w:p>
        </w:tc>
        <w:tc>
          <w:tcPr>
            <w:tcW w:w="2640" w:type="dxa"/>
            <w:vAlign w:val="bottom"/>
            <w:tcBorders>
              <w:bottom w:val="single" w:sz="8" w:color="CFCFD2"/>
            </w:tcBorders>
          </w:tcPr>
          <w:p>
            <w:pPr>
              <w:jc w:val="right"/>
              <w:ind w:right="129"/>
              <w:spacing w:after="0"/>
              <w:rPr>
                <w:sz w:val="20"/>
                <w:szCs w:val="20"/>
                <w:color w:val="auto"/>
              </w:rPr>
            </w:pPr>
            <w:r>
              <w:rPr>
                <w:rFonts w:ascii="Arial" w:cs="Arial" w:eastAsia="Arial" w:hAnsi="Arial"/>
                <w:sz w:val="14"/>
                <w:szCs w:val="14"/>
                <w:color w:val="0E1020"/>
              </w:rPr>
              <w:t>5,594,084</w:t>
            </w:r>
          </w:p>
        </w:tc>
      </w:tr>
      <w:tr>
        <w:trPr>
          <w:trHeight w:val="221"/>
        </w:trPr>
        <w:tc>
          <w:tcPr>
            <w:tcW w:w="754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Howard Boville</w:t>
            </w:r>
          </w:p>
        </w:tc>
        <w:tc>
          <w:tcPr>
            <w:tcW w:w="2640" w:type="dxa"/>
            <w:vAlign w:val="bottom"/>
            <w:tcBorders>
              <w:bottom w:val="single" w:sz="8" w:color="CFCFD2"/>
            </w:tcBorders>
          </w:tcPr>
          <w:p>
            <w:pPr>
              <w:jc w:val="right"/>
              <w:ind w:right="129"/>
              <w:spacing w:after="0"/>
              <w:rPr>
                <w:sz w:val="20"/>
                <w:szCs w:val="20"/>
                <w:color w:val="auto"/>
              </w:rPr>
            </w:pPr>
            <w:r>
              <w:rPr>
                <w:rFonts w:ascii="Arial" w:cs="Arial" w:eastAsia="Arial" w:hAnsi="Arial"/>
                <w:sz w:val="14"/>
                <w:szCs w:val="14"/>
                <w:color w:val="0E1020"/>
              </w:rPr>
              <w:t>12,054,610</w:t>
            </w:r>
          </w:p>
        </w:tc>
      </w:tr>
    </w:tbl>
    <w:p>
      <w:pPr>
        <w:spacing w:after="0" w:line="192" w:lineRule="exact"/>
        <w:rPr>
          <w:sz w:val="20"/>
          <w:szCs w:val="20"/>
          <w:color w:val="auto"/>
        </w:rPr>
      </w:pPr>
    </w:p>
    <w:p>
      <w:pPr>
        <w:ind w:left="440" w:hanging="292"/>
        <w:spacing w:after="0"/>
        <w:tabs>
          <w:tab w:leader="none" w:pos="440" w:val="left"/>
        </w:tabs>
        <w:numPr>
          <w:ilvl w:val="0"/>
          <w:numId w:val="87"/>
        </w:numPr>
        <w:rPr>
          <w:rFonts w:ascii="Arial" w:cs="Arial" w:eastAsia="Arial" w:hAnsi="Arial"/>
          <w:sz w:val="14"/>
          <w:szCs w:val="14"/>
          <w:color w:val="0E1020"/>
        </w:rPr>
      </w:pPr>
      <w:r>
        <w:rPr>
          <w:rFonts w:ascii="Arial" w:cs="Arial" w:eastAsia="Arial" w:hAnsi="Arial"/>
          <w:sz w:val="14"/>
          <w:szCs w:val="14"/>
          <w:color w:val="0E1020"/>
        </w:rPr>
        <w:t>No stock option awards were granted to the NEOs in fiscal years 2024-2026.</w:t>
      </w:r>
    </w:p>
    <w:p>
      <w:pPr>
        <w:spacing w:after="0" w:line="66" w:lineRule="exact"/>
        <w:rPr>
          <w:rFonts w:ascii="Arial" w:cs="Arial" w:eastAsia="Arial" w:hAnsi="Arial"/>
          <w:sz w:val="14"/>
          <w:szCs w:val="14"/>
          <w:color w:val="0E1020"/>
        </w:rPr>
      </w:pPr>
    </w:p>
    <w:p>
      <w:pPr>
        <w:ind w:left="460" w:right="20" w:hanging="312"/>
        <w:spacing w:after="0" w:line="267" w:lineRule="auto"/>
        <w:tabs>
          <w:tab w:leader="none" w:pos="433" w:val="left"/>
        </w:tabs>
        <w:numPr>
          <w:ilvl w:val="0"/>
          <w:numId w:val="87"/>
        </w:numPr>
        <w:rPr>
          <w:rFonts w:ascii="Arial" w:cs="Arial" w:eastAsia="Arial" w:hAnsi="Arial"/>
          <w:sz w:val="14"/>
          <w:szCs w:val="14"/>
          <w:color w:val="0E1020"/>
        </w:rPr>
      </w:pPr>
      <w:r>
        <w:rPr>
          <w:rFonts w:ascii="Arial" w:cs="Arial" w:eastAsia="Arial" w:hAnsi="Arial"/>
          <w:sz w:val="14"/>
          <w:szCs w:val="14"/>
          <w:color w:val="0E1020"/>
        </w:rPr>
        <w:t>The amounts shown in Column (g) reflect amounts earned during the fiscal year under the annual cash incentive plan, based on the achievement of corporate and/or individual performance objectives for all NEOs, and, for Messrs. Drumgoole and August, also based on the achievement of their respective business offering performance objectives. Mr. Boville left the Company in fiscal 2026 and his entire fiscal 2026 annual cash incentive opportunity was canceled. See “Compensation Discussion and Analysis — Components of Our Compensation Program — Annual Cash Incentive Plan” for additional details regarding the annual performance bonus program.</w:t>
      </w:r>
    </w:p>
    <w:p>
      <w:pPr>
        <w:spacing w:after="0" w:line="20" w:lineRule="exact"/>
        <w:rPr>
          <w:rFonts w:ascii="Arial" w:cs="Arial" w:eastAsia="Arial" w:hAnsi="Arial"/>
          <w:sz w:val="14"/>
          <w:szCs w:val="14"/>
          <w:color w:val="0E1020"/>
        </w:rPr>
      </w:pPr>
    </w:p>
    <w:p>
      <w:pPr>
        <w:ind w:left="440" w:hanging="292"/>
        <w:spacing w:after="0"/>
        <w:tabs>
          <w:tab w:leader="none" w:pos="440" w:val="left"/>
        </w:tabs>
        <w:numPr>
          <w:ilvl w:val="0"/>
          <w:numId w:val="87"/>
        </w:numPr>
        <w:rPr>
          <w:rFonts w:ascii="Arial" w:cs="Arial" w:eastAsia="Arial" w:hAnsi="Arial"/>
          <w:sz w:val="14"/>
          <w:szCs w:val="14"/>
          <w:color w:val="0E1020"/>
        </w:rPr>
      </w:pPr>
      <w:r>
        <w:rPr>
          <w:rFonts w:ascii="Arial" w:cs="Arial" w:eastAsia="Arial" w:hAnsi="Arial"/>
          <w:sz w:val="14"/>
          <w:szCs w:val="14"/>
          <w:color w:val="0E1020"/>
        </w:rPr>
        <w:t>No NEO received above market or preferential earnings from the Deferred Compensation Plan for any year presented in the table.</w:t>
      </w:r>
    </w:p>
    <w:p>
      <w:pPr>
        <w:spacing w:after="0" w:line="66" w:lineRule="exact"/>
        <w:rPr>
          <w:rFonts w:ascii="Arial" w:cs="Arial" w:eastAsia="Arial" w:hAnsi="Arial"/>
          <w:sz w:val="14"/>
          <w:szCs w:val="14"/>
          <w:color w:val="0E1020"/>
        </w:rPr>
      </w:pPr>
    </w:p>
    <w:p>
      <w:pPr>
        <w:ind w:left="460" w:hanging="312"/>
        <w:spacing w:after="0" w:line="260" w:lineRule="auto"/>
        <w:tabs>
          <w:tab w:leader="none" w:pos="447" w:val="left"/>
        </w:tabs>
        <w:numPr>
          <w:ilvl w:val="0"/>
          <w:numId w:val="87"/>
        </w:numPr>
        <w:rPr>
          <w:rFonts w:ascii="Arial" w:cs="Arial" w:eastAsia="Arial" w:hAnsi="Arial"/>
          <w:sz w:val="14"/>
          <w:szCs w:val="14"/>
          <w:color w:val="0E1020"/>
        </w:rPr>
      </w:pPr>
      <w:r>
        <w:rPr>
          <w:rFonts w:ascii="Arial" w:cs="Arial" w:eastAsia="Arial" w:hAnsi="Arial"/>
          <w:sz w:val="14"/>
          <w:szCs w:val="14"/>
          <w:color w:val="0E1020"/>
        </w:rPr>
        <w:t>Column (i) includes the total dollar amount of all other compensation, perquisites and other property paid to the NEOs. During fiscal 2026, DXC offered the following perquisites and other personal benefits, or property to NEOs, except as otherwise indicated: personal use of DXC aircraft, medical screening, financial planning, executive concierge life insurance premiums, executive security protection, executive concierge medical premiums, cash severance benefits and company-subsidized COBRA severance health benefits. In addition, DXC made matching contributions to DXC’s broad-based 401(k) defined contribution plan on behalf of the NEOs. DXC also paid premiums for life insurance policies for the benefit of the NEOs, none of whom has or will receive, or has been allocated, an interest in any cash surrender value under these policies. The incremental costs of each perquisite representing the greater of $25,000 or 10% of the total amount of perquisites, and the amount of matching contributions to the defined contribution plan and life insurance premiums paid for each NEO in fiscal 2026, are shown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5500" w:val="left"/>
          <w:tab w:leader="none" w:pos="976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85</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137795</wp:posOffset>
            </wp:positionV>
            <wp:extent cx="715899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224" w:right="35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3080" w:type="dxa"/>
            <w:vAlign w:val="bottom"/>
            <w:gridSpan w:val="2"/>
          </w:tcPr>
          <w:p>
            <w:pPr>
              <w:spacing w:after="0"/>
              <w:rPr>
                <w:sz w:val="20"/>
                <w:szCs w:val="20"/>
                <w:color w:val="auto"/>
              </w:rPr>
            </w:pPr>
            <w:r>
              <w:rPr>
                <w:rFonts w:ascii="Arial" w:cs="Arial" w:eastAsia="Arial" w:hAnsi="Arial"/>
                <w:sz w:val="14"/>
                <w:szCs w:val="14"/>
                <w:color w:val="0E1020"/>
              </w:rPr>
              <w:t>Executive Compensation Tables</w:t>
            </w:r>
          </w:p>
        </w:tc>
        <w:tc>
          <w:tcPr>
            <w:tcW w:w="1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w w:val="97"/>
              </w:rPr>
              <w:t>Table of Contents</w:t>
            </w:r>
          </w:p>
        </w:tc>
      </w:tr>
      <w:tr>
        <w:trPr>
          <w:trHeight w:val="664"/>
        </w:trPr>
        <w:tc>
          <w:tcPr>
            <w:tcW w:w="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2"/>
        </w:trPr>
        <w:tc>
          <w:tcPr>
            <w:tcW w:w="460" w:type="dxa"/>
            <w:vAlign w:val="bottom"/>
          </w:tcPr>
          <w:p>
            <w:pPr>
              <w:spacing w:after="0"/>
              <w:rPr>
                <w:sz w:val="20"/>
                <w:szCs w:val="20"/>
                <w:color w:val="auto"/>
              </w:rPr>
            </w:pPr>
          </w:p>
        </w:tc>
        <w:tc>
          <w:tcPr>
            <w:tcW w:w="2620" w:type="dxa"/>
            <w:vAlign w:val="bottom"/>
            <w:shd w:val="clear" w:color="auto" w:fill="F6F3F0"/>
          </w:tcPr>
          <w:p>
            <w:pPr>
              <w:spacing w:after="0"/>
              <w:rPr>
                <w:sz w:val="20"/>
                <w:szCs w:val="20"/>
                <w:color w:val="auto"/>
              </w:rPr>
            </w:pPr>
          </w:p>
        </w:tc>
        <w:tc>
          <w:tcPr>
            <w:tcW w:w="14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Personal Use</w:t>
            </w:r>
          </w:p>
        </w:tc>
        <w:tc>
          <w:tcPr>
            <w:tcW w:w="1520" w:type="dxa"/>
            <w:vAlign w:val="bottom"/>
            <w:shd w:val="clear" w:color="auto" w:fill="F6F3F0"/>
          </w:tcPr>
          <w:p>
            <w:pPr>
              <w:spacing w:after="0"/>
              <w:rPr>
                <w:sz w:val="20"/>
                <w:szCs w:val="20"/>
                <w:color w:val="auto"/>
              </w:rPr>
            </w:pPr>
          </w:p>
        </w:tc>
        <w:tc>
          <w:tcPr>
            <w:tcW w:w="1540" w:type="dxa"/>
            <w:vAlign w:val="bottom"/>
            <w:shd w:val="clear" w:color="auto" w:fill="F6F3F0"/>
          </w:tcPr>
          <w:p>
            <w:pPr>
              <w:spacing w:after="0"/>
              <w:rPr>
                <w:sz w:val="20"/>
                <w:szCs w:val="20"/>
                <w:color w:val="auto"/>
              </w:rPr>
            </w:pPr>
          </w:p>
        </w:tc>
        <w:tc>
          <w:tcPr>
            <w:tcW w:w="1580" w:type="dxa"/>
            <w:vAlign w:val="bottom"/>
            <w:shd w:val="clear" w:color="auto" w:fill="F6F3F0"/>
          </w:tcPr>
          <w:p>
            <w:pPr>
              <w:spacing w:after="0"/>
              <w:rPr>
                <w:sz w:val="20"/>
                <w:szCs w:val="20"/>
                <w:color w:val="auto"/>
              </w:rPr>
            </w:pPr>
          </w:p>
        </w:tc>
        <w:tc>
          <w:tcPr>
            <w:tcW w:w="900" w:type="dxa"/>
            <w:vAlign w:val="bottom"/>
            <w:shd w:val="clear" w:color="auto" w:fill="F6F3F0"/>
          </w:tcPr>
          <w:p>
            <w:pPr>
              <w:spacing w:after="0"/>
              <w:rPr>
                <w:sz w:val="20"/>
                <w:szCs w:val="20"/>
                <w:color w:val="auto"/>
              </w:rPr>
            </w:pPr>
          </w:p>
        </w:tc>
        <w:tc>
          <w:tcPr>
            <w:tcW w:w="540" w:type="dxa"/>
            <w:vAlign w:val="bottom"/>
            <w:shd w:val="clear" w:color="auto" w:fill="F6F3F0"/>
          </w:tcPr>
          <w:p>
            <w:pPr>
              <w:spacing w:after="0"/>
              <w:rPr>
                <w:sz w:val="20"/>
                <w:szCs w:val="20"/>
                <w:color w:val="auto"/>
              </w:rPr>
            </w:pPr>
          </w:p>
        </w:tc>
        <w:tc>
          <w:tcPr>
            <w:tcW w:w="560" w:type="dxa"/>
            <w:vAlign w:val="bottom"/>
          </w:tcPr>
          <w:p>
            <w:pPr>
              <w:spacing w:after="0"/>
              <w:rPr>
                <w:sz w:val="20"/>
                <w:szCs w:val="20"/>
                <w:color w:val="auto"/>
              </w:rPr>
            </w:pPr>
          </w:p>
        </w:tc>
      </w:tr>
      <w:tr>
        <w:trPr>
          <w:trHeight w:val="174"/>
        </w:trPr>
        <w:tc>
          <w:tcPr>
            <w:tcW w:w="460" w:type="dxa"/>
            <w:vAlign w:val="bottom"/>
          </w:tcPr>
          <w:p>
            <w:pPr>
              <w:spacing w:after="0"/>
              <w:rPr>
                <w:sz w:val="15"/>
                <w:szCs w:val="15"/>
                <w:color w:val="auto"/>
              </w:rPr>
            </w:pPr>
          </w:p>
        </w:tc>
        <w:tc>
          <w:tcPr>
            <w:tcW w:w="2620" w:type="dxa"/>
            <w:vAlign w:val="bottom"/>
            <w:shd w:val="clear" w:color="auto" w:fill="F6F3F0"/>
          </w:tcPr>
          <w:p>
            <w:pPr>
              <w:spacing w:after="0"/>
              <w:rPr>
                <w:sz w:val="15"/>
                <w:szCs w:val="15"/>
                <w:color w:val="auto"/>
              </w:rPr>
            </w:pPr>
          </w:p>
        </w:tc>
        <w:tc>
          <w:tcPr>
            <w:tcW w:w="14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of Corporate</w:t>
            </w:r>
          </w:p>
        </w:tc>
        <w:tc>
          <w:tcPr>
            <w:tcW w:w="152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401(k) Plan Matching</w:t>
            </w:r>
          </w:p>
        </w:tc>
        <w:tc>
          <w:tcPr>
            <w:tcW w:w="1540" w:type="dxa"/>
            <w:vAlign w:val="bottom"/>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Basic Life Insurance</w:t>
            </w:r>
          </w:p>
        </w:tc>
        <w:tc>
          <w:tcPr>
            <w:tcW w:w="1580" w:type="dxa"/>
            <w:vAlign w:val="bottom"/>
            <w:shd w:val="clear" w:color="auto" w:fill="F6F3F0"/>
          </w:tcPr>
          <w:p>
            <w:pPr>
              <w:jc w:val="right"/>
              <w:ind w:right="129"/>
              <w:spacing w:after="0"/>
              <w:rPr>
                <w:sz w:val="20"/>
                <w:szCs w:val="20"/>
                <w:color w:val="auto"/>
              </w:rPr>
            </w:pPr>
            <w:r>
              <w:rPr>
                <w:rFonts w:ascii="Arial" w:cs="Arial" w:eastAsia="Arial" w:hAnsi="Arial"/>
                <w:sz w:val="14"/>
                <w:szCs w:val="14"/>
                <w:b w:val="1"/>
                <w:bCs w:val="1"/>
                <w:color w:val="0E1020"/>
              </w:rPr>
              <w:t>Executive Security</w:t>
            </w:r>
          </w:p>
        </w:tc>
        <w:tc>
          <w:tcPr>
            <w:tcW w:w="1440" w:type="dxa"/>
            <w:vAlign w:val="bottom"/>
            <w:gridSpan w:val="2"/>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Cash Severance</w:t>
            </w:r>
          </w:p>
        </w:tc>
        <w:tc>
          <w:tcPr>
            <w:tcW w:w="560" w:type="dxa"/>
            <w:vAlign w:val="bottom"/>
          </w:tcPr>
          <w:p>
            <w:pPr>
              <w:spacing w:after="0"/>
              <w:rPr>
                <w:sz w:val="15"/>
                <w:szCs w:val="15"/>
                <w:color w:val="auto"/>
              </w:rPr>
            </w:pPr>
          </w:p>
        </w:tc>
      </w:tr>
      <w:tr>
        <w:trPr>
          <w:trHeight w:val="174"/>
        </w:trPr>
        <w:tc>
          <w:tcPr>
            <w:tcW w:w="460" w:type="dxa"/>
            <w:vAlign w:val="bottom"/>
          </w:tcPr>
          <w:p>
            <w:pPr>
              <w:spacing w:after="0"/>
              <w:rPr>
                <w:sz w:val="15"/>
                <w:szCs w:val="15"/>
                <w:color w:val="auto"/>
              </w:rPr>
            </w:pPr>
          </w:p>
        </w:tc>
        <w:tc>
          <w:tcPr>
            <w:tcW w:w="2620" w:type="dxa"/>
            <w:vAlign w:val="bottom"/>
            <w:shd w:val="clear" w:color="auto" w:fill="F6F3F0"/>
          </w:tcPr>
          <w:p>
            <w:pPr>
              <w:spacing w:after="0"/>
              <w:rPr>
                <w:sz w:val="15"/>
                <w:szCs w:val="15"/>
                <w:color w:val="auto"/>
              </w:rPr>
            </w:pPr>
          </w:p>
        </w:tc>
        <w:tc>
          <w:tcPr>
            <w:tcW w:w="14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Aircraft</w:t>
            </w:r>
            <w:r>
              <w:rPr>
                <w:rFonts w:ascii="Arial" w:cs="Arial" w:eastAsia="Arial" w:hAnsi="Arial"/>
                <w:sz w:val="9"/>
                <w:szCs w:val="9"/>
                <w:b w:val="1"/>
                <w:bCs w:val="1"/>
                <w:color w:val="0E1020"/>
              </w:rPr>
              <w:t>(a)</w:t>
            </w:r>
          </w:p>
        </w:tc>
        <w:tc>
          <w:tcPr>
            <w:tcW w:w="152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Contribution</w:t>
            </w:r>
            <w:r>
              <w:rPr>
                <w:rFonts w:ascii="Arial" w:cs="Arial" w:eastAsia="Arial" w:hAnsi="Arial"/>
                <w:sz w:val="9"/>
                <w:szCs w:val="9"/>
                <w:b w:val="1"/>
                <w:bCs w:val="1"/>
                <w:color w:val="0E1020"/>
              </w:rPr>
              <w:t>(b)</w:t>
            </w:r>
          </w:p>
        </w:tc>
        <w:tc>
          <w:tcPr>
            <w:tcW w:w="1540" w:type="dxa"/>
            <w:vAlign w:val="bottom"/>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Premiums</w:t>
            </w:r>
          </w:p>
        </w:tc>
        <w:tc>
          <w:tcPr>
            <w:tcW w:w="1580" w:type="dxa"/>
            <w:vAlign w:val="bottom"/>
            <w:shd w:val="clear" w:color="auto" w:fill="F6F3F0"/>
          </w:tcPr>
          <w:p>
            <w:pPr>
              <w:jc w:val="right"/>
              <w:ind w:right="129"/>
              <w:spacing w:after="0"/>
              <w:rPr>
                <w:sz w:val="20"/>
                <w:szCs w:val="20"/>
                <w:color w:val="auto"/>
              </w:rPr>
            </w:pPr>
            <w:r>
              <w:rPr>
                <w:rFonts w:ascii="Arial" w:cs="Arial" w:eastAsia="Arial" w:hAnsi="Arial"/>
                <w:sz w:val="14"/>
                <w:szCs w:val="14"/>
                <w:b w:val="1"/>
                <w:bCs w:val="1"/>
                <w:color w:val="0E1020"/>
              </w:rPr>
              <w:t>Protection</w:t>
            </w:r>
            <w:r>
              <w:rPr>
                <w:rFonts w:ascii="Arial" w:cs="Arial" w:eastAsia="Arial" w:hAnsi="Arial"/>
                <w:sz w:val="9"/>
                <w:szCs w:val="9"/>
                <w:b w:val="1"/>
                <w:bCs w:val="1"/>
                <w:color w:val="0E1020"/>
              </w:rPr>
              <w:t>(c)</w:t>
            </w:r>
          </w:p>
        </w:tc>
        <w:tc>
          <w:tcPr>
            <w:tcW w:w="1440" w:type="dxa"/>
            <w:vAlign w:val="bottom"/>
            <w:gridSpan w:val="2"/>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Benefits</w:t>
            </w:r>
            <w:r>
              <w:rPr>
                <w:rFonts w:ascii="Arial" w:cs="Arial" w:eastAsia="Arial" w:hAnsi="Arial"/>
                <w:sz w:val="9"/>
                <w:szCs w:val="9"/>
                <w:b w:val="1"/>
                <w:bCs w:val="1"/>
                <w:color w:val="0E1020"/>
              </w:rPr>
              <w:t>(d)</w:t>
            </w:r>
          </w:p>
        </w:tc>
        <w:tc>
          <w:tcPr>
            <w:tcW w:w="560" w:type="dxa"/>
            <w:vAlign w:val="bottom"/>
          </w:tcPr>
          <w:p>
            <w:pPr>
              <w:spacing w:after="0"/>
              <w:rPr>
                <w:sz w:val="15"/>
                <w:szCs w:val="15"/>
                <w:color w:val="auto"/>
              </w:rPr>
            </w:pPr>
          </w:p>
        </w:tc>
      </w:tr>
      <w:tr>
        <w:trPr>
          <w:trHeight w:val="195"/>
        </w:trPr>
        <w:tc>
          <w:tcPr>
            <w:tcW w:w="460" w:type="dxa"/>
            <w:vAlign w:val="bottom"/>
          </w:tcPr>
          <w:p>
            <w:pPr>
              <w:spacing w:after="0"/>
              <w:rPr>
                <w:sz w:val="16"/>
                <w:szCs w:val="16"/>
                <w:color w:val="auto"/>
              </w:rPr>
            </w:pPr>
          </w:p>
        </w:tc>
        <w:tc>
          <w:tcPr>
            <w:tcW w:w="2620" w:type="dxa"/>
            <w:vAlign w:val="bottom"/>
            <w:shd w:val="clear" w:color="auto" w:fill="F6F3F0"/>
          </w:tcPr>
          <w:p>
            <w:pPr>
              <w:spacing w:after="0"/>
              <w:rPr>
                <w:sz w:val="16"/>
                <w:szCs w:val="16"/>
                <w:color w:val="auto"/>
              </w:rPr>
            </w:pPr>
          </w:p>
        </w:tc>
        <w:tc>
          <w:tcPr>
            <w:tcW w:w="14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152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1540" w:type="dxa"/>
            <w:vAlign w:val="bottom"/>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w:t>
            </w:r>
          </w:p>
        </w:tc>
        <w:tc>
          <w:tcPr>
            <w:tcW w:w="1580" w:type="dxa"/>
            <w:vAlign w:val="bottom"/>
            <w:shd w:val="clear" w:color="auto" w:fill="F6F3F0"/>
          </w:tcPr>
          <w:p>
            <w:pPr>
              <w:jc w:val="right"/>
              <w:ind w:right="129"/>
              <w:spacing w:after="0"/>
              <w:rPr>
                <w:sz w:val="20"/>
                <w:szCs w:val="20"/>
                <w:color w:val="auto"/>
              </w:rPr>
            </w:pPr>
            <w:r>
              <w:rPr>
                <w:rFonts w:ascii="Arial" w:cs="Arial" w:eastAsia="Arial" w:hAnsi="Arial"/>
                <w:sz w:val="14"/>
                <w:szCs w:val="14"/>
                <w:b w:val="1"/>
                <w:bCs w:val="1"/>
                <w:color w:val="0E1020"/>
              </w:rPr>
              <w:t>($)</w:t>
            </w:r>
          </w:p>
        </w:tc>
        <w:tc>
          <w:tcPr>
            <w:tcW w:w="1440" w:type="dxa"/>
            <w:vAlign w:val="bottom"/>
            <w:gridSpan w:val="2"/>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w:t>
            </w:r>
          </w:p>
        </w:tc>
        <w:tc>
          <w:tcPr>
            <w:tcW w:w="560" w:type="dxa"/>
            <w:vAlign w:val="bottom"/>
          </w:tcPr>
          <w:p>
            <w:pPr>
              <w:spacing w:after="0"/>
              <w:rPr>
                <w:sz w:val="16"/>
                <w:szCs w:val="16"/>
                <w:color w:val="auto"/>
              </w:rPr>
            </w:pPr>
          </w:p>
        </w:tc>
      </w:tr>
      <w:tr>
        <w:trPr>
          <w:trHeight w:val="69"/>
        </w:trPr>
        <w:tc>
          <w:tcPr>
            <w:tcW w:w="460" w:type="dxa"/>
            <w:vAlign w:val="bottom"/>
          </w:tcPr>
          <w:p>
            <w:pPr>
              <w:spacing w:after="0"/>
              <w:rPr>
                <w:sz w:val="5"/>
                <w:szCs w:val="5"/>
                <w:color w:val="auto"/>
              </w:rPr>
            </w:pPr>
          </w:p>
        </w:tc>
        <w:tc>
          <w:tcPr>
            <w:tcW w:w="2620" w:type="dxa"/>
            <w:vAlign w:val="bottom"/>
            <w:tcBorders>
              <w:bottom w:val="single" w:sz="8" w:color="CFCFD2"/>
            </w:tcBorders>
            <w:shd w:val="clear" w:color="auto" w:fill="F6F3F0"/>
          </w:tcPr>
          <w:p>
            <w:pPr>
              <w:spacing w:after="0"/>
              <w:rPr>
                <w:sz w:val="5"/>
                <w:szCs w:val="5"/>
                <w:color w:val="auto"/>
              </w:rPr>
            </w:pPr>
          </w:p>
        </w:tc>
        <w:tc>
          <w:tcPr>
            <w:tcW w:w="1480" w:type="dxa"/>
            <w:vAlign w:val="bottom"/>
            <w:tcBorders>
              <w:bottom w:val="single" w:sz="8" w:color="CFCFD2"/>
            </w:tcBorders>
            <w:shd w:val="clear" w:color="auto" w:fill="F6F3F0"/>
          </w:tcPr>
          <w:p>
            <w:pPr>
              <w:spacing w:after="0"/>
              <w:rPr>
                <w:sz w:val="5"/>
                <w:szCs w:val="5"/>
                <w:color w:val="auto"/>
              </w:rPr>
            </w:pPr>
          </w:p>
        </w:tc>
        <w:tc>
          <w:tcPr>
            <w:tcW w:w="1520" w:type="dxa"/>
            <w:vAlign w:val="bottom"/>
            <w:tcBorders>
              <w:bottom w:val="single" w:sz="8" w:color="CFCFD2"/>
            </w:tcBorders>
            <w:shd w:val="clear" w:color="auto" w:fill="F6F3F0"/>
          </w:tcPr>
          <w:p>
            <w:pPr>
              <w:spacing w:after="0"/>
              <w:rPr>
                <w:sz w:val="5"/>
                <w:szCs w:val="5"/>
                <w:color w:val="auto"/>
              </w:rPr>
            </w:pPr>
          </w:p>
        </w:tc>
        <w:tc>
          <w:tcPr>
            <w:tcW w:w="1540" w:type="dxa"/>
            <w:vAlign w:val="bottom"/>
            <w:tcBorders>
              <w:bottom w:val="single" w:sz="8" w:color="CFCFD2"/>
            </w:tcBorders>
            <w:shd w:val="clear" w:color="auto" w:fill="F6F3F0"/>
          </w:tcPr>
          <w:p>
            <w:pPr>
              <w:spacing w:after="0"/>
              <w:rPr>
                <w:sz w:val="5"/>
                <w:szCs w:val="5"/>
                <w:color w:val="auto"/>
              </w:rPr>
            </w:pPr>
          </w:p>
        </w:tc>
        <w:tc>
          <w:tcPr>
            <w:tcW w:w="1580" w:type="dxa"/>
            <w:vAlign w:val="bottom"/>
            <w:tcBorders>
              <w:bottom w:val="single" w:sz="8" w:color="CFCFD2"/>
            </w:tcBorders>
            <w:shd w:val="clear" w:color="auto" w:fill="F6F3F0"/>
          </w:tcPr>
          <w:p>
            <w:pPr>
              <w:spacing w:after="0"/>
              <w:rPr>
                <w:sz w:val="5"/>
                <w:szCs w:val="5"/>
                <w:color w:val="auto"/>
              </w:rPr>
            </w:pPr>
          </w:p>
        </w:tc>
        <w:tc>
          <w:tcPr>
            <w:tcW w:w="900" w:type="dxa"/>
            <w:vAlign w:val="bottom"/>
            <w:tcBorders>
              <w:bottom w:val="single" w:sz="8" w:color="CFCFD2"/>
            </w:tcBorders>
            <w:shd w:val="clear" w:color="auto" w:fill="F6F3F0"/>
          </w:tcPr>
          <w:p>
            <w:pPr>
              <w:spacing w:after="0"/>
              <w:rPr>
                <w:sz w:val="5"/>
                <w:szCs w:val="5"/>
                <w:color w:val="auto"/>
              </w:rPr>
            </w:pPr>
          </w:p>
        </w:tc>
        <w:tc>
          <w:tcPr>
            <w:tcW w:w="540" w:type="dxa"/>
            <w:vAlign w:val="bottom"/>
            <w:tcBorders>
              <w:bottom w:val="single" w:sz="8" w:color="CFCFD2"/>
            </w:tcBorders>
            <w:shd w:val="clear" w:color="auto" w:fill="F6F3F0"/>
          </w:tcPr>
          <w:p>
            <w:pPr>
              <w:spacing w:after="0"/>
              <w:rPr>
                <w:sz w:val="5"/>
                <w:szCs w:val="5"/>
                <w:color w:val="auto"/>
              </w:rPr>
            </w:pPr>
          </w:p>
        </w:tc>
        <w:tc>
          <w:tcPr>
            <w:tcW w:w="560" w:type="dxa"/>
            <w:vAlign w:val="bottom"/>
          </w:tcPr>
          <w:p>
            <w:pPr>
              <w:spacing w:after="0"/>
              <w:rPr>
                <w:sz w:val="5"/>
                <w:szCs w:val="5"/>
                <w:color w:val="auto"/>
              </w:rPr>
            </w:pPr>
          </w:p>
        </w:tc>
      </w:tr>
      <w:tr>
        <w:trPr>
          <w:trHeight w:val="215"/>
        </w:trPr>
        <w:tc>
          <w:tcPr>
            <w:tcW w:w="460" w:type="dxa"/>
            <w:vAlign w:val="bottom"/>
          </w:tcPr>
          <w:p>
            <w:pPr>
              <w:spacing w:after="0"/>
              <w:rPr>
                <w:sz w:val="18"/>
                <w:szCs w:val="18"/>
                <w:color w:val="auto"/>
              </w:rPr>
            </w:pPr>
          </w:p>
        </w:tc>
        <w:tc>
          <w:tcPr>
            <w:tcW w:w="262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Raul J. Fernandez</w:t>
            </w:r>
          </w:p>
        </w:tc>
        <w:tc>
          <w:tcPr>
            <w:tcW w:w="148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583,125</w:t>
            </w:r>
          </w:p>
        </w:tc>
        <w:tc>
          <w:tcPr>
            <w:tcW w:w="1520" w:type="dxa"/>
            <w:vAlign w:val="bottom"/>
            <w:tcBorders>
              <w:bottom w:val="single" w:sz="8" w:color="CFCFD2"/>
            </w:tcBorders>
          </w:tcPr>
          <w:p>
            <w:pPr>
              <w:jc w:val="right"/>
              <w:ind w:right="29"/>
              <w:spacing w:after="0"/>
              <w:rPr>
                <w:sz w:val="20"/>
                <w:szCs w:val="20"/>
                <w:color w:val="auto"/>
              </w:rPr>
            </w:pPr>
            <w:r>
              <w:rPr>
                <w:rFonts w:ascii="Arial" w:cs="Arial" w:eastAsia="Arial" w:hAnsi="Arial"/>
                <w:sz w:val="14"/>
                <w:szCs w:val="14"/>
                <w:color w:val="0E1020"/>
              </w:rPr>
              <w:t>—</w:t>
            </w:r>
          </w:p>
        </w:tc>
        <w:tc>
          <w:tcPr>
            <w:tcW w:w="1540" w:type="dxa"/>
            <w:vAlign w:val="bottom"/>
            <w:tcBorders>
              <w:bottom w:val="single" w:sz="8" w:color="CFCFD2"/>
            </w:tcBorders>
          </w:tcPr>
          <w:p>
            <w:pPr>
              <w:jc w:val="right"/>
              <w:ind w:right="29"/>
              <w:spacing w:after="0"/>
              <w:rPr>
                <w:sz w:val="20"/>
                <w:szCs w:val="20"/>
                <w:color w:val="auto"/>
              </w:rPr>
            </w:pPr>
            <w:r>
              <w:rPr>
                <w:rFonts w:ascii="Arial" w:cs="Arial" w:eastAsia="Arial" w:hAnsi="Arial"/>
                <w:sz w:val="14"/>
                <w:szCs w:val="14"/>
                <w:color w:val="0E1020"/>
              </w:rPr>
              <w:t>2,520</w:t>
            </w:r>
          </w:p>
        </w:tc>
        <w:tc>
          <w:tcPr>
            <w:tcW w:w="1580" w:type="dxa"/>
            <w:vAlign w:val="bottom"/>
            <w:tcBorders>
              <w:bottom w:val="single" w:sz="8" w:color="CFCFD2"/>
            </w:tcBorders>
          </w:tcPr>
          <w:p>
            <w:pPr>
              <w:jc w:val="right"/>
              <w:ind w:right="129"/>
              <w:spacing w:after="0"/>
              <w:rPr>
                <w:sz w:val="20"/>
                <w:szCs w:val="20"/>
                <w:color w:val="auto"/>
              </w:rPr>
            </w:pPr>
            <w:r>
              <w:rPr>
                <w:rFonts w:ascii="Arial" w:cs="Arial" w:eastAsia="Arial" w:hAnsi="Arial"/>
                <w:sz w:val="14"/>
                <w:szCs w:val="14"/>
                <w:color w:val="0E1020"/>
              </w:rPr>
              <w:t>163,147</w:t>
            </w:r>
          </w:p>
        </w:tc>
        <w:tc>
          <w:tcPr>
            <w:tcW w:w="900" w:type="dxa"/>
            <w:vAlign w:val="bottom"/>
            <w:tcBorders>
              <w:bottom w:val="single" w:sz="8" w:color="CFCFD2"/>
            </w:tcBorders>
          </w:tcPr>
          <w:p>
            <w:pPr>
              <w:spacing w:after="0"/>
              <w:rPr>
                <w:sz w:val="18"/>
                <w:szCs w:val="18"/>
                <w:color w:val="auto"/>
              </w:rPr>
            </w:pPr>
          </w:p>
        </w:tc>
        <w:tc>
          <w:tcPr>
            <w:tcW w:w="540" w:type="dxa"/>
            <w:vAlign w:val="bottom"/>
            <w:tcBorders>
              <w:bottom w:val="single" w:sz="8" w:color="CFCFD2"/>
            </w:tcBorders>
          </w:tcPr>
          <w:p>
            <w:pPr>
              <w:jc w:val="right"/>
              <w:ind w:right="129"/>
              <w:spacing w:after="0"/>
              <w:rPr>
                <w:sz w:val="20"/>
                <w:szCs w:val="20"/>
                <w:color w:val="auto"/>
              </w:rPr>
            </w:pPr>
            <w:r>
              <w:rPr>
                <w:rFonts w:ascii="Arial" w:cs="Arial" w:eastAsia="Arial" w:hAnsi="Arial"/>
                <w:sz w:val="14"/>
                <w:szCs w:val="14"/>
                <w:color w:val="0E1020"/>
              </w:rPr>
              <w:t>—</w:t>
            </w:r>
          </w:p>
        </w:tc>
        <w:tc>
          <w:tcPr>
            <w:tcW w:w="560" w:type="dxa"/>
            <w:vAlign w:val="bottom"/>
          </w:tcPr>
          <w:p>
            <w:pPr>
              <w:spacing w:after="0"/>
              <w:rPr>
                <w:sz w:val="18"/>
                <w:szCs w:val="18"/>
                <w:color w:val="auto"/>
              </w:rPr>
            </w:pPr>
          </w:p>
        </w:tc>
      </w:tr>
      <w:tr>
        <w:trPr>
          <w:trHeight w:val="221"/>
        </w:trPr>
        <w:tc>
          <w:tcPr>
            <w:tcW w:w="460" w:type="dxa"/>
            <w:vAlign w:val="bottom"/>
          </w:tcPr>
          <w:p>
            <w:pPr>
              <w:spacing w:after="0"/>
              <w:rPr>
                <w:sz w:val="19"/>
                <w:szCs w:val="19"/>
                <w:color w:val="auto"/>
              </w:rPr>
            </w:pPr>
          </w:p>
        </w:tc>
        <w:tc>
          <w:tcPr>
            <w:tcW w:w="262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Robert Del Bene</w:t>
            </w:r>
          </w:p>
        </w:tc>
        <w:tc>
          <w:tcPr>
            <w:tcW w:w="148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w:t>
            </w:r>
          </w:p>
        </w:tc>
        <w:tc>
          <w:tcPr>
            <w:tcW w:w="1520" w:type="dxa"/>
            <w:vAlign w:val="bottom"/>
            <w:tcBorders>
              <w:bottom w:val="single" w:sz="8" w:color="CFCFD2"/>
            </w:tcBorders>
          </w:tcPr>
          <w:p>
            <w:pPr>
              <w:jc w:val="right"/>
              <w:ind w:right="29"/>
              <w:spacing w:after="0"/>
              <w:rPr>
                <w:sz w:val="20"/>
                <w:szCs w:val="20"/>
                <w:color w:val="auto"/>
              </w:rPr>
            </w:pPr>
            <w:r>
              <w:rPr>
                <w:rFonts w:ascii="Arial" w:cs="Arial" w:eastAsia="Arial" w:hAnsi="Arial"/>
                <w:sz w:val="14"/>
                <w:szCs w:val="14"/>
                <w:color w:val="0E1020"/>
              </w:rPr>
              <w:t>7,000</w:t>
            </w:r>
          </w:p>
        </w:tc>
        <w:tc>
          <w:tcPr>
            <w:tcW w:w="1540" w:type="dxa"/>
            <w:vAlign w:val="bottom"/>
            <w:tcBorders>
              <w:bottom w:val="single" w:sz="8" w:color="CFCFD2"/>
            </w:tcBorders>
          </w:tcPr>
          <w:p>
            <w:pPr>
              <w:jc w:val="right"/>
              <w:ind w:right="89"/>
              <w:spacing w:after="0"/>
              <w:rPr>
                <w:sz w:val="20"/>
                <w:szCs w:val="20"/>
                <w:color w:val="auto"/>
              </w:rPr>
            </w:pPr>
            <w:r>
              <w:rPr>
                <w:rFonts w:ascii="Arial" w:cs="Arial" w:eastAsia="Arial" w:hAnsi="Arial"/>
                <w:sz w:val="14"/>
                <w:szCs w:val="14"/>
                <w:color w:val="0E1020"/>
              </w:rPr>
              <w:t>1,988</w:t>
            </w:r>
          </w:p>
        </w:tc>
        <w:tc>
          <w:tcPr>
            <w:tcW w:w="1580" w:type="dxa"/>
            <w:vAlign w:val="bottom"/>
            <w:tcBorders>
              <w:bottom w:val="single" w:sz="8" w:color="CFCFD2"/>
            </w:tcBorders>
          </w:tcPr>
          <w:p>
            <w:pPr>
              <w:jc w:val="right"/>
              <w:ind w:right="169"/>
              <w:spacing w:after="0"/>
              <w:rPr>
                <w:sz w:val="20"/>
                <w:szCs w:val="20"/>
                <w:color w:val="auto"/>
              </w:rPr>
            </w:pPr>
            <w:r>
              <w:rPr>
                <w:rFonts w:ascii="Arial" w:cs="Arial" w:eastAsia="Arial" w:hAnsi="Arial"/>
                <w:sz w:val="14"/>
                <w:szCs w:val="14"/>
                <w:color w:val="0E1020"/>
              </w:rPr>
              <w:t>—</w:t>
            </w:r>
          </w:p>
        </w:tc>
        <w:tc>
          <w:tcPr>
            <w:tcW w:w="900" w:type="dxa"/>
            <w:vAlign w:val="bottom"/>
            <w:tcBorders>
              <w:bottom w:val="single" w:sz="8" w:color="CFCFD2"/>
            </w:tcBorders>
          </w:tcPr>
          <w:p>
            <w:pPr>
              <w:spacing w:after="0"/>
              <w:rPr>
                <w:sz w:val="19"/>
                <w:szCs w:val="19"/>
                <w:color w:val="auto"/>
              </w:rPr>
            </w:pPr>
          </w:p>
        </w:tc>
        <w:tc>
          <w:tcPr>
            <w:tcW w:w="540" w:type="dxa"/>
            <w:vAlign w:val="bottom"/>
            <w:tcBorders>
              <w:bottom w:val="single" w:sz="8" w:color="CFCFD2"/>
            </w:tcBorders>
          </w:tcPr>
          <w:p>
            <w:pPr>
              <w:jc w:val="right"/>
              <w:ind w:right="129"/>
              <w:spacing w:after="0"/>
              <w:rPr>
                <w:sz w:val="20"/>
                <w:szCs w:val="20"/>
                <w:color w:val="auto"/>
              </w:rPr>
            </w:pPr>
            <w:r>
              <w:rPr>
                <w:rFonts w:ascii="Arial" w:cs="Arial" w:eastAsia="Arial" w:hAnsi="Arial"/>
                <w:sz w:val="14"/>
                <w:szCs w:val="14"/>
                <w:color w:val="0E1020"/>
              </w:rPr>
              <w:t>—</w:t>
            </w:r>
          </w:p>
        </w:tc>
        <w:tc>
          <w:tcPr>
            <w:tcW w:w="560" w:type="dxa"/>
            <w:vAlign w:val="bottom"/>
          </w:tcPr>
          <w:p>
            <w:pPr>
              <w:spacing w:after="0"/>
              <w:rPr>
                <w:sz w:val="19"/>
                <w:szCs w:val="19"/>
                <w:color w:val="auto"/>
              </w:rPr>
            </w:pPr>
          </w:p>
        </w:tc>
      </w:tr>
      <w:tr>
        <w:trPr>
          <w:trHeight w:val="221"/>
        </w:trPr>
        <w:tc>
          <w:tcPr>
            <w:tcW w:w="460" w:type="dxa"/>
            <w:vAlign w:val="bottom"/>
          </w:tcPr>
          <w:p>
            <w:pPr>
              <w:spacing w:after="0"/>
              <w:rPr>
                <w:sz w:val="19"/>
                <w:szCs w:val="19"/>
                <w:color w:val="auto"/>
              </w:rPr>
            </w:pPr>
          </w:p>
        </w:tc>
        <w:tc>
          <w:tcPr>
            <w:tcW w:w="262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Christopher Drumgoole</w:t>
            </w:r>
          </w:p>
        </w:tc>
        <w:tc>
          <w:tcPr>
            <w:tcW w:w="148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75,320</w:t>
            </w:r>
          </w:p>
        </w:tc>
        <w:tc>
          <w:tcPr>
            <w:tcW w:w="1520" w:type="dxa"/>
            <w:vAlign w:val="bottom"/>
            <w:tcBorders>
              <w:bottom w:val="single" w:sz="8" w:color="CFCFD2"/>
            </w:tcBorders>
          </w:tcPr>
          <w:p>
            <w:pPr>
              <w:jc w:val="right"/>
              <w:ind w:right="29"/>
              <w:spacing w:after="0"/>
              <w:rPr>
                <w:sz w:val="20"/>
                <w:szCs w:val="20"/>
                <w:color w:val="auto"/>
              </w:rPr>
            </w:pPr>
            <w:r>
              <w:rPr>
                <w:rFonts w:ascii="Arial" w:cs="Arial" w:eastAsia="Arial" w:hAnsi="Arial"/>
                <w:sz w:val="14"/>
                <w:szCs w:val="14"/>
                <w:color w:val="0E1020"/>
              </w:rPr>
              <w:t>10,500</w:t>
            </w:r>
          </w:p>
        </w:tc>
        <w:tc>
          <w:tcPr>
            <w:tcW w:w="1540" w:type="dxa"/>
            <w:vAlign w:val="bottom"/>
            <w:tcBorders>
              <w:bottom w:val="single" w:sz="8" w:color="CFCFD2"/>
            </w:tcBorders>
          </w:tcPr>
          <w:p>
            <w:pPr>
              <w:jc w:val="right"/>
              <w:ind w:right="89"/>
              <w:spacing w:after="0"/>
              <w:rPr>
                <w:sz w:val="20"/>
                <w:szCs w:val="20"/>
                <w:color w:val="auto"/>
              </w:rPr>
            </w:pPr>
            <w:r>
              <w:rPr>
                <w:rFonts w:ascii="Arial" w:cs="Arial" w:eastAsia="Arial" w:hAnsi="Arial"/>
                <w:sz w:val="14"/>
                <w:szCs w:val="14"/>
                <w:color w:val="0E1020"/>
              </w:rPr>
              <w:t>2,016</w:t>
            </w:r>
          </w:p>
        </w:tc>
        <w:tc>
          <w:tcPr>
            <w:tcW w:w="1580" w:type="dxa"/>
            <w:vAlign w:val="bottom"/>
            <w:tcBorders>
              <w:bottom w:val="single" w:sz="8" w:color="CFCFD2"/>
            </w:tcBorders>
          </w:tcPr>
          <w:p>
            <w:pPr>
              <w:jc w:val="right"/>
              <w:ind w:right="169"/>
              <w:spacing w:after="0"/>
              <w:rPr>
                <w:sz w:val="20"/>
                <w:szCs w:val="20"/>
                <w:color w:val="auto"/>
              </w:rPr>
            </w:pPr>
            <w:r>
              <w:rPr>
                <w:rFonts w:ascii="Arial" w:cs="Arial" w:eastAsia="Arial" w:hAnsi="Arial"/>
                <w:sz w:val="14"/>
                <w:szCs w:val="14"/>
                <w:color w:val="0E1020"/>
              </w:rPr>
              <w:t>—</w:t>
            </w:r>
          </w:p>
        </w:tc>
        <w:tc>
          <w:tcPr>
            <w:tcW w:w="900" w:type="dxa"/>
            <w:vAlign w:val="bottom"/>
            <w:tcBorders>
              <w:bottom w:val="single" w:sz="8" w:color="CFCFD2"/>
            </w:tcBorders>
          </w:tcPr>
          <w:p>
            <w:pPr>
              <w:spacing w:after="0"/>
              <w:rPr>
                <w:sz w:val="19"/>
                <w:szCs w:val="19"/>
                <w:color w:val="auto"/>
              </w:rPr>
            </w:pPr>
          </w:p>
        </w:tc>
        <w:tc>
          <w:tcPr>
            <w:tcW w:w="540" w:type="dxa"/>
            <w:vAlign w:val="bottom"/>
            <w:tcBorders>
              <w:bottom w:val="single" w:sz="8" w:color="CFCFD2"/>
            </w:tcBorders>
          </w:tcPr>
          <w:p>
            <w:pPr>
              <w:jc w:val="right"/>
              <w:ind w:right="129"/>
              <w:spacing w:after="0"/>
              <w:rPr>
                <w:sz w:val="20"/>
                <w:szCs w:val="20"/>
                <w:color w:val="auto"/>
              </w:rPr>
            </w:pPr>
            <w:r>
              <w:rPr>
                <w:rFonts w:ascii="Arial" w:cs="Arial" w:eastAsia="Arial" w:hAnsi="Arial"/>
                <w:sz w:val="14"/>
                <w:szCs w:val="14"/>
                <w:color w:val="0E1020"/>
              </w:rPr>
              <w:t>—</w:t>
            </w:r>
          </w:p>
        </w:tc>
        <w:tc>
          <w:tcPr>
            <w:tcW w:w="560" w:type="dxa"/>
            <w:vAlign w:val="bottom"/>
          </w:tcPr>
          <w:p>
            <w:pPr>
              <w:spacing w:after="0"/>
              <w:rPr>
                <w:sz w:val="19"/>
                <w:szCs w:val="19"/>
                <w:color w:val="auto"/>
              </w:rPr>
            </w:pPr>
          </w:p>
        </w:tc>
      </w:tr>
      <w:tr>
        <w:trPr>
          <w:trHeight w:val="221"/>
        </w:trPr>
        <w:tc>
          <w:tcPr>
            <w:tcW w:w="460" w:type="dxa"/>
            <w:vAlign w:val="bottom"/>
          </w:tcPr>
          <w:p>
            <w:pPr>
              <w:spacing w:after="0"/>
              <w:rPr>
                <w:sz w:val="19"/>
                <w:szCs w:val="19"/>
                <w:color w:val="auto"/>
              </w:rPr>
            </w:pPr>
          </w:p>
        </w:tc>
        <w:tc>
          <w:tcPr>
            <w:tcW w:w="262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Raymond A. August</w:t>
            </w:r>
          </w:p>
        </w:tc>
        <w:tc>
          <w:tcPr>
            <w:tcW w:w="148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w:t>
            </w:r>
          </w:p>
        </w:tc>
        <w:tc>
          <w:tcPr>
            <w:tcW w:w="1520" w:type="dxa"/>
            <w:vAlign w:val="bottom"/>
            <w:tcBorders>
              <w:bottom w:val="single" w:sz="8" w:color="CFCFD2"/>
            </w:tcBorders>
          </w:tcPr>
          <w:p>
            <w:pPr>
              <w:jc w:val="right"/>
              <w:ind w:right="29"/>
              <w:spacing w:after="0"/>
              <w:rPr>
                <w:sz w:val="20"/>
                <w:szCs w:val="20"/>
                <w:color w:val="auto"/>
              </w:rPr>
            </w:pPr>
            <w:r>
              <w:rPr>
                <w:rFonts w:ascii="Arial" w:cs="Arial" w:eastAsia="Arial" w:hAnsi="Arial"/>
                <w:sz w:val="14"/>
                <w:szCs w:val="14"/>
                <w:color w:val="0E1020"/>
              </w:rPr>
              <w:t>10,500</w:t>
            </w:r>
          </w:p>
        </w:tc>
        <w:tc>
          <w:tcPr>
            <w:tcW w:w="1540" w:type="dxa"/>
            <w:vAlign w:val="bottom"/>
            <w:tcBorders>
              <w:bottom w:val="single" w:sz="8" w:color="CFCFD2"/>
            </w:tcBorders>
          </w:tcPr>
          <w:p>
            <w:pPr>
              <w:jc w:val="right"/>
              <w:ind w:right="89"/>
              <w:spacing w:after="0"/>
              <w:rPr>
                <w:sz w:val="20"/>
                <w:szCs w:val="20"/>
                <w:color w:val="auto"/>
              </w:rPr>
            </w:pPr>
            <w:r>
              <w:rPr>
                <w:rFonts w:ascii="Arial" w:cs="Arial" w:eastAsia="Arial" w:hAnsi="Arial"/>
                <w:sz w:val="14"/>
                <w:szCs w:val="14"/>
                <w:color w:val="0E1020"/>
              </w:rPr>
              <w:t>1,764</w:t>
            </w:r>
          </w:p>
        </w:tc>
        <w:tc>
          <w:tcPr>
            <w:tcW w:w="1580" w:type="dxa"/>
            <w:vAlign w:val="bottom"/>
            <w:tcBorders>
              <w:bottom w:val="single" w:sz="8" w:color="CFCFD2"/>
            </w:tcBorders>
          </w:tcPr>
          <w:p>
            <w:pPr>
              <w:jc w:val="right"/>
              <w:ind w:right="169"/>
              <w:spacing w:after="0"/>
              <w:rPr>
                <w:sz w:val="20"/>
                <w:szCs w:val="20"/>
                <w:color w:val="auto"/>
              </w:rPr>
            </w:pPr>
            <w:r>
              <w:rPr>
                <w:rFonts w:ascii="Arial" w:cs="Arial" w:eastAsia="Arial" w:hAnsi="Arial"/>
                <w:sz w:val="14"/>
                <w:szCs w:val="14"/>
                <w:color w:val="0E1020"/>
              </w:rPr>
              <w:t>—</w:t>
            </w:r>
          </w:p>
        </w:tc>
        <w:tc>
          <w:tcPr>
            <w:tcW w:w="900" w:type="dxa"/>
            <w:vAlign w:val="bottom"/>
            <w:tcBorders>
              <w:bottom w:val="single" w:sz="8" w:color="CFCFD2"/>
            </w:tcBorders>
          </w:tcPr>
          <w:p>
            <w:pPr>
              <w:spacing w:after="0"/>
              <w:rPr>
                <w:sz w:val="19"/>
                <w:szCs w:val="19"/>
                <w:color w:val="auto"/>
              </w:rPr>
            </w:pPr>
          </w:p>
        </w:tc>
        <w:tc>
          <w:tcPr>
            <w:tcW w:w="540" w:type="dxa"/>
            <w:vAlign w:val="bottom"/>
            <w:tcBorders>
              <w:bottom w:val="single" w:sz="8" w:color="CFCFD2"/>
            </w:tcBorders>
          </w:tcPr>
          <w:p>
            <w:pPr>
              <w:jc w:val="right"/>
              <w:ind w:right="129"/>
              <w:spacing w:after="0"/>
              <w:rPr>
                <w:sz w:val="20"/>
                <w:szCs w:val="20"/>
                <w:color w:val="auto"/>
              </w:rPr>
            </w:pPr>
            <w:r>
              <w:rPr>
                <w:rFonts w:ascii="Arial" w:cs="Arial" w:eastAsia="Arial" w:hAnsi="Arial"/>
                <w:sz w:val="14"/>
                <w:szCs w:val="14"/>
                <w:color w:val="0E1020"/>
              </w:rPr>
              <w:t>—</w:t>
            </w:r>
          </w:p>
        </w:tc>
        <w:tc>
          <w:tcPr>
            <w:tcW w:w="560" w:type="dxa"/>
            <w:vAlign w:val="bottom"/>
          </w:tcPr>
          <w:p>
            <w:pPr>
              <w:spacing w:after="0"/>
              <w:rPr>
                <w:sz w:val="19"/>
                <w:szCs w:val="19"/>
                <w:color w:val="auto"/>
              </w:rPr>
            </w:pPr>
          </w:p>
        </w:tc>
      </w:tr>
      <w:tr>
        <w:trPr>
          <w:trHeight w:val="221"/>
        </w:trPr>
        <w:tc>
          <w:tcPr>
            <w:tcW w:w="460" w:type="dxa"/>
            <w:vAlign w:val="bottom"/>
          </w:tcPr>
          <w:p>
            <w:pPr>
              <w:spacing w:after="0"/>
              <w:rPr>
                <w:sz w:val="19"/>
                <w:szCs w:val="19"/>
                <w:color w:val="auto"/>
              </w:rPr>
            </w:pPr>
          </w:p>
        </w:tc>
        <w:tc>
          <w:tcPr>
            <w:tcW w:w="2620" w:type="dxa"/>
            <w:vAlign w:val="bottom"/>
          </w:tcPr>
          <w:p>
            <w:pPr>
              <w:ind w:left="100"/>
              <w:spacing w:after="0"/>
              <w:rPr>
                <w:sz w:val="20"/>
                <w:szCs w:val="20"/>
                <w:color w:val="auto"/>
              </w:rPr>
            </w:pPr>
            <w:r>
              <w:rPr>
                <w:rFonts w:ascii="Arial" w:cs="Arial" w:eastAsia="Arial" w:hAnsi="Arial"/>
                <w:sz w:val="14"/>
                <w:szCs w:val="14"/>
                <w:b w:val="1"/>
                <w:bCs w:val="1"/>
                <w:color w:val="004AAC"/>
              </w:rPr>
              <w:t>Matthew K. Fawcett</w:t>
            </w:r>
          </w:p>
        </w:tc>
        <w:tc>
          <w:tcPr>
            <w:tcW w:w="1480" w:type="dxa"/>
            <w:vAlign w:val="bottom"/>
          </w:tcPr>
          <w:p>
            <w:pPr>
              <w:jc w:val="right"/>
              <w:spacing w:after="0"/>
              <w:rPr>
                <w:sz w:val="20"/>
                <w:szCs w:val="20"/>
                <w:color w:val="auto"/>
              </w:rPr>
            </w:pPr>
            <w:r>
              <w:rPr>
                <w:rFonts w:ascii="Arial" w:cs="Arial" w:eastAsia="Arial" w:hAnsi="Arial"/>
                <w:sz w:val="14"/>
                <w:szCs w:val="14"/>
                <w:color w:val="0E1020"/>
              </w:rPr>
              <w:t>—</w:t>
            </w:r>
          </w:p>
        </w:tc>
        <w:tc>
          <w:tcPr>
            <w:tcW w:w="1520" w:type="dxa"/>
            <w:vAlign w:val="bottom"/>
          </w:tcPr>
          <w:p>
            <w:pPr>
              <w:jc w:val="right"/>
              <w:ind w:right="29"/>
              <w:spacing w:after="0"/>
              <w:rPr>
                <w:sz w:val="20"/>
                <w:szCs w:val="20"/>
                <w:color w:val="auto"/>
              </w:rPr>
            </w:pPr>
            <w:r>
              <w:rPr>
                <w:rFonts w:ascii="Arial" w:cs="Arial" w:eastAsia="Arial" w:hAnsi="Arial"/>
                <w:sz w:val="14"/>
                <w:szCs w:val="14"/>
                <w:color w:val="0E1020"/>
              </w:rPr>
              <w:t>10,500</w:t>
            </w:r>
          </w:p>
        </w:tc>
        <w:tc>
          <w:tcPr>
            <w:tcW w:w="1540" w:type="dxa"/>
            <w:vAlign w:val="bottom"/>
          </w:tcPr>
          <w:p>
            <w:pPr>
              <w:jc w:val="right"/>
              <w:ind w:right="89"/>
              <w:spacing w:after="0"/>
              <w:rPr>
                <w:sz w:val="20"/>
                <w:szCs w:val="20"/>
                <w:color w:val="auto"/>
              </w:rPr>
            </w:pPr>
            <w:r>
              <w:rPr>
                <w:rFonts w:ascii="Arial" w:cs="Arial" w:eastAsia="Arial" w:hAnsi="Arial"/>
                <w:sz w:val="14"/>
                <w:szCs w:val="14"/>
                <w:color w:val="0E1020"/>
              </w:rPr>
              <w:t>550</w:t>
            </w:r>
          </w:p>
        </w:tc>
        <w:tc>
          <w:tcPr>
            <w:tcW w:w="1580" w:type="dxa"/>
            <w:vAlign w:val="bottom"/>
          </w:tcPr>
          <w:p>
            <w:pPr>
              <w:jc w:val="right"/>
              <w:ind w:right="169"/>
              <w:spacing w:after="0"/>
              <w:rPr>
                <w:sz w:val="20"/>
                <w:szCs w:val="20"/>
                <w:color w:val="auto"/>
              </w:rPr>
            </w:pPr>
            <w:r>
              <w:rPr>
                <w:rFonts w:ascii="Arial" w:cs="Arial" w:eastAsia="Arial" w:hAnsi="Arial"/>
                <w:sz w:val="14"/>
                <w:szCs w:val="14"/>
                <w:color w:val="0E1020"/>
              </w:rPr>
              <w:t>—</w:t>
            </w:r>
          </w:p>
        </w:tc>
        <w:tc>
          <w:tcPr>
            <w:tcW w:w="900" w:type="dxa"/>
            <w:vAlign w:val="bottom"/>
          </w:tcPr>
          <w:p>
            <w:pPr>
              <w:spacing w:after="0"/>
              <w:rPr>
                <w:sz w:val="19"/>
                <w:szCs w:val="19"/>
                <w:color w:val="auto"/>
              </w:rPr>
            </w:pPr>
          </w:p>
        </w:tc>
        <w:tc>
          <w:tcPr>
            <w:tcW w:w="1100" w:type="dxa"/>
            <w:vAlign w:val="bottom"/>
            <w:gridSpan w:val="2"/>
          </w:tcPr>
          <w:p>
            <w:pPr>
              <w:jc w:val="right"/>
              <w:ind w:right="760"/>
              <w:spacing w:after="0"/>
              <w:rPr>
                <w:sz w:val="20"/>
                <w:szCs w:val="20"/>
                <w:color w:val="auto"/>
              </w:rPr>
            </w:pPr>
            <w:r>
              <w:rPr>
                <w:rFonts w:ascii="Arial" w:cs="Arial" w:eastAsia="Arial" w:hAnsi="Arial"/>
                <w:sz w:val="14"/>
                <w:szCs w:val="14"/>
                <w:color w:val="0E1020"/>
              </w:rPr>
              <w:t>—</w:t>
            </w:r>
          </w:p>
        </w:tc>
      </w:tr>
      <w:tr>
        <w:trPr>
          <w:trHeight w:val="221"/>
        </w:trPr>
        <w:tc>
          <w:tcPr>
            <w:tcW w:w="460" w:type="dxa"/>
            <w:vAlign w:val="bottom"/>
          </w:tcPr>
          <w:p>
            <w:pPr>
              <w:spacing w:after="0"/>
              <w:rPr>
                <w:sz w:val="19"/>
                <w:szCs w:val="19"/>
                <w:color w:val="auto"/>
              </w:rPr>
            </w:pPr>
          </w:p>
        </w:tc>
        <w:tc>
          <w:tcPr>
            <w:tcW w:w="2620" w:type="dxa"/>
            <w:vAlign w:val="bottom"/>
            <w:tcBorders>
              <w:top w:val="single" w:sz="8" w:color="CFCFD2"/>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Howard Boville</w:t>
            </w:r>
          </w:p>
        </w:tc>
        <w:tc>
          <w:tcPr>
            <w:tcW w:w="1480" w:type="dxa"/>
            <w:vAlign w:val="bottom"/>
            <w:tcBorders>
              <w:top w:val="single" w:sz="8" w:color="CFCFD2"/>
              <w:bottom w:val="single" w:sz="8" w:color="CFCFD2"/>
            </w:tcBorders>
          </w:tcPr>
          <w:p>
            <w:pPr>
              <w:jc w:val="right"/>
              <w:spacing w:after="0"/>
              <w:rPr>
                <w:sz w:val="20"/>
                <w:szCs w:val="20"/>
                <w:color w:val="auto"/>
              </w:rPr>
            </w:pPr>
            <w:r>
              <w:rPr>
                <w:rFonts w:ascii="Arial" w:cs="Arial" w:eastAsia="Arial" w:hAnsi="Arial"/>
                <w:sz w:val="14"/>
                <w:szCs w:val="14"/>
                <w:color w:val="0E1020"/>
              </w:rPr>
              <w:t>—</w:t>
            </w:r>
          </w:p>
        </w:tc>
        <w:tc>
          <w:tcPr>
            <w:tcW w:w="1520" w:type="dxa"/>
            <w:vAlign w:val="bottom"/>
            <w:tcBorders>
              <w:top w:val="single" w:sz="8" w:color="CFCFD2"/>
              <w:bottom w:val="single" w:sz="8" w:color="CFCFD2"/>
            </w:tcBorders>
          </w:tcPr>
          <w:p>
            <w:pPr>
              <w:jc w:val="right"/>
              <w:ind w:right="29"/>
              <w:spacing w:after="0"/>
              <w:rPr>
                <w:sz w:val="20"/>
                <w:szCs w:val="20"/>
                <w:color w:val="auto"/>
              </w:rPr>
            </w:pPr>
            <w:r>
              <w:rPr>
                <w:rFonts w:ascii="Arial" w:cs="Arial" w:eastAsia="Arial" w:hAnsi="Arial"/>
                <w:sz w:val="14"/>
                <w:szCs w:val="14"/>
                <w:color w:val="0E1020"/>
              </w:rPr>
              <w:t>—</w:t>
            </w:r>
          </w:p>
        </w:tc>
        <w:tc>
          <w:tcPr>
            <w:tcW w:w="1540" w:type="dxa"/>
            <w:vAlign w:val="bottom"/>
            <w:tcBorders>
              <w:top w:val="single" w:sz="8" w:color="CFCFD2"/>
              <w:bottom w:val="single" w:sz="8" w:color="CFCFD2"/>
            </w:tcBorders>
          </w:tcPr>
          <w:p>
            <w:pPr>
              <w:jc w:val="right"/>
              <w:ind w:right="89"/>
              <w:spacing w:after="0"/>
              <w:rPr>
                <w:sz w:val="20"/>
                <w:szCs w:val="20"/>
                <w:color w:val="auto"/>
              </w:rPr>
            </w:pPr>
            <w:r>
              <w:rPr>
                <w:rFonts w:ascii="Arial" w:cs="Arial" w:eastAsia="Arial" w:hAnsi="Arial"/>
                <w:sz w:val="14"/>
                <w:szCs w:val="14"/>
                <w:color w:val="0E1020"/>
              </w:rPr>
              <w:t>649</w:t>
            </w:r>
          </w:p>
        </w:tc>
        <w:tc>
          <w:tcPr>
            <w:tcW w:w="1580" w:type="dxa"/>
            <w:vAlign w:val="bottom"/>
            <w:tcBorders>
              <w:top w:val="single" w:sz="8" w:color="CFCFD2"/>
              <w:bottom w:val="single" w:sz="8" w:color="CFCFD2"/>
            </w:tcBorders>
          </w:tcPr>
          <w:p>
            <w:pPr>
              <w:jc w:val="right"/>
              <w:ind w:right="169"/>
              <w:spacing w:after="0"/>
              <w:rPr>
                <w:sz w:val="20"/>
                <w:szCs w:val="20"/>
                <w:color w:val="auto"/>
              </w:rPr>
            </w:pPr>
            <w:r>
              <w:rPr>
                <w:rFonts w:ascii="Arial" w:cs="Arial" w:eastAsia="Arial" w:hAnsi="Arial"/>
                <w:sz w:val="14"/>
                <w:szCs w:val="14"/>
                <w:color w:val="0E1020"/>
              </w:rPr>
              <w:t>—</w:t>
            </w:r>
          </w:p>
        </w:tc>
        <w:tc>
          <w:tcPr>
            <w:tcW w:w="1440" w:type="dxa"/>
            <w:vAlign w:val="bottom"/>
            <w:tcBorders>
              <w:top w:val="single" w:sz="8" w:color="CFCFD2"/>
              <w:bottom w:val="single" w:sz="8" w:color="CFCFD2"/>
            </w:tcBorders>
            <w:gridSpan w:val="2"/>
          </w:tcPr>
          <w:p>
            <w:pPr>
              <w:jc w:val="right"/>
              <w:ind w:right="129"/>
              <w:spacing w:after="0"/>
              <w:rPr>
                <w:sz w:val="20"/>
                <w:szCs w:val="20"/>
                <w:color w:val="auto"/>
              </w:rPr>
            </w:pPr>
            <w:r>
              <w:rPr>
                <w:rFonts w:ascii="Arial" w:cs="Arial" w:eastAsia="Arial" w:hAnsi="Arial"/>
                <w:sz w:val="14"/>
                <w:szCs w:val="14"/>
                <w:color w:val="0E1020"/>
              </w:rPr>
              <w:t>2,350,000</w:t>
            </w:r>
          </w:p>
        </w:tc>
        <w:tc>
          <w:tcPr>
            <w:tcW w:w="560" w:type="dxa"/>
            <w:vAlign w:val="bottom"/>
          </w:tcPr>
          <w:p>
            <w:pPr>
              <w:spacing w:after="0"/>
              <w:rPr>
                <w:sz w:val="19"/>
                <w:szCs w:val="19"/>
                <w:color w:val="auto"/>
              </w:rPr>
            </w:pPr>
          </w:p>
        </w:tc>
      </w:tr>
    </w:tbl>
    <w:p>
      <w:pPr>
        <w:spacing w:after="0" w:line="165" w:lineRule="exact"/>
        <w:rPr>
          <w:sz w:val="20"/>
          <w:szCs w:val="20"/>
          <w:color w:val="auto"/>
        </w:rPr>
      </w:pPr>
    </w:p>
    <w:p>
      <w:pPr>
        <w:ind w:left="880" w:right="20" w:hanging="330"/>
        <w:spacing w:after="0" w:line="265" w:lineRule="auto"/>
        <w:tabs>
          <w:tab w:leader="none" w:pos="867" w:val="left"/>
        </w:tabs>
        <w:numPr>
          <w:ilvl w:val="0"/>
          <w:numId w:val="88"/>
        </w:numPr>
        <w:rPr>
          <w:rFonts w:ascii="Arial" w:cs="Arial" w:eastAsia="Arial" w:hAnsi="Arial"/>
          <w:sz w:val="14"/>
          <w:szCs w:val="14"/>
          <w:color w:val="0E1020"/>
        </w:rPr>
      </w:pPr>
      <w:r>
        <w:rPr>
          <w:rFonts w:ascii="Arial" w:cs="Arial" w:eastAsia="Arial" w:hAnsi="Arial"/>
          <w:sz w:val="14"/>
          <w:szCs w:val="14"/>
          <w:color w:val="0E1020"/>
        </w:rPr>
        <w:t>The CEO takes an active approach to overseeing and managing our global operations, which necessitates a significant amount of U.S. domestic and international travel due to our diverse set of business and operations centers and many client locations around the world. Additionally, in fiscal 2026, the Company provided access to corporate aircraft to Mr. Drumgoole. The table reflects the incremental cost of Mr. Fernandez’s and Mr. Drumgoole’s use of DXC aircraft and is based on the variable costs to DXC, including fuel costs, insurance costs, on-board catering, landing/ramp fees and other miscellaneous variable costs. This calculation does not include fixed costs which do not change based on usage, such as depreciation, leasing costs, and flight crew salaries and flight-based maintenance.</w:t>
      </w:r>
    </w:p>
    <w:p>
      <w:pPr>
        <w:spacing w:after="0" w:line="22" w:lineRule="exact"/>
        <w:rPr>
          <w:rFonts w:ascii="Arial" w:cs="Arial" w:eastAsia="Arial" w:hAnsi="Arial"/>
          <w:sz w:val="14"/>
          <w:szCs w:val="14"/>
          <w:color w:val="0E1020"/>
        </w:rPr>
      </w:pPr>
    </w:p>
    <w:p>
      <w:pPr>
        <w:ind w:left="840" w:hanging="290"/>
        <w:spacing w:after="0"/>
        <w:tabs>
          <w:tab w:leader="none" w:pos="840" w:val="left"/>
        </w:tabs>
        <w:numPr>
          <w:ilvl w:val="0"/>
          <w:numId w:val="88"/>
        </w:numPr>
        <w:rPr>
          <w:rFonts w:ascii="Arial" w:cs="Arial" w:eastAsia="Arial" w:hAnsi="Arial"/>
          <w:sz w:val="14"/>
          <w:szCs w:val="14"/>
          <w:color w:val="0E1020"/>
        </w:rPr>
      </w:pPr>
      <w:r>
        <w:rPr>
          <w:rFonts w:ascii="Arial" w:cs="Arial" w:eastAsia="Arial" w:hAnsi="Arial"/>
          <w:sz w:val="14"/>
          <w:szCs w:val="14"/>
          <w:color w:val="0E1020"/>
        </w:rPr>
        <w:t>All employees (including the NEOs) with at least one year of service are vested in the matching contributions credited to their 401(k) accounts.</w:t>
      </w:r>
    </w:p>
    <w:p>
      <w:pPr>
        <w:spacing w:after="0" w:line="66" w:lineRule="exact"/>
        <w:rPr>
          <w:rFonts w:ascii="Arial" w:cs="Arial" w:eastAsia="Arial" w:hAnsi="Arial"/>
          <w:sz w:val="14"/>
          <w:szCs w:val="14"/>
          <w:color w:val="0E1020"/>
        </w:rPr>
      </w:pPr>
    </w:p>
    <w:p>
      <w:pPr>
        <w:ind w:left="860" w:hanging="310"/>
        <w:spacing w:after="0"/>
        <w:tabs>
          <w:tab w:leader="none" w:pos="860" w:val="left"/>
        </w:tabs>
        <w:numPr>
          <w:ilvl w:val="0"/>
          <w:numId w:val="88"/>
        </w:numPr>
        <w:rPr>
          <w:rFonts w:ascii="Arial" w:cs="Arial" w:eastAsia="Arial" w:hAnsi="Arial"/>
          <w:sz w:val="14"/>
          <w:szCs w:val="14"/>
          <w:color w:val="0E1020"/>
        </w:rPr>
      </w:pPr>
      <w:r>
        <w:rPr>
          <w:rFonts w:ascii="Arial" w:cs="Arial" w:eastAsia="Arial" w:hAnsi="Arial"/>
          <w:sz w:val="14"/>
          <w:szCs w:val="14"/>
          <w:color w:val="0E1020"/>
        </w:rPr>
        <w:t>Reflects the amount covered by the Company for personal security protection on behalf of Mr. Fernandez, as approved by the Compensation Committee.</w:t>
      </w:r>
    </w:p>
    <w:p>
      <w:pPr>
        <w:spacing w:after="0" w:line="66" w:lineRule="exact"/>
        <w:rPr>
          <w:rFonts w:ascii="Arial" w:cs="Arial" w:eastAsia="Arial" w:hAnsi="Arial"/>
          <w:sz w:val="14"/>
          <w:szCs w:val="14"/>
          <w:color w:val="0E1020"/>
        </w:rPr>
      </w:pPr>
    </w:p>
    <w:p>
      <w:pPr>
        <w:ind w:left="880" w:right="480" w:hanging="330"/>
        <w:spacing w:after="0" w:line="282" w:lineRule="auto"/>
        <w:tabs>
          <w:tab w:leader="none" w:pos="853" w:val="left"/>
        </w:tabs>
        <w:numPr>
          <w:ilvl w:val="0"/>
          <w:numId w:val="88"/>
        </w:numPr>
        <w:rPr>
          <w:rFonts w:ascii="Arial" w:cs="Arial" w:eastAsia="Arial" w:hAnsi="Arial"/>
          <w:sz w:val="14"/>
          <w:szCs w:val="14"/>
          <w:color w:val="0E1020"/>
        </w:rPr>
      </w:pPr>
      <w:r>
        <w:rPr>
          <w:rFonts w:ascii="Arial" w:cs="Arial" w:eastAsia="Arial" w:hAnsi="Arial"/>
          <w:sz w:val="14"/>
          <w:szCs w:val="14"/>
          <w:color w:val="0E1020"/>
        </w:rPr>
        <w:t>Reflects the lump sum cash severance paid to Mr. Boville of fiscal 2026 base salary plus target bonus upon his termination without Cause on July 1, 2025, in accordance with the terms of his individual offer letter.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5500" w:val="left"/>
          <w:tab w:leader="none" w:pos="946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86</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146050</wp:posOffset>
            </wp:positionV>
            <wp:extent cx="715899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220" w:right="359" w:bottom="1440" w:gutter="0" w:footer="0" w:header="0"/>
        </w:sectPr>
      </w:pPr>
    </w:p>
    <w:bookmarkStart w:id="94" w:name="page95"/>
    <w:bookmarkEnd w:id="94"/>
    <w:p>
      <w:pPr>
        <w:ind w:left="20"/>
        <w:spacing w:after="0"/>
        <w:tabs>
          <w:tab w:leader="none" w:pos="918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0E1020"/>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Grants of Plan-Based Awards</w:t>
      </w:r>
    </w:p>
    <w:p>
      <w:pPr>
        <w:spacing w:after="0" w:line="148" w:lineRule="exact"/>
        <w:rPr>
          <w:sz w:val="20"/>
          <w:szCs w:val="20"/>
          <w:color w:val="auto"/>
        </w:rPr>
      </w:pPr>
    </w:p>
    <w:p>
      <w:pPr>
        <w:ind w:right="280"/>
        <w:spacing w:after="0" w:line="335" w:lineRule="auto"/>
        <w:rPr>
          <w:sz w:val="20"/>
          <w:szCs w:val="20"/>
          <w:color w:val="auto"/>
        </w:rPr>
      </w:pPr>
      <w:r>
        <w:rPr>
          <w:rFonts w:ascii="Arial" w:cs="Arial" w:eastAsia="Arial" w:hAnsi="Arial"/>
          <w:sz w:val="16"/>
          <w:szCs w:val="16"/>
          <w:color w:val="0E1020"/>
        </w:rPr>
        <w:t>The following table provides information about annual cash incentive awards, RSUs and PSUs granted to the NEOs in fiscal 2026, which ended March 31, 2026.</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526"/>
        </w:trPr>
        <w:tc>
          <w:tcPr>
            <w:tcW w:w="1300" w:type="dxa"/>
            <w:vAlign w:val="bottom"/>
            <w:shd w:val="clear" w:color="auto" w:fill="F6F3F0"/>
          </w:tcPr>
          <w:p>
            <w:pPr>
              <w:spacing w:after="0"/>
              <w:rPr>
                <w:sz w:val="24"/>
                <w:szCs w:val="24"/>
                <w:color w:val="auto"/>
              </w:rPr>
            </w:pPr>
          </w:p>
        </w:tc>
        <w:tc>
          <w:tcPr>
            <w:tcW w:w="540" w:type="dxa"/>
            <w:vAlign w:val="bottom"/>
            <w:shd w:val="clear" w:color="auto" w:fill="F6F3F0"/>
          </w:tcPr>
          <w:p>
            <w:pPr>
              <w:spacing w:after="0"/>
              <w:rPr>
                <w:sz w:val="24"/>
                <w:szCs w:val="24"/>
                <w:color w:val="auto"/>
              </w:rPr>
            </w:pPr>
          </w:p>
        </w:tc>
        <w:tc>
          <w:tcPr>
            <w:tcW w:w="760" w:type="dxa"/>
            <w:vAlign w:val="bottom"/>
            <w:shd w:val="clear" w:color="auto" w:fill="F6F3F0"/>
          </w:tcPr>
          <w:p>
            <w:pPr>
              <w:spacing w:after="0"/>
              <w:rPr>
                <w:sz w:val="24"/>
                <w:szCs w:val="24"/>
                <w:color w:val="auto"/>
              </w:rPr>
            </w:pPr>
          </w:p>
        </w:tc>
        <w:tc>
          <w:tcPr>
            <w:tcW w:w="860" w:type="dxa"/>
            <w:vAlign w:val="bottom"/>
            <w:shd w:val="clear" w:color="auto" w:fill="F6F3F0"/>
          </w:tcPr>
          <w:p>
            <w:pPr>
              <w:spacing w:after="0"/>
              <w:rPr>
                <w:sz w:val="24"/>
                <w:szCs w:val="24"/>
                <w:color w:val="auto"/>
              </w:rPr>
            </w:pPr>
          </w:p>
        </w:tc>
        <w:tc>
          <w:tcPr>
            <w:tcW w:w="940" w:type="dxa"/>
            <w:vAlign w:val="bottom"/>
            <w:shd w:val="clear" w:color="auto" w:fill="F6F3F0"/>
          </w:tcPr>
          <w:p>
            <w:pPr>
              <w:spacing w:after="0"/>
              <w:rPr>
                <w:sz w:val="24"/>
                <w:szCs w:val="24"/>
                <w:color w:val="auto"/>
              </w:rPr>
            </w:pPr>
          </w:p>
        </w:tc>
        <w:tc>
          <w:tcPr>
            <w:tcW w:w="720" w:type="dxa"/>
            <w:vAlign w:val="bottom"/>
            <w:shd w:val="clear" w:color="auto" w:fill="F6F3F0"/>
          </w:tcPr>
          <w:p>
            <w:pPr>
              <w:spacing w:after="0"/>
              <w:rPr>
                <w:sz w:val="24"/>
                <w:szCs w:val="24"/>
                <w:color w:val="auto"/>
              </w:rPr>
            </w:pPr>
          </w:p>
        </w:tc>
        <w:tc>
          <w:tcPr>
            <w:tcW w:w="80" w:type="dxa"/>
            <w:vAlign w:val="bottom"/>
            <w:shd w:val="clear" w:color="auto" w:fill="F6F3F0"/>
          </w:tcPr>
          <w:p>
            <w:pPr>
              <w:spacing w:after="0"/>
              <w:rPr>
                <w:sz w:val="24"/>
                <w:szCs w:val="24"/>
                <w:color w:val="auto"/>
              </w:rPr>
            </w:pPr>
          </w:p>
        </w:tc>
        <w:tc>
          <w:tcPr>
            <w:tcW w:w="1020" w:type="dxa"/>
            <w:vAlign w:val="bottom"/>
            <w:shd w:val="clear" w:color="auto" w:fill="F6F3F0"/>
          </w:tcPr>
          <w:p>
            <w:pPr>
              <w:spacing w:after="0"/>
              <w:rPr>
                <w:sz w:val="24"/>
                <w:szCs w:val="24"/>
                <w:color w:val="auto"/>
              </w:rPr>
            </w:pPr>
          </w:p>
        </w:tc>
        <w:tc>
          <w:tcPr>
            <w:tcW w:w="960" w:type="dxa"/>
            <w:vAlign w:val="bottom"/>
            <w:shd w:val="clear" w:color="auto" w:fill="F6F3F0"/>
          </w:tcPr>
          <w:p>
            <w:pPr>
              <w:spacing w:after="0"/>
              <w:rPr>
                <w:sz w:val="24"/>
                <w:szCs w:val="24"/>
                <w:color w:val="auto"/>
              </w:rPr>
            </w:pPr>
          </w:p>
        </w:tc>
        <w:tc>
          <w:tcPr>
            <w:tcW w:w="620" w:type="dxa"/>
            <w:vAlign w:val="bottom"/>
            <w:shd w:val="clear" w:color="auto" w:fill="F6F3F0"/>
          </w:tcPr>
          <w:p>
            <w:pPr>
              <w:spacing w:after="0"/>
              <w:rPr>
                <w:sz w:val="24"/>
                <w:szCs w:val="24"/>
                <w:color w:val="auto"/>
              </w:rPr>
            </w:pPr>
          </w:p>
        </w:tc>
        <w:tc>
          <w:tcPr>
            <w:tcW w:w="760" w:type="dxa"/>
            <w:vAlign w:val="bottom"/>
            <w:shd w:val="clear" w:color="auto" w:fill="F6F3F0"/>
          </w:tcPr>
          <w:p>
            <w:pPr>
              <w:jc w:val="right"/>
              <w:spacing w:after="0"/>
              <w:rPr>
                <w:sz w:val="20"/>
                <w:szCs w:val="20"/>
                <w:color w:val="auto"/>
              </w:rPr>
            </w:pPr>
            <w:r>
              <w:rPr>
                <w:rFonts w:ascii="Arial" w:cs="Arial" w:eastAsia="Arial" w:hAnsi="Arial"/>
                <w:sz w:val="12"/>
                <w:szCs w:val="12"/>
                <w:b w:val="1"/>
                <w:bCs w:val="1"/>
                <w:color w:val="0E1020"/>
              </w:rPr>
              <w:t>All Other</w:t>
            </w:r>
          </w:p>
        </w:tc>
        <w:tc>
          <w:tcPr>
            <w:tcW w:w="960" w:type="dxa"/>
            <w:vAlign w:val="bottom"/>
            <w:shd w:val="clear" w:color="auto" w:fill="F6F3F0"/>
          </w:tcPr>
          <w:p>
            <w:pPr>
              <w:jc w:val="right"/>
              <w:ind w:right="3"/>
              <w:spacing w:after="0"/>
              <w:rPr>
                <w:sz w:val="20"/>
                <w:szCs w:val="20"/>
                <w:color w:val="auto"/>
              </w:rPr>
            </w:pPr>
            <w:r>
              <w:rPr>
                <w:rFonts w:ascii="Arial" w:cs="Arial" w:eastAsia="Arial" w:hAnsi="Arial"/>
                <w:sz w:val="12"/>
                <w:szCs w:val="12"/>
                <w:b w:val="1"/>
                <w:bCs w:val="1"/>
                <w:color w:val="0E1020"/>
              </w:rPr>
              <w:t>All Other</w:t>
            </w:r>
          </w:p>
        </w:tc>
        <w:tc>
          <w:tcPr>
            <w:tcW w:w="720" w:type="dxa"/>
            <w:vAlign w:val="bottom"/>
            <w:shd w:val="clear" w:color="auto" w:fill="F6F3F0"/>
          </w:tcPr>
          <w:p>
            <w:pPr>
              <w:spacing w:after="0"/>
              <w:rPr>
                <w:sz w:val="24"/>
                <w:szCs w:val="24"/>
                <w:color w:val="auto"/>
              </w:rPr>
            </w:pPr>
          </w:p>
        </w:tc>
        <w:tc>
          <w:tcPr>
            <w:tcW w:w="860" w:type="dxa"/>
            <w:vAlign w:val="bottom"/>
            <w:shd w:val="clear" w:color="auto" w:fill="F6F3F0"/>
          </w:tcPr>
          <w:p>
            <w:pPr>
              <w:spacing w:after="0"/>
              <w:rPr>
                <w:sz w:val="24"/>
                <w:szCs w:val="24"/>
                <w:color w:val="auto"/>
              </w:rPr>
            </w:pPr>
          </w:p>
        </w:tc>
        <w:tc>
          <w:tcPr>
            <w:tcW w:w="140" w:type="dxa"/>
            <w:vAlign w:val="bottom"/>
            <w:shd w:val="clear" w:color="auto" w:fill="F6F3F0"/>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300" w:type="dxa"/>
            <w:vAlign w:val="bottom"/>
            <w:shd w:val="clear" w:color="auto" w:fill="F6F3F0"/>
          </w:tcPr>
          <w:p>
            <w:pPr>
              <w:spacing w:after="0"/>
              <w:rPr>
                <w:sz w:val="11"/>
                <w:szCs w:val="11"/>
                <w:color w:val="auto"/>
              </w:rPr>
            </w:pPr>
          </w:p>
        </w:tc>
        <w:tc>
          <w:tcPr>
            <w:tcW w:w="540" w:type="dxa"/>
            <w:vAlign w:val="bottom"/>
            <w:shd w:val="clear" w:color="auto" w:fill="F6F3F0"/>
          </w:tcPr>
          <w:p>
            <w:pPr>
              <w:spacing w:after="0"/>
              <w:rPr>
                <w:sz w:val="11"/>
                <w:szCs w:val="11"/>
                <w:color w:val="auto"/>
              </w:rPr>
            </w:pPr>
          </w:p>
        </w:tc>
        <w:tc>
          <w:tcPr>
            <w:tcW w:w="760" w:type="dxa"/>
            <w:vAlign w:val="bottom"/>
            <w:shd w:val="clear" w:color="auto" w:fill="F6F3F0"/>
          </w:tcPr>
          <w:p>
            <w:pPr>
              <w:spacing w:after="0"/>
              <w:rPr>
                <w:sz w:val="11"/>
                <w:szCs w:val="11"/>
                <w:color w:val="auto"/>
              </w:rPr>
            </w:pPr>
          </w:p>
        </w:tc>
        <w:tc>
          <w:tcPr>
            <w:tcW w:w="2600" w:type="dxa"/>
            <w:vAlign w:val="bottom"/>
            <w:gridSpan w:val="4"/>
            <w:vMerge w:val="restart"/>
            <w:shd w:val="clear" w:color="auto" w:fill="F6F3F0"/>
          </w:tcPr>
          <w:p>
            <w:pPr>
              <w:jc w:val="center"/>
              <w:ind w:right="80"/>
              <w:spacing w:after="0"/>
              <w:rPr>
                <w:sz w:val="20"/>
                <w:szCs w:val="20"/>
                <w:color w:val="auto"/>
              </w:rPr>
            </w:pPr>
            <w:r>
              <w:rPr>
                <w:rFonts w:ascii="Arial" w:cs="Arial" w:eastAsia="Arial" w:hAnsi="Arial"/>
                <w:sz w:val="12"/>
                <w:szCs w:val="12"/>
                <w:b w:val="1"/>
                <w:bCs w:val="1"/>
                <w:color w:val="0E1020"/>
                <w:w w:val="97"/>
              </w:rPr>
              <w:t>Estimated Future Payments Under Non-</w:t>
            </w:r>
          </w:p>
        </w:tc>
        <w:tc>
          <w:tcPr>
            <w:tcW w:w="2600" w:type="dxa"/>
            <w:vAlign w:val="bottom"/>
            <w:gridSpan w:val="3"/>
            <w:vMerge w:val="restart"/>
            <w:shd w:val="clear" w:color="auto" w:fill="F6F3F0"/>
          </w:tcPr>
          <w:p>
            <w:pPr>
              <w:jc w:val="right"/>
              <w:ind w:right="82"/>
              <w:spacing w:after="0"/>
              <w:rPr>
                <w:sz w:val="20"/>
                <w:szCs w:val="20"/>
                <w:color w:val="auto"/>
              </w:rPr>
            </w:pPr>
            <w:r>
              <w:rPr>
                <w:rFonts w:ascii="Arial" w:cs="Arial" w:eastAsia="Arial" w:hAnsi="Arial"/>
                <w:sz w:val="12"/>
                <w:szCs w:val="12"/>
                <w:b w:val="1"/>
                <w:bCs w:val="1"/>
                <w:color w:val="0E1020"/>
              </w:rPr>
              <w:t>Estimated Future Payments Under Equity</w:t>
            </w:r>
          </w:p>
        </w:tc>
        <w:tc>
          <w:tcPr>
            <w:tcW w:w="760" w:type="dxa"/>
            <w:vAlign w:val="bottom"/>
            <w:shd w:val="clear" w:color="auto" w:fill="F6F3F0"/>
          </w:tcPr>
          <w:p>
            <w:pPr>
              <w:jc w:val="right"/>
              <w:spacing w:after="0" w:line="134" w:lineRule="exact"/>
              <w:rPr>
                <w:sz w:val="20"/>
                <w:szCs w:val="20"/>
                <w:color w:val="auto"/>
              </w:rPr>
            </w:pPr>
            <w:r>
              <w:rPr>
                <w:rFonts w:ascii="Arial" w:cs="Arial" w:eastAsia="Arial" w:hAnsi="Arial"/>
                <w:sz w:val="12"/>
                <w:szCs w:val="12"/>
                <w:b w:val="1"/>
                <w:bCs w:val="1"/>
                <w:color w:val="0E1020"/>
              </w:rPr>
              <w:t>Stock</w:t>
            </w:r>
          </w:p>
        </w:tc>
        <w:tc>
          <w:tcPr>
            <w:tcW w:w="960" w:type="dxa"/>
            <w:vAlign w:val="bottom"/>
            <w:shd w:val="clear" w:color="auto" w:fill="F6F3F0"/>
          </w:tcPr>
          <w:p>
            <w:pPr>
              <w:jc w:val="right"/>
              <w:ind w:right="3"/>
              <w:spacing w:after="0" w:line="134" w:lineRule="exact"/>
              <w:rPr>
                <w:sz w:val="20"/>
                <w:szCs w:val="20"/>
                <w:color w:val="auto"/>
              </w:rPr>
            </w:pPr>
            <w:r>
              <w:rPr>
                <w:rFonts w:ascii="Arial" w:cs="Arial" w:eastAsia="Arial" w:hAnsi="Arial"/>
                <w:sz w:val="12"/>
                <w:szCs w:val="12"/>
                <w:b w:val="1"/>
                <w:bCs w:val="1"/>
                <w:color w:val="0E1020"/>
                <w:w w:val="98"/>
              </w:rPr>
              <w:t>Option Awards:</w:t>
            </w:r>
          </w:p>
        </w:tc>
        <w:tc>
          <w:tcPr>
            <w:tcW w:w="720" w:type="dxa"/>
            <w:vAlign w:val="bottom"/>
            <w:shd w:val="clear" w:color="auto" w:fill="F6F3F0"/>
          </w:tcPr>
          <w:p>
            <w:pPr>
              <w:spacing w:after="0"/>
              <w:rPr>
                <w:sz w:val="11"/>
                <w:szCs w:val="11"/>
                <w:color w:val="auto"/>
              </w:rPr>
            </w:pPr>
          </w:p>
        </w:tc>
        <w:tc>
          <w:tcPr>
            <w:tcW w:w="860" w:type="dxa"/>
            <w:vAlign w:val="bottom"/>
            <w:shd w:val="clear" w:color="auto" w:fill="F6F3F0"/>
          </w:tcPr>
          <w:p>
            <w:pPr>
              <w:spacing w:after="0"/>
              <w:rPr>
                <w:sz w:val="11"/>
                <w:szCs w:val="11"/>
                <w:color w:val="auto"/>
              </w:rPr>
            </w:pPr>
          </w:p>
        </w:tc>
        <w:tc>
          <w:tcPr>
            <w:tcW w:w="140" w:type="dxa"/>
            <w:vAlign w:val="bottom"/>
            <w:shd w:val="clear" w:color="auto" w:fill="F6F3F0"/>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300" w:type="dxa"/>
            <w:vAlign w:val="bottom"/>
            <w:shd w:val="clear" w:color="auto" w:fill="F6F3F0"/>
          </w:tcPr>
          <w:p>
            <w:pPr>
              <w:spacing w:after="0"/>
              <w:rPr>
                <w:sz w:val="11"/>
                <w:szCs w:val="11"/>
                <w:color w:val="auto"/>
              </w:rPr>
            </w:pPr>
          </w:p>
        </w:tc>
        <w:tc>
          <w:tcPr>
            <w:tcW w:w="540" w:type="dxa"/>
            <w:vAlign w:val="bottom"/>
            <w:shd w:val="clear" w:color="auto" w:fill="F6F3F0"/>
          </w:tcPr>
          <w:p>
            <w:pPr>
              <w:spacing w:after="0"/>
              <w:rPr>
                <w:sz w:val="11"/>
                <w:szCs w:val="11"/>
                <w:color w:val="auto"/>
              </w:rPr>
            </w:pPr>
          </w:p>
        </w:tc>
        <w:tc>
          <w:tcPr>
            <w:tcW w:w="760" w:type="dxa"/>
            <w:vAlign w:val="bottom"/>
            <w:shd w:val="clear" w:color="auto" w:fill="F6F3F0"/>
          </w:tcPr>
          <w:p>
            <w:pPr>
              <w:spacing w:after="0"/>
              <w:rPr>
                <w:sz w:val="11"/>
                <w:szCs w:val="11"/>
                <w:color w:val="auto"/>
              </w:rPr>
            </w:pPr>
          </w:p>
        </w:tc>
        <w:tc>
          <w:tcPr>
            <w:tcW w:w="2600" w:type="dxa"/>
            <w:vAlign w:val="bottom"/>
            <w:gridSpan w:val="4"/>
            <w:vMerge w:val="continue"/>
            <w:shd w:val="clear" w:color="auto" w:fill="F6F3F0"/>
          </w:tcPr>
          <w:p>
            <w:pPr>
              <w:spacing w:after="0"/>
              <w:rPr>
                <w:sz w:val="11"/>
                <w:szCs w:val="11"/>
                <w:color w:val="auto"/>
              </w:rPr>
            </w:pPr>
          </w:p>
        </w:tc>
        <w:tc>
          <w:tcPr>
            <w:tcW w:w="2600" w:type="dxa"/>
            <w:vAlign w:val="bottom"/>
            <w:gridSpan w:val="3"/>
            <w:vMerge w:val="continue"/>
            <w:shd w:val="clear" w:color="auto" w:fill="F6F3F0"/>
          </w:tcPr>
          <w:p>
            <w:pPr>
              <w:spacing w:after="0"/>
              <w:rPr>
                <w:sz w:val="11"/>
                <w:szCs w:val="11"/>
                <w:color w:val="auto"/>
              </w:rPr>
            </w:pPr>
          </w:p>
        </w:tc>
        <w:tc>
          <w:tcPr>
            <w:tcW w:w="760" w:type="dxa"/>
            <w:vAlign w:val="bottom"/>
            <w:shd w:val="clear" w:color="auto" w:fill="F6F3F0"/>
          </w:tcPr>
          <w:p>
            <w:pPr>
              <w:jc w:val="right"/>
              <w:spacing w:after="0" w:line="130" w:lineRule="exact"/>
              <w:rPr>
                <w:sz w:val="20"/>
                <w:szCs w:val="20"/>
                <w:color w:val="auto"/>
              </w:rPr>
            </w:pPr>
            <w:r>
              <w:rPr>
                <w:rFonts w:ascii="Arial" w:cs="Arial" w:eastAsia="Arial" w:hAnsi="Arial"/>
                <w:sz w:val="12"/>
                <w:szCs w:val="12"/>
                <w:b w:val="1"/>
                <w:bCs w:val="1"/>
                <w:color w:val="0E1020"/>
              </w:rPr>
              <w:t>Awards:</w:t>
            </w:r>
          </w:p>
        </w:tc>
        <w:tc>
          <w:tcPr>
            <w:tcW w:w="960" w:type="dxa"/>
            <w:vAlign w:val="bottom"/>
            <w:shd w:val="clear" w:color="auto" w:fill="F6F3F0"/>
          </w:tcPr>
          <w:p>
            <w:pPr>
              <w:jc w:val="right"/>
              <w:ind w:right="3"/>
              <w:spacing w:after="0" w:line="130" w:lineRule="exact"/>
              <w:rPr>
                <w:sz w:val="20"/>
                <w:szCs w:val="20"/>
                <w:color w:val="auto"/>
              </w:rPr>
            </w:pPr>
            <w:r>
              <w:rPr>
                <w:rFonts w:ascii="Arial" w:cs="Arial" w:eastAsia="Arial" w:hAnsi="Arial"/>
                <w:sz w:val="12"/>
                <w:szCs w:val="12"/>
                <w:b w:val="1"/>
                <w:bCs w:val="1"/>
                <w:color w:val="0E1020"/>
              </w:rPr>
              <w:t>Number of</w:t>
            </w:r>
          </w:p>
        </w:tc>
        <w:tc>
          <w:tcPr>
            <w:tcW w:w="1580" w:type="dxa"/>
            <w:vAlign w:val="bottom"/>
            <w:gridSpan w:val="2"/>
            <w:shd w:val="clear" w:color="auto" w:fill="F6F3F0"/>
          </w:tcPr>
          <w:p>
            <w:pPr>
              <w:jc w:val="right"/>
              <w:spacing w:after="0" w:line="130" w:lineRule="exact"/>
              <w:rPr>
                <w:sz w:val="20"/>
                <w:szCs w:val="20"/>
                <w:color w:val="auto"/>
              </w:rPr>
            </w:pPr>
            <w:r>
              <w:rPr>
                <w:rFonts w:ascii="Arial" w:cs="Arial" w:eastAsia="Arial" w:hAnsi="Arial"/>
                <w:sz w:val="12"/>
                <w:szCs w:val="12"/>
                <w:b w:val="1"/>
                <w:bCs w:val="1"/>
                <w:color w:val="0E1020"/>
                <w:w w:val="99"/>
              </w:rPr>
              <w:t>Exercise of Grant Date Fair</w:t>
            </w:r>
          </w:p>
        </w:tc>
        <w:tc>
          <w:tcPr>
            <w:tcW w:w="140" w:type="dxa"/>
            <w:vAlign w:val="bottom"/>
            <w:shd w:val="clear" w:color="auto" w:fill="F6F3F0"/>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1300" w:type="dxa"/>
            <w:vAlign w:val="bottom"/>
            <w:tcBorders>
              <w:bottom w:val="single" w:sz="8" w:color="F6F3F0"/>
            </w:tcBorders>
            <w:shd w:val="clear" w:color="auto" w:fill="F6F3F0"/>
          </w:tcPr>
          <w:p>
            <w:pPr>
              <w:spacing w:after="0"/>
              <w:rPr>
                <w:sz w:val="18"/>
                <w:szCs w:val="18"/>
                <w:color w:val="auto"/>
              </w:rPr>
            </w:pPr>
          </w:p>
        </w:tc>
        <w:tc>
          <w:tcPr>
            <w:tcW w:w="540" w:type="dxa"/>
            <w:vAlign w:val="bottom"/>
            <w:tcBorders>
              <w:bottom w:val="single" w:sz="8" w:color="F6F3F0"/>
            </w:tcBorders>
            <w:shd w:val="clear" w:color="auto" w:fill="F6F3F0"/>
          </w:tcPr>
          <w:p>
            <w:pPr>
              <w:spacing w:after="0"/>
              <w:rPr>
                <w:sz w:val="18"/>
                <w:szCs w:val="18"/>
                <w:color w:val="auto"/>
              </w:rPr>
            </w:pPr>
          </w:p>
        </w:tc>
        <w:tc>
          <w:tcPr>
            <w:tcW w:w="760" w:type="dxa"/>
            <w:vAlign w:val="bottom"/>
            <w:tcBorders>
              <w:bottom w:val="single" w:sz="8" w:color="F6F3F0"/>
            </w:tcBorders>
            <w:shd w:val="clear" w:color="auto" w:fill="F6F3F0"/>
          </w:tcPr>
          <w:p>
            <w:pPr>
              <w:spacing w:after="0"/>
              <w:rPr>
                <w:sz w:val="18"/>
                <w:szCs w:val="18"/>
                <w:color w:val="auto"/>
              </w:rPr>
            </w:pPr>
          </w:p>
        </w:tc>
        <w:tc>
          <w:tcPr>
            <w:tcW w:w="2600" w:type="dxa"/>
            <w:vAlign w:val="bottom"/>
            <w:tcBorders>
              <w:bottom w:val="single" w:sz="8" w:color="F6F3F0"/>
            </w:tcBorders>
            <w:gridSpan w:val="4"/>
            <w:shd w:val="clear" w:color="auto" w:fill="F6F3F0"/>
          </w:tcPr>
          <w:p>
            <w:pPr>
              <w:jc w:val="center"/>
              <w:ind w:right="80"/>
              <w:spacing w:after="0" w:line="161" w:lineRule="exact"/>
              <w:rPr>
                <w:sz w:val="20"/>
                <w:szCs w:val="20"/>
                <w:color w:val="auto"/>
              </w:rPr>
            </w:pPr>
            <w:r>
              <w:rPr>
                <w:rFonts w:ascii="Arial" w:cs="Arial" w:eastAsia="Arial" w:hAnsi="Arial"/>
                <w:sz w:val="12"/>
                <w:szCs w:val="12"/>
                <w:b w:val="1"/>
                <w:bCs w:val="1"/>
                <w:color w:val="0E1020"/>
                <w:w w:val="95"/>
              </w:rPr>
              <w:t>Equity Incentive Plan Awards</w:t>
            </w:r>
            <w:r>
              <w:rPr>
                <w:rFonts w:ascii="Arial" w:cs="Arial" w:eastAsia="Arial" w:hAnsi="Arial"/>
                <w:sz w:val="15"/>
                <w:szCs w:val="15"/>
                <w:b w:val="1"/>
                <w:bCs w:val="1"/>
                <w:color w:val="0E1020"/>
                <w:w w:val="95"/>
                <w:vertAlign w:val="superscript"/>
              </w:rPr>
              <w:t>(1)</w:t>
            </w:r>
          </w:p>
        </w:tc>
        <w:tc>
          <w:tcPr>
            <w:tcW w:w="1980" w:type="dxa"/>
            <w:vAlign w:val="bottom"/>
            <w:tcBorders>
              <w:bottom w:val="single" w:sz="8" w:color="F6F3F0"/>
            </w:tcBorders>
            <w:gridSpan w:val="2"/>
            <w:shd w:val="clear" w:color="auto" w:fill="F6F3F0"/>
          </w:tcPr>
          <w:p>
            <w:pPr>
              <w:jc w:val="right"/>
              <w:ind w:right="2"/>
              <w:spacing w:after="0"/>
              <w:rPr>
                <w:sz w:val="20"/>
                <w:szCs w:val="20"/>
                <w:color w:val="auto"/>
              </w:rPr>
            </w:pPr>
            <w:r>
              <w:rPr>
                <w:rFonts w:ascii="Arial" w:cs="Arial" w:eastAsia="Arial" w:hAnsi="Arial"/>
                <w:sz w:val="12"/>
                <w:szCs w:val="12"/>
                <w:b w:val="1"/>
                <w:bCs w:val="1"/>
                <w:color w:val="0E1020"/>
              </w:rPr>
              <w:t>Incentive Plan Awards</w:t>
            </w:r>
          </w:p>
        </w:tc>
        <w:tc>
          <w:tcPr>
            <w:tcW w:w="620" w:type="dxa"/>
            <w:vAlign w:val="bottom"/>
            <w:tcBorders>
              <w:bottom w:val="single" w:sz="8" w:color="F6F3F0"/>
            </w:tcBorders>
            <w:shd w:val="clear" w:color="auto" w:fill="F6F3F0"/>
          </w:tcPr>
          <w:p>
            <w:pPr>
              <w:spacing w:after="0"/>
              <w:rPr>
                <w:sz w:val="18"/>
                <w:szCs w:val="18"/>
                <w:color w:val="auto"/>
              </w:rPr>
            </w:pPr>
          </w:p>
        </w:tc>
        <w:tc>
          <w:tcPr>
            <w:tcW w:w="76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2"/>
                <w:szCs w:val="12"/>
                <w:b w:val="1"/>
                <w:bCs w:val="1"/>
                <w:color w:val="0E1020"/>
              </w:rPr>
              <w:t>Number of</w:t>
            </w:r>
          </w:p>
        </w:tc>
        <w:tc>
          <w:tcPr>
            <w:tcW w:w="960" w:type="dxa"/>
            <w:vAlign w:val="bottom"/>
            <w:tcBorders>
              <w:bottom w:val="single" w:sz="8" w:color="F6F3F0"/>
            </w:tcBorders>
            <w:shd w:val="clear" w:color="auto" w:fill="F6F3F0"/>
          </w:tcPr>
          <w:p>
            <w:pPr>
              <w:jc w:val="right"/>
              <w:ind w:right="3"/>
              <w:spacing w:after="0"/>
              <w:rPr>
                <w:sz w:val="20"/>
                <w:szCs w:val="20"/>
                <w:color w:val="auto"/>
              </w:rPr>
            </w:pPr>
            <w:r>
              <w:rPr>
                <w:rFonts w:ascii="Arial" w:cs="Arial" w:eastAsia="Arial" w:hAnsi="Arial"/>
                <w:sz w:val="12"/>
                <w:szCs w:val="12"/>
                <w:b w:val="1"/>
                <w:bCs w:val="1"/>
                <w:color w:val="0E1020"/>
              </w:rPr>
              <w:t>Securities</w:t>
            </w:r>
          </w:p>
        </w:tc>
        <w:tc>
          <w:tcPr>
            <w:tcW w:w="72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2"/>
                <w:szCs w:val="12"/>
                <w:b w:val="1"/>
                <w:bCs w:val="1"/>
                <w:color w:val="0E1020"/>
              </w:rPr>
              <w:t>Base Price</w:t>
            </w:r>
          </w:p>
        </w:tc>
        <w:tc>
          <w:tcPr>
            <w:tcW w:w="86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2"/>
                <w:szCs w:val="12"/>
                <w:b w:val="1"/>
                <w:bCs w:val="1"/>
                <w:color w:val="0E1020"/>
                <w:w w:val="99"/>
              </w:rPr>
              <w:t>Value of Stock</w:t>
            </w:r>
          </w:p>
        </w:tc>
        <w:tc>
          <w:tcPr>
            <w:tcW w:w="140" w:type="dxa"/>
            <w:vAlign w:val="bottom"/>
            <w:tcBorders>
              <w:bottom w:val="single" w:sz="8" w:color="F6F3F0"/>
            </w:tcBorders>
            <w:shd w:val="clear" w:color="auto" w:fill="F6F3F0"/>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1300" w:type="dxa"/>
            <w:vAlign w:val="bottom"/>
            <w:tcBorders>
              <w:top w:val="single" w:sz="8" w:color="F6F3F0"/>
            </w:tcBorders>
            <w:shd w:val="clear" w:color="auto" w:fill="F6F3F0"/>
          </w:tcPr>
          <w:p>
            <w:pPr>
              <w:spacing w:after="0"/>
              <w:rPr>
                <w:sz w:val="5"/>
                <w:szCs w:val="5"/>
                <w:color w:val="auto"/>
              </w:rPr>
            </w:pPr>
          </w:p>
        </w:tc>
        <w:tc>
          <w:tcPr>
            <w:tcW w:w="540" w:type="dxa"/>
            <w:vAlign w:val="bottom"/>
            <w:tcBorders>
              <w:top w:val="single" w:sz="8" w:color="F6F3F0"/>
            </w:tcBorders>
            <w:shd w:val="clear" w:color="auto" w:fill="F6F3F0"/>
          </w:tcPr>
          <w:p>
            <w:pPr>
              <w:spacing w:after="0"/>
              <w:rPr>
                <w:sz w:val="5"/>
                <w:szCs w:val="5"/>
                <w:color w:val="auto"/>
              </w:rPr>
            </w:pPr>
          </w:p>
        </w:tc>
        <w:tc>
          <w:tcPr>
            <w:tcW w:w="760" w:type="dxa"/>
            <w:vAlign w:val="bottom"/>
            <w:tcBorders>
              <w:top w:val="single" w:sz="8" w:color="F6F3F0"/>
            </w:tcBorders>
            <w:shd w:val="clear" w:color="auto" w:fill="F6F3F0"/>
          </w:tcPr>
          <w:p>
            <w:pPr>
              <w:spacing w:after="0"/>
              <w:rPr>
                <w:sz w:val="5"/>
                <w:szCs w:val="5"/>
                <w:color w:val="auto"/>
              </w:rPr>
            </w:pPr>
          </w:p>
        </w:tc>
        <w:tc>
          <w:tcPr>
            <w:tcW w:w="860" w:type="dxa"/>
            <w:vAlign w:val="bottom"/>
            <w:tcBorders>
              <w:top w:val="single" w:sz="8" w:color="CFCFD2"/>
            </w:tcBorders>
            <w:shd w:val="clear" w:color="auto" w:fill="F6F3F0"/>
          </w:tcPr>
          <w:p>
            <w:pPr>
              <w:spacing w:after="0"/>
              <w:rPr>
                <w:sz w:val="5"/>
                <w:szCs w:val="5"/>
                <w:color w:val="auto"/>
              </w:rPr>
            </w:pPr>
          </w:p>
        </w:tc>
        <w:tc>
          <w:tcPr>
            <w:tcW w:w="940" w:type="dxa"/>
            <w:vAlign w:val="bottom"/>
            <w:tcBorders>
              <w:top w:val="single" w:sz="8" w:color="CFCFD2"/>
            </w:tcBorders>
            <w:shd w:val="clear" w:color="auto" w:fill="F6F3F0"/>
          </w:tcPr>
          <w:p>
            <w:pPr>
              <w:spacing w:after="0"/>
              <w:rPr>
                <w:sz w:val="5"/>
                <w:szCs w:val="5"/>
                <w:color w:val="auto"/>
              </w:rPr>
            </w:pPr>
          </w:p>
        </w:tc>
        <w:tc>
          <w:tcPr>
            <w:tcW w:w="720" w:type="dxa"/>
            <w:vAlign w:val="bottom"/>
            <w:tcBorders>
              <w:top w:val="single" w:sz="8" w:color="CFCFD2"/>
            </w:tcBorders>
            <w:shd w:val="clear" w:color="auto" w:fill="F6F3F0"/>
          </w:tcPr>
          <w:p>
            <w:pPr>
              <w:spacing w:after="0"/>
              <w:rPr>
                <w:sz w:val="5"/>
                <w:szCs w:val="5"/>
                <w:color w:val="auto"/>
              </w:rPr>
            </w:pPr>
          </w:p>
        </w:tc>
        <w:tc>
          <w:tcPr>
            <w:tcW w:w="80" w:type="dxa"/>
            <w:vAlign w:val="bottom"/>
            <w:tcBorders>
              <w:top w:val="single" w:sz="8" w:color="F6F3F0"/>
            </w:tcBorders>
            <w:shd w:val="clear" w:color="auto" w:fill="F6F3F0"/>
          </w:tcPr>
          <w:p>
            <w:pPr>
              <w:spacing w:after="0"/>
              <w:rPr>
                <w:sz w:val="5"/>
                <w:szCs w:val="5"/>
                <w:color w:val="auto"/>
              </w:rPr>
            </w:pPr>
          </w:p>
        </w:tc>
        <w:tc>
          <w:tcPr>
            <w:tcW w:w="1020" w:type="dxa"/>
            <w:vAlign w:val="bottom"/>
            <w:tcBorders>
              <w:top w:val="single" w:sz="8" w:color="CFCFD2"/>
            </w:tcBorders>
            <w:shd w:val="clear" w:color="auto" w:fill="F6F3F0"/>
          </w:tcPr>
          <w:p>
            <w:pPr>
              <w:spacing w:after="0"/>
              <w:rPr>
                <w:sz w:val="5"/>
                <w:szCs w:val="5"/>
                <w:color w:val="auto"/>
              </w:rPr>
            </w:pPr>
          </w:p>
        </w:tc>
        <w:tc>
          <w:tcPr>
            <w:tcW w:w="960" w:type="dxa"/>
            <w:vAlign w:val="bottom"/>
            <w:tcBorders>
              <w:top w:val="single" w:sz="8" w:color="CFCFD2"/>
            </w:tcBorders>
            <w:shd w:val="clear" w:color="auto" w:fill="F6F3F0"/>
          </w:tcPr>
          <w:p>
            <w:pPr>
              <w:spacing w:after="0"/>
              <w:rPr>
                <w:sz w:val="5"/>
                <w:szCs w:val="5"/>
                <w:color w:val="auto"/>
              </w:rPr>
            </w:pPr>
          </w:p>
        </w:tc>
        <w:tc>
          <w:tcPr>
            <w:tcW w:w="620" w:type="dxa"/>
            <w:vAlign w:val="bottom"/>
            <w:tcBorders>
              <w:top w:val="single" w:sz="8" w:color="CFCFD2"/>
            </w:tcBorders>
            <w:shd w:val="clear" w:color="auto" w:fill="F6F3F0"/>
          </w:tcPr>
          <w:p>
            <w:pPr>
              <w:spacing w:after="0"/>
              <w:rPr>
                <w:sz w:val="5"/>
                <w:szCs w:val="5"/>
                <w:color w:val="auto"/>
              </w:rPr>
            </w:pPr>
          </w:p>
        </w:tc>
        <w:tc>
          <w:tcPr>
            <w:tcW w:w="760" w:type="dxa"/>
            <w:vAlign w:val="bottom"/>
            <w:tcBorders>
              <w:top w:val="single" w:sz="8" w:color="F6F3F0"/>
            </w:tcBorders>
            <w:shd w:val="clear" w:color="auto" w:fill="F6F3F0"/>
          </w:tcPr>
          <w:p>
            <w:pPr>
              <w:jc w:val="right"/>
              <w:spacing w:after="0" w:line="64" w:lineRule="exact"/>
              <w:rPr>
                <w:sz w:val="20"/>
                <w:szCs w:val="20"/>
                <w:color w:val="auto"/>
              </w:rPr>
            </w:pPr>
            <w:r>
              <w:rPr>
                <w:rFonts w:ascii="Arial" w:cs="Arial" w:eastAsia="Arial" w:hAnsi="Arial"/>
                <w:sz w:val="7"/>
                <w:szCs w:val="7"/>
                <w:b w:val="1"/>
                <w:bCs w:val="1"/>
                <w:color w:val="0E1020"/>
              </w:rPr>
              <w:t>Shares of</w:t>
            </w:r>
          </w:p>
        </w:tc>
        <w:tc>
          <w:tcPr>
            <w:tcW w:w="960" w:type="dxa"/>
            <w:vAlign w:val="bottom"/>
            <w:tcBorders>
              <w:top w:val="single" w:sz="8" w:color="F6F3F0"/>
            </w:tcBorders>
            <w:shd w:val="clear" w:color="auto" w:fill="F6F3F0"/>
          </w:tcPr>
          <w:p>
            <w:pPr>
              <w:jc w:val="right"/>
              <w:ind w:right="3"/>
              <w:spacing w:after="0" w:line="64" w:lineRule="exact"/>
              <w:rPr>
                <w:sz w:val="20"/>
                <w:szCs w:val="20"/>
                <w:color w:val="auto"/>
              </w:rPr>
            </w:pPr>
            <w:r>
              <w:rPr>
                <w:rFonts w:ascii="Arial" w:cs="Arial" w:eastAsia="Arial" w:hAnsi="Arial"/>
                <w:sz w:val="7"/>
                <w:szCs w:val="7"/>
                <w:b w:val="1"/>
                <w:bCs w:val="1"/>
                <w:color w:val="0E1020"/>
              </w:rPr>
              <w:t>Underlying</w:t>
            </w:r>
          </w:p>
        </w:tc>
        <w:tc>
          <w:tcPr>
            <w:tcW w:w="720" w:type="dxa"/>
            <w:vAlign w:val="bottom"/>
            <w:tcBorders>
              <w:top w:val="single" w:sz="8" w:color="F6F3F0"/>
            </w:tcBorders>
            <w:shd w:val="clear" w:color="auto" w:fill="F6F3F0"/>
          </w:tcPr>
          <w:p>
            <w:pPr>
              <w:jc w:val="right"/>
              <w:spacing w:after="0" w:line="64" w:lineRule="exact"/>
              <w:rPr>
                <w:sz w:val="20"/>
                <w:szCs w:val="20"/>
                <w:color w:val="auto"/>
              </w:rPr>
            </w:pPr>
            <w:r>
              <w:rPr>
                <w:rFonts w:ascii="Arial" w:cs="Arial" w:eastAsia="Arial" w:hAnsi="Arial"/>
                <w:sz w:val="7"/>
                <w:szCs w:val="7"/>
                <w:b w:val="1"/>
                <w:bCs w:val="1"/>
                <w:color w:val="0E1020"/>
              </w:rPr>
              <w:t>of Option</w:t>
            </w:r>
          </w:p>
        </w:tc>
        <w:tc>
          <w:tcPr>
            <w:tcW w:w="860" w:type="dxa"/>
            <w:vAlign w:val="bottom"/>
            <w:tcBorders>
              <w:top w:val="single" w:sz="8" w:color="F6F3F0"/>
            </w:tcBorders>
            <w:shd w:val="clear" w:color="auto" w:fill="F6F3F0"/>
          </w:tcPr>
          <w:p>
            <w:pPr>
              <w:jc w:val="right"/>
              <w:spacing w:after="0" w:line="64" w:lineRule="exact"/>
              <w:rPr>
                <w:sz w:val="20"/>
                <w:szCs w:val="20"/>
                <w:color w:val="auto"/>
              </w:rPr>
            </w:pPr>
            <w:r>
              <w:rPr>
                <w:rFonts w:ascii="Arial" w:cs="Arial" w:eastAsia="Arial" w:hAnsi="Arial"/>
                <w:sz w:val="7"/>
                <w:szCs w:val="7"/>
                <w:b w:val="1"/>
                <w:bCs w:val="1"/>
                <w:color w:val="0E1020"/>
              </w:rPr>
              <w:t>and Options</w:t>
            </w:r>
          </w:p>
        </w:tc>
        <w:tc>
          <w:tcPr>
            <w:tcW w:w="140" w:type="dxa"/>
            <w:vAlign w:val="bottom"/>
            <w:tcBorders>
              <w:top w:val="single" w:sz="8" w:color="F6F3F0"/>
            </w:tcBorders>
            <w:shd w:val="clear" w:color="auto" w:fill="F6F3F0"/>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300" w:type="dxa"/>
            <w:vAlign w:val="bottom"/>
            <w:shd w:val="clear" w:color="auto" w:fill="F6F3F0"/>
          </w:tcPr>
          <w:p>
            <w:pPr>
              <w:spacing w:after="0"/>
              <w:rPr>
                <w:sz w:val="11"/>
                <w:szCs w:val="11"/>
                <w:color w:val="auto"/>
              </w:rPr>
            </w:pPr>
          </w:p>
        </w:tc>
        <w:tc>
          <w:tcPr>
            <w:tcW w:w="540" w:type="dxa"/>
            <w:vAlign w:val="bottom"/>
            <w:shd w:val="clear" w:color="auto" w:fill="F6F3F0"/>
          </w:tcPr>
          <w:p>
            <w:pPr>
              <w:jc w:val="center"/>
              <w:ind w:right="62"/>
              <w:spacing w:after="0" w:line="134" w:lineRule="exact"/>
              <w:rPr>
                <w:sz w:val="20"/>
                <w:szCs w:val="20"/>
                <w:color w:val="auto"/>
              </w:rPr>
            </w:pPr>
            <w:r>
              <w:rPr>
                <w:rFonts w:ascii="Arial" w:cs="Arial" w:eastAsia="Arial" w:hAnsi="Arial"/>
                <w:sz w:val="12"/>
                <w:szCs w:val="12"/>
                <w:b w:val="1"/>
                <w:bCs w:val="1"/>
                <w:color w:val="0E1020"/>
                <w:w w:val="93"/>
              </w:rPr>
              <w:t>Grant</w:t>
            </w:r>
          </w:p>
        </w:tc>
        <w:tc>
          <w:tcPr>
            <w:tcW w:w="760" w:type="dxa"/>
            <w:vAlign w:val="bottom"/>
            <w:shd w:val="clear" w:color="auto" w:fill="F6F3F0"/>
          </w:tcPr>
          <w:p>
            <w:pPr>
              <w:jc w:val="center"/>
              <w:spacing w:after="0" w:line="134" w:lineRule="exact"/>
              <w:rPr>
                <w:sz w:val="20"/>
                <w:szCs w:val="20"/>
                <w:color w:val="auto"/>
              </w:rPr>
            </w:pPr>
            <w:r>
              <w:rPr>
                <w:rFonts w:ascii="Arial" w:cs="Arial" w:eastAsia="Arial" w:hAnsi="Arial"/>
                <w:sz w:val="12"/>
                <w:szCs w:val="12"/>
                <w:b w:val="1"/>
                <w:bCs w:val="1"/>
                <w:color w:val="0E1020"/>
                <w:w w:val="99"/>
              </w:rPr>
              <w:t>Approval</w:t>
            </w:r>
          </w:p>
        </w:tc>
        <w:tc>
          <w:tcPr>
            <w:tcW w:w="860" w:type="dxa"/>
            <w:vAlign w:val="bottom"/>
            <w:shd w:val="clear" w:color="auto" w:fill="F6F3F0"/>
          </w:tcPr>
          <w:p>
            <w:pPr>
              <w:jc w:val="right"/>
              <w:spacing w:after="0" w:line="134" w:lineRule="exact"/>
              <w:rPr>
                <w:sz w:val="20"/>
                <w:szCs w:val="20"/>
                <w:color w:val="auto"/>
              </w:rPr>
            </w:pPr>
            <w:r>
              <w:rPr>
                <w:rFonts w:ascii="Arial" w:cs="Arial" w:eastAsia="Arial" w:hAnsi="Arial"/>
                <w:sz w:val="12"/>
                <w:szCs w:val="12"/>
                <w:b w:val="1"/>
                <w:bCs w:val="1"/>
                <w:color w:val="0E1020"/>
              </w:rPr>
              <w:t>Threshold</w:t>
            </w:r>
          </w:p>
        </w:tc>
        <w:tc>
          <w:tcPr>
            <w:tcW w:w="940" w:type="dxa"/>
            <w:vAlign w:val="bottom"/>
            <w:shd w:val="clear" w:color="auto" w:fill="F6F3F0"/>
          </w:tcPr>
          <w:p>
            <w:pPr>
              <w:jc w:val="right"/>
              <w:ind w:right="62"/>
              <w:spacing w:after="0" w:line="134" w:lineRule="exact"/>
              <w:rPr>
                <w:sz w:val="20"/>
                <w:szCs w:val="20"/>
                <w:color w:val="auto"/>
              </w:rPr>
            </w:pPr>
            <w:r>
              <w:rPr>
                <w:rFonts w:ascii="Arial" w:cs="Arial" w:eastAsia="Arial" w:hAnsi="Arial"/>
                <w:sz w:val="12"/>
                <w:szCs w:val="12"/>
                <w:b w:val="1"/>
                <w:bCs w:val="1"/>
                <w:color w:val="0E1020"/>
              </w:rPr>
              <w:t>Target</w:t>
            </w:r>
          </w:p>
        </w:tc>
        <w:tc>
          <w:tcPr>
            <w:tcW w:w="800" w:type="dxa"/>
            <w:vAlign w:val="bottom"/>
            <w:gridSpan w:val="2"/>
            <w:shd w:val="clear" w:color="auto" w:fill="F6F3F0"/>
          </w:tcPr>
          <w:p>
            <w:pPr>
              <w:jc w:val="right"/>
              <w:ind w:right="100"/>
              <w:spacing w:after="0" w:line="134" w:lineRule="exact"/>
              <w:rPr>
                <w:sz w:val="20"/>
                <w:szCs w:val="20"/>
                <w:color w:val="auto"/>
              </w:rPr>
            </w:pPr>
            <w:r>
              <w:rPr>
                <w:rFonts w:ascii="Arial" w:cs="Arial" w:eastAsia="Arial" w:hAnsi="Arial"/>
                <w:sz w:val="12"/>
                <w:szCs w:val="12"/>
                <w:b w:val="1"/>
                <w:bCs w:val="1"/>
                <w:color w:val="0E1020"/>
              </w:rPr>
              <w:t>Maximum</w:t>
            </w:r>
          </w:p>
        </w:tc>
        <w:tc>
          <w:tcPr>
            <w:tcW w:w="1020" w:type="dxa"/>
            <w:vAlign w:val="bottom"/>
            <w:shd w:val="clear" w:color="auto" w:fill="F6F3F0"/>
          </w:tcPr>
          <w:p>
            <w:pPr>
              <w:jc w:val="right"/>
              <w:ind w:right="122"/>
              <w:spacing w:after="0" w:line="134" w:lineRule="exact"/>
              <w:rPr>
                <w:sz w:val="20"/>
                <w:szCs w:val="20"/>
                <w:color w:val="auto"/>
              </w:rPr>
            </w:pPr>
            <w:r>
              <w:rPr>
                <w:rFonts w:ascii="Arial" w:cs="Arial" w:eastAsia="Arial" w:hAnsi="Arial"/>
                <w:sz w:val="12"/>
                <w:szCs w:val="12"/>
                <w:b w:val="1"/>
                <w:bCs w:val="1"/>
                <w:color w:val="0E1020"/>
              </w:rPr>
              <w:t>Threshold</w:t>
            </w:r>
          </w:p>
        </w:tc>
        <w:tc>
          <w:tcPr>
            <w:tcW w:w="960" w:type="dxa"/>
            <w:vAlign w:val="bottom"/>
            <w:shd w:val="clear" w:color="auto" w:fill="F6F3F0"/>
          </w:tcPr>
          <w:p>
            <w:pPr>
              <w:jc w:val="right"/>
              <w:ind w:right="202"/>
              <w:spacing w:after="0" w:line="134" w:lineRule="exact"/>
              <w:rPr>
                <w:sz w:val="20"/>
                <w:szCs w:val="20"/>
                <w:color w:val="auto"/>
              </w:rPr>
            </w:pPr>
            <w:r>
              <w:rPr>
                <w:rFonts w:ascii="Arial" w:cs="Arial" w:eastAsia="Arial" w:hAnsi="Arial"/>
                <w:sz w:val="12"/>
                <w:szCs w:val="12"/>
                <w:b w:val="1"/>
                <w:bCs w:val="1"/>
                <w:color w:val="0E1020"/>
              </w:rPr>
              <w:t>Target</w:t>
            </w:r>
          </w:p>
        </w:tc>
        <w:tc>
          <w:tcPr>
            <w:tcW w:w="620" w:type="dxa"/>
            <w:vAlign w:val="bottom"/>
            <w:shd w:val="clear" w:color="auto" w:fill="F6F3F0"/>
          </w:tcPr>
          <w:p>
            <w:pPr>
              <w:jc w:val="right"/>
              <w:spacing w:after="0" w:line="134" w:lineRule="exact"/>
              <w:rPr>
                <w:sz w:val="20"/>
                <w:szCs w:val="20"/>
                <w:color w:val="auto"/>
              </w:rPr>
            </w:pPr>
            <w:r>
              <w:rPr>
                <w:rFonts w:ascii="Arial" w:cs="Arial" w:eastAsia="Arial" w:hAnsi="Arial"/>
                <w:sz w:val="12"/>
                <w:szCs w:val="12"/>
                <w:b w:val="1"/>
                <w:bCs w:val="1"/>
                <w:color w:val="0E1020"/>
              </w:rPr>
              <w:t>Maximum</w:t>
            </w:r>
          </w:p>
        </w:tc>
        <w:tc>
          <w:tcPr>
            <w:tcW w:w="760" w:type="dxa"/>
            <w:vAlign w:val="bottom"/>
            <w:shd w:val="clear" w:color="auto" w:fill="F6F3F0"/>
          </w:tcPr>
          <w:p>
            <w:pPr>
              <w:jc w:val="right"/>
              <w:spacing w:after="0" w:line="134" w:lineRule="exact"/>
              <w:rPr>
                <w:sz w:val="20"/>
                <w:szCs w:val="20"/>
                <w:color w:val="auto"/>
              </w:rPr>
            </w:pPr>
            <w:r>
              <w:rPr>
                <w:rFonts w:ascii="Arial" w:cs="Arial" w:eastAsia="Arial" w:hAnsi="Arial"/>
                <w:sz w:val="12"/>
                <w:szCs w:val="12"/>
                <w:b w:val="1"/>
                <w:bCs w:val="1"/>
                <w:color w:val="0E1020"/>
              </w:rPr>
              <w:t>Stock Units</w:t>
            </w:r>
          </w:p>
        </w:tc>
        <w:tc>
          <w:tcPr>
            <w:tcW w:w="960" w:type="dxa"/>
            <w:vAlign w:val="bottom"/>
            <w:shd w:val="clear" w:color="auto" w:fill="F6F3F0"/>
          </w:tcPr>
          <w:p>
            <w:pPr>
              <w:jc w:val="right"/>
              <w:ind w:right="3"/>
              <w:spacing w:after="0" w:line="134" w:lineRule="exact"/>
              <w:rPr>
                <w:sz w:val="20"/>
                <w:szCs w:val="20"/>
                <w:color w:val="auto"/>
              </w:rPr>
            </w:pPr>
            <w:r>
              <w:rPr>
                <w:rFonts w:ascii="Arial" w:cs="Arial" w:eastAsia="Arial" w:hAnsi="Arial"/>
                <w:sz w:val="12"/>
                <w:szCs w:val="12"/>
                <w:b w:val="1"/>
                <w:bCs w:val="1"/>
                <w:color w:val="0E1020"/>
              </w:rPr>
              <w:t>Options</w:t>
            </w:r>
          </w:p>
        </w:tc>
        <w:tc>
          <w:tcPr>
            <w:tcW w:w="720" w:type="dxa"/>
            <w:vAlign w:val="bottom"/>
            <w:shd w:val="clear" w:color="auto" w:fill="F6F3F0"/>
          </w:tcPr>
          <w:p>
            <w:pPr>
              <w:jc w:val="right"/>
              <w:spacing w:after="0" w:line="134" w:lineRule="exact"/>
              <w:rPr>
                <w:sz w:val="20"/>
                <w:szCs w:val="20"/>
                <w:color w:val="auto"/>
              </w:rPr>
            </w:pPr>
            <w:r>
              <w:rPr>
                <w:rFonts w:ascii="Arial" w:cs="Arial" w:eastAsia="Arial" w:hAnsi="Arial"/>
                <w:sz w:val="12"/>
                <w:szCs w:val="12"/>
                <w:b w:val="1"/>
                <w:bCs w:val="1"/>
                <w:color w:val="0E1020"/>
              </w:rPr>
              <w:t>Awards</w:t>
            </w:r>
          </w:p>
        </w:tc>
        <w:tc>
          <w:tcPr>
            <w:tcW w:w="860" w:type="dxa"/>
            <w:vAlign w:val="bottom"/>
            <w:shd w:val="clear" w:color="auto" w:fill="F6F3F0"/>
          </w:tcPr>
          <w:p>
            <w:pPr>
              <w:jc w:val="right"/>
              <w:spacing w:after="0" w:line="134" w:lineRule="exact"/>
              <w:rPr>
                <w:sz w:val="20"/>
                <w:szCs w:val="20"/>
                <w:color w:val="auto"/>
              </w:rPr>
            </w:pPr>
            <w:r>
              <w:rPr>
                <w:rFonts w:ascii="Arial" w:cs="Arial" w:eastAsia="Arial" w:hAnsi="Arial"/>
                <w:sz w:val="12"/>
                <w:szCs w:val="12"/>
                <w:b w:val="1"/>
                <w:bCs w:val="1"/>
                <w:color w:val="0E1020"/>
              </w:rPr>
              <w:t>Awards</w:t>
            </w:r>
          </w:p>
        </w:tc>
        <w:tc>
          <w:tcPr>
            <w:tcW w:w="140" w:type="dxa"/>
            <w:vAlign w:val="bottom"/>
            <w:shd w:val="clear" w:color="auto" w:fill="F6F3F0"/>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00" w:type="dxa"/>
            <w:vAlign w:val="bottom"/>
            <w:shd w:val="clear" w:color="auto" w:fill="F6F3F0"/>
          </w:tcPr>
          <w:p>
            <w:pPr>
              <w:ind w:left="80"/>
              <w:spacing w:after="0" w:line="134" w:lineRule="exact"/>
              <w:rPr>
                <w:sz w:val="20"/>
                <w:szCs w:val="20"/>
                <w:color w:val="auto"/>
              </w:rPr>
            </w:pPr>
            <w:r>
              <w:rPr>
                <w:rFonts w:ascii="Arial" w:cs="Arial" w:eastAsia="Arial" w:hAnsi="Arial"/>
                <w:sz w:val="12"/>
                <w:szCs w:val="12"/>
                <w:b w:val="1"/>
                <w:bCs w:val="1"/>
                <w:color w:val="0E1020"/>
              </w:rPr>
              <w:t>Name</w:t>
            </w:r>
          </w:p>
        </w:tc>
        <w:tc>
          <w:tcPr>
            <w:tcW w:w="540" w:type="dxa"/>
            <w:vAlign w:val="bottom"/>
            <w:shd w:val="clear" w:color="auto" w:fill="F6F3F0"/>
          </w:tcPr>
          <w:p>
            <w:pPr>
              <w:jc w:val="center"/>
              <w:ind w:right="62"/>
              <w:spacing w:after="0" w:line="134" w:lineRule="exact"/>
              <w:rPr>
                <w:sz w:val="20"/>
                <w:szCs w:val="20"/>
                <w:color w:val="auto"/>
              </w:rPr>
            </w:pPr>
            <w:r>
              <w:rPr>
                <w:rFonts w:ascii="Arial" w:cs="Arial" w:eastAsia="Arial" w:hAnsi="Arial"/>
                <w:sz w:val="12"/>
                <w:szCs w:val="12"/>
                <w:b w:val="1"/>
                <w:bCs w:val="1"/>
                <w:color w:val="0E1020"/>
                <w:w w:val="99"/>
              </w:rPr>
              <w:t>Date</w:t>
            </w:r>
          </w:p>
        </w:tc>
        <w:tc>
          <w:tcPr>
            <w:tcW w:w="760" w:type="dxa"/>
            <w:vAlign w:val="bottom"/>
            <w:shd w:val="clear" w:color="auto" w:fill="F6F3F0"/>
          </w:tcPr>
          <w:p>
            <w:pPr>
              <w:jc w:val="center"/>
              <w:spacing w:after="0" w:line="134" w:lineRule="exact"/>
              <w:rPr>
                <w:sz w:val="20"/>
                <w:szCs w:val="20"/>
                <w:color w:val="auto"/>
              </w:rPr>
            </w:pPr>
            <w:r>
              <w:rPr>
                <w:rFonts w:ascii="Arial" w:cs="Arial" w:eastAsia="Arial" w:hAnsi="Arial"/>
                <w:sz w:val="12"/>
                <w:szCs w:val="12"/>
                <w:b w:val="1"/>
                <w:bCs w:val="1"/>
                <w:color w:val="0E1020"/>
                <w:w w:val="92"/>
              </w:rPr>
              <w:t>Date</w:t>
            </w:r>
          </w:p>
        </w:tc>
        <w:tc>
          <w:tcPr>
            <w:tcW w:w="860" w:type="dxa"/>
            <w:vAlign w:val="bottom"/>
            <w:shd w:val="clear" w:color="auto" w:fill="F6F3F0"/>
          </w:tcPr>
          <w:p>
            <w:pPr>
              <w:jc w:val="right"/>
              <w:spacing w:after="0" w:line="134" w:lineRule="exact"/>
              <w:rPr>
                <w:sz w:val="20"/>
                <w:szCs w:val="20"/>
                <w:color w:val="auto"/>
              </w:rPr>
            </w:pPr>
            <w:r>
              <w:rPr>
                <w:rFonts w:ascii="Arial" w:cs="Arial" w:eastAsia="Arial" w:hAnsi="Arial"/>
                <w:sz w:val="12"/>
                <w:szCs w:val="12"/>
                <w:b w:val="1"/>
                <w:bCs w:val="1"/>
                <w:color w:val="0E1020"/>
              </w:rPr>
              <w:t>($)</w:t>
            </w:r>
          </w:p>
        </w:tc>
        <w:tc>
          <w:tcPr>
            <w:tcW w:w="940" w:type="dxa"/>
            <w:vAlign w:val="bottom"/>
            <w:shd w:val="clear" w:color="auto" w:fill="F6F3F0"/>
          </w:tcPr>
          <w:p>
            <w:pPr>
              <w:jc w:val="right"/>
              <w:ind w:right="62"/>
              <w:spacing w:after="0" w:line="134" w:lineRule="exact"/>
              <w:rPr>
                <w:sz w:val="20"/>
                <w:szCs w:val="20"/>
                <w:color w:val="auto"/>
              </w:rPr>
            </w:pPr>
            <w:r>
              <w:rPr>
                <w:rFonts w:ascii="Arial" w:cs="Arial" w:eastAsia="Arial" w:hAnsi="Arial"/>
                <w:sz w:val="12"/>
                <w:szCs w:val="12"/>
                <w:b w:val="1"/>
                <w:bCs w:val="1"/>
                <w:color w:val="0E1020"/>
              </w:rPr>
              <w:t>($)</w:t>
            </w:r>
          </w:p>
        </w:tc>
        <w:tc>
          <w:tcPr>
            <w:tcW w:w="720" w:type="dxa"/>
            <w:vAlign w:val="bottom"/>
            <w:shd w:val="clear" w:color="auto" w:fill="F6F3F0"/>
          </w:tcPr>
          <w:p>
            <w:pPr>
              <w:jc w:val="right"/>
              <w:spacing w:after="0" w:line="134" w:lineRule="exact"/>
              <w:rPr>
                <w:sz w:val="20"/>
                <w:szCs w:val="20"/>
                <w:color w:val="auto"/>
              </w:rPr>
            </w:pPr>
            <w:r>
              <w:rPr>
                <w:rFonts w:ascii="Arial" w:cs="Arial" w:eastAsia="Arial" w:hAnsi="Arial"/>
                <w:sz w:val="12"/>
                <w:szCs w:val="12"/>
                <w:b w:val="1"/>
                <w:bCs w:val="1"/>
                <w:color w:val="0E1020"/>
              </w:rPr>
              <w:t>($)</w:t>
            </w:r>
          </w:p>
        </w:tc>
        <w:tc>
          <w:tcPr>
            <w:tcW w:w="80" w:type="dxa"/>
            <w:vAlign w:val="bottom"/>
            <w:shd w:val="clear" w:color="auto" w:fill="F6F3F0"/>
          </w:tcPr>
          <w:p>
            <w:pPr>
              <w:spacing w:after="0"/>
              <w:rPr>
                <w:sz w:val="11"/>
                <w:szCs w:val="11"/>
                <w:color w:val="auto"/>
              </w:rPr>
            </w:pPr>
          </w:p>
        </w:tc>
        <w:tc>
          <w:tcPr>
            <w:tcW w:w="1020" w:type="dxa"/>
            <w:vAlign w:val="bottom"/>
            <w:shd w:val="clear" w:color="auto" w:fill="F6F3F0"/>
          </w:tcPr>
          <w:p>
            <w:pPr>
              <w:jc w:val="right"/>
              <w:ind w:right="122"/>
              <w:spacing w:after="0" w:line="134" w:lineRule="exact"/>
              <w:rPr>
                <w:sz w:val="20"/>
                <w:szCs w:val="20"/>
                <w:color w:val="auto"/>
              </w:rPr>
            </w:pPr>
            <w:r>
              <w:rPr>
                <w:rFonts w:ascii="Arial" w:cs="Arial" w:eastAsia="Arial" w:hAnsi="Arial"/>
                <w:sz w:val="12"/>
                <w:szCs w:val="12"/>
                <w:b w:val="1"/>
                <w:bCs w:val="1"/>
                <w:color w:val="0E1020"/>
              </w:rPr>
              <w:t>(#)</w:t>
            </w:r>
          </w:p>
        </w:tc>
        <w:tc>
          <w:tcPr>
            <w:tcW w:w="960" w:type="dxa"/>
            <w:vAlign w:val="bottom"/>
            <w:shd w:val="clear" w:color="auto" w:fill="F6F3F0"/>
          </w:tcPr>
          <w:p>
            <w:pPr>
              <w:jc w:val="right"/>
              <w:ind w:right="202"/>
              <w:spacing w:after="0" w:line="134" w:lineRule="exact"/>
              <w:rPr>
                <w:sz w:val="20"/>
                <w:szCs w:val="20"/>
                <w:color w:val="auto"/>
              </w:rPr>
            </w:pPr>
            <w:r>
              <w:rPr>
                <w:rFonts w:ascii="Arial" w:cs="Arial" w:eastAsia="Arial" w:hAnsi="Arial"/>
                <w:sz w:val="12"/>
                <w:szCs w:val="12"/>
                <w:b w:val="1"/>
                <w:bCs w:val="1"/>
                <w:color w:val="0E1020"/>
              </w:rPr>
              <w:t>(#)</w:t>
            </w:r>
          </w:p>
        </w:tc>
        <w:tc>
          <w:tcPr>
            <w:tcW w:w="620" w:type="dxa"/>
            <w:vAlign w:val="bottom"/>
            <w:shd w:val="clear" w:color="auto" w:fill="F6F3F0"/>
          </w:tcPr>
          <w:p>
            <w:pPr>
              <w:jc w:val="right"/>
              <w:spacing w:after="0" w:line="134" w:lineRule="exact"/>
              <w:rPr>
                <w:sz w:val="20"/>
                <w:szCs w:val="20"/>
                <w:color w:val="auto"/>
              </w:rPr>
            </w:pPr>
            <w:r>
              <w:rPr>
                <w:rFonts w:ascii="Arial" w:cs="Arial" w:eastAsia="Arial" w:hAnsi="Arial"/>
                <w:sz w:val="12"/>
                <w:szCs w:val="12"/>
                <w:b w:val="1"/>
                <w:bCs w:val="1"/>
                <w:color w:val="0E1020"/>
              </w:rPr>
              <w:t>(#)</w:t>
            </w:r>
          </w:p>
        </w:tc>
        <w:tc>
          <w:tcPr>
            <w:tcW w:w="760" w:type="dxa"/>
            <w:vAlign w:val="bottom"/>
            <w:shd w:val="clear" w:color="auto" w:fill="F6F3F0"/>
          </w:tcPr>
          <w:p>
            <w:pPr>
              <w:jc w:val="right"/>
              <w:spacing w:after="0" w:line="134" w:lineRule="exact"/>
              <w:rPr>
                <w:sz w:val="20"/>
                <w:szCs w:val="20"/>
                <w:color w:val="auto"/>
              </w:rPr>
            </w:pPr>
            <w:r>
              <w:rPr>
                <w:rFonts w:ascii="Arial" w:cs="Arial" w:eastAsia="Arial" w:hAnsi="Arial"/>
                <w:sz w:val="12"/>
                <w:szCs w:val="12"/>
                <w:b w:val="1"/>
                <w:bCs w:val="1"/>
                <w:color w:val="0E1020"/>
              </w:rPr>
              <w:t>(#)</w:t>
            </w:r>
          </w:p>
        </w:tc>
        <w:tc>
          <w:tcPr>
            <w:tcW w:w="960" w:type="dxa"/>
            <w:vAlign w:val="bottom"/>
            <w:shd w:val="clear" w:color="auto" w:fill="F6F3F0"/>
          </w:tcPr>
          <w:p>
            <w:pPr>
              <w:jc w:val="right"/>
              <w:ind w:right="3"/>
              <w:spacing w:after="0" w:line="134" w:lineRule="exact"/>
              <w:rPr>
                <w:sz w:val="20"/>
                <w:szCs w:val="20"/>
                <w:color w:val="auto"/>
              </w:rPr>
            </w:pPr>
            <w:r>
              <w:rPr>
                <w:rFonts w:ascii="Arial" w:cs="Arial" w:eastAsia="Arial" w:hAnsi="Arial"/>
                <w:sz w:val="12"/>
                <w:szCs w:val="12"/>
                <w:b w:val="1"/>
                <w:bCs w:val="1"/>
                <w:color w:val="0E1020"/>
              </w:rPr>
              <w:t>(#)</w:t>
            </w:r>
          </w:p>
        </w:tc>
        <w:tc>
          <w:tcPr>
            <w:tcW w:w="720" w:type="dxa"/>
            <w:vAlign w:val="bottom"/>
            <w:shd w:val="clear" w:color="auto" w:fill="F6F3F0"/>
          </w:tcPr>
          <w:p>
            <w:pPr>
              <w:jc w:val="right"/>
              <w:spacing w:after="0" w:line="134" w:lineRule="exact"/>
              <w:rPr>
                <w:sz w:val="20"/>
                <w:szCs w:val="20"/>
                <w:color w:val="auto"/>
              </w:rPr>
            </w:pPr>
            <w:r>
              <w:rPr>
                <w:rFonts w:ascii="Arial" w:cs="Arial" w:eastAsia="Arial" w:hAnsi="Arial"/>
                <w:sz w:val="12"/>
                <w:szCs w:val="12"/>
                <w:b w:val="1"/>
                <w:bCs w:val="1"/>
                <w:color w:val="0E1020"/>
              </w:rPr>
              <w:t>($)</w:t>
            </w:r>
          </w:p>
        </w:tc>
        <w:tc>
          <w:tcPr>
            <w:tcW w:w="860" w:type="dxa"/>
            <w:vAlign w:val="bottom"/>
            <w:shd w:val="clear" w:color="auto" w:fill="F6F3F0"/>
          </w:tcPr>
          <w:p>
            <w:pPr>
              <w:jc w:val="right"/>
              <w:spacing w:after="0" w:line="134" w:lineRule="exact"/>
              <w:rPr>
                <w:sz w:val="20"/>
                <w:szCs w:val="20"/>
                <w:color w:val="auto"/>
              </w:rPr>
            </w:pPr>
            <w:r>
              <w:rPr>
                <w:rFonts w:ascii="Arial" w:cs="Arial" w:eastAsia="Arial" w:hAnsi="Arial"/>
                <w:sz w:val="12"/>
                <w:szCs w:val="12"/>
                <w:b w:val="1"/>
                <w:bCs w:val="1"/>
                <w:color w:val="0E1020"/>
              </w:rPr>
              <w:t>($)</w:t>
            </w:r>
          </w:p>
        </w:tc>
        <w:tc>
          <w:tcPr>
            <w:tcW w:w="140" w:type="dxa"/>
            <w:vAlign w:val="bottom"/>
            <w:shd w:val="clear" w:color="auto" w:fill="F6F3F0"/>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300" w:type="dxa"/>
            <w:vAlign w:val="bottom"/>
            <w:tcBorders>
              <w:bottom w:val="single" w:sz="8" w:color="F6F3F0"/>
            </w:tcBorders>
            <w:shd w:val="clear" w:color="auto" w:fill="F6F3F0"/>
          </w:tcPr>
          <w:p>
            <w:pPr>
              <w:ind w:left="80"/>
              <w:spacing w:after="0"/>
              <w:rPr>
                <w:sz w:val="20"/>
                <w:szCs w:val="20"/>
                <w:color w:val="auto"/>
              </w:rPr>
            </w:pPr>
            <w:r>
              <w:rPr>
                <w:rFonts w:ascii="Arial" w:cs="Arial" w:eastAsia="Arial" w:hAnsi="Arial"/>
                <w:sz w:val="12"/>
                <w:szCs w:val="12"/>
                <w:b w:val="1"/>
                <w:bCs w:val="1"/>
                <w:color w:val="0E1020"/>
              </w:rPr>
              <w:t>(a)</w:t>
            </w:r>
          </w:p>
        </w:tc>
        <w:tc>
          <w:tcPr>
            <w:tcW w:w="540" w:type="dxa"/>
            <w:vAlign w:val="bottom"/>
            <w:tcBorders>
              <w:bottom w:val="single" w:sz="8" w:color="F6F3F0"/>
            </w:tcBorders>
            <w:shd w:val="clear" w:color="auto" w:fill="F6F3F0"/>
          </w:tcPr>
          <w:p>
            <w:pPr>
              <w:jc w:val="center"/>
              <w:ind w:right="62"/>
              <w:spacing w:after="0"/>
              <w:rPr>
                <w:sz w:val="20"/>
                <w:szCs w:val="20"/>
                <w:color w:val="auto"/>
              </w:rPr>
            </w:pPr>
            <w:r>
              <w:rPr>
                <w:rFonts w:ascii="Arial" w:cs="Arial" w:eastAsia="Arial" w:hAnsi="Arial"/>
                <w:sz w:val="12"/>
                <w:szCs w:val="12"/>
                <w:b w:val="1"/>
                <w:bCs w:val="1"/>
                <w:color w:val="0E1020"/>
                <w:w w:val="91"/>
              </w:rPr>
              <w:t>(b)</w:t>
            </w:r>
          </w:p>
        </w:tc>
        <w:tc>
          <w:tcPr>
            <w:tcW w:w="760" w:type="dxa"/>
            <w:vAlign w:val="bottom"/>
            <w:tcBorders>
              <w:bottom w:val="single" w:sz="8" w:color="F6F3F0"/>
            </w:tcBorders>
            <w:shd w:val="clear" w:color="auto" w:fill="F6F3F0"/>
          </w:tcPr>
          <w:p>
            <w:pPr>
              <w:jc w:val="center"/>
              <w:spacing w:after="0"/>
              <w:rPr>
                <w:sz w:val="20"/>
                <w:szCs w:val="20"/>
                <w:color w:val="auto"/>
              </w:rPr>
            </w:pPr>
            <w:r>
              <w:rPr>
                <w:rFonts w:ascii="Arial" w:cs="Arial" w:eastAsia="Arial" w:hAnsi="Arial"/>
                <w:sz w:val="12"/>
                <w:szCs w:val="12"/>
                <w:b w:val="1"/>
                <w:bCs w:val="1"/>
                <w:color w:val="0E1020"/>
              </w:rPr>
              <w:t>(c)</w:t>
            </w:r>
          </w:p>
        </w:tc>
        <w:tc>
          <w:tcPr>
            <w:tcW w:w="86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2"/>
                <w:szCs w:val="12"/>
                <w:b w:val="1"/>
                <w:bCs w:val="1"/>
                <w:color w:val="0E1020"/>
              </w:rPr>
              <w:t>(d)</w:t>
            </w:r>
          </w:p>
        </w:tc>
        <w:tc>
          <w:tcPr>
            <w:tcW w:w="940" w:type="dxa"/>
            <w:vAlign w:val="bottom"/>
            <w:tcBorders>
              <w:bottom w:val="single" w:sz="8" w:color="F6F3F0"/>
            </w:tcBorders>
            <w:shd w:val="clear" w:color="auto" w:fill="F6F3F0"/>
          </w:tcPr>
          <w:p>
            <w:pPr>
              <w:jc w:val="right"/>
              <w:ind w:right="62"/>
              <w:spacing w:after="0"/>
              <w:rPr>
                <w:sz w:val="20"/>
                <w:szCs w:val="20"/>
                <w:color w:val="auto"/>
              </w:rPr>
            </w:pPr>
            <w:r>
              <w:rPr>
                <w:rFonts w:ascii="Arial" w:cs="Arial" w:eastAsia="Arial" w:hAnsi="Arial"/>
                <w:sz w:val="12"/>
                <w:szCs w:val="12"/>
                <w:b w:val="1"/>
                <w:bCs w:val="1"/>
                <w:color w:val="0E1020"/>
              </w:rPr>
              <w:t>(e)</w:t>
            </w:r>
          </w:p>
        </w:tc>
        <w:tc>
          <w:tcPr>
            <w:tcW w:w="800" w:type="dxa"/>
            <w:vAlign w:val="bottom"/>
            <w:tcBorders>
              <w:bottom w:val="single" w:sz="8" w:color="F6F3F0"/>
            </w:tcBorders>
            <w:gridSpan w:val="2"/>
            <w:shd w:val="clear" w:color="auto" w:fill="F6F3F0"/>
          </w:tcPr>
          <w:p>
            <w:pPr>
              <w:jc w:val="right"/>
              <w:ind w:right="100"/>
              <w:spacing w:after="0"/>
              <w:rPr>
                <w:sz w:val="20"/>
                <w:szCs w:val="20"/>
                <w:color w:val="auto"/>
              </w:rPr>
            </w:pPr>
            <w:r>
              <w:rPr>
                <w:rFonts w:ascii="Arial" w:cs="Arial" w:eastAsia="Arial" w:hAnsi="Arial"/>
                <w:sz w:val="12"/>
                <w:szCs w:val="12"/>
                <w:b w:val="1"/>
                <w:bCs w:val="1"/>
                <w:color w:val="0E1020"/>
              </w:rPr>
              <w:t>(f)</w:t>
            </w:r>
          </w:p>
        </w:tc>
        <w:tc>
          <w:tcPr>
            <w:tcW w:w="1020" w:type="dxa"/>
            <w:vAlign w:val="bottom"/>
            <w:tcBorders>
              <w:bottom w:val="single" w:sz="8" w:color="F6F3F0"/>
            </w:tcBorders>
            <w:shd w:val="clear" w:color="auto" w:fill="F6F3F0"/>
          </w:tcPr>
          <w:p>
            <w:pPr>
              <w:jc w:val="right"/>
              <w:ind w:right="122"/>
              <w:spacing w:after="0"/>
              <w:rPr>
                <w:sz w:val="20"/>
                <w:szCs w:val="20"/>
                <w:color w:val="auto"/>
              </w:rPr>
            </w:pPr>
            <w:r>
              <w:rPr>
                <w:rFonts w:ascii="Arial" w:cs="Arial" w:eastAsia="Arial" w:hAnsi="Arial"/>
                <w:sz w:val="12"/>
                <w:szCs w:val="12"/>
                <w:b w:val="1"/>
                <w:bCs w:val="1"/>
                <w:color w:val="0E1020"/>
              </w:rPr>
              <w:t>(g)</w:t>
            </w:r>
          </w:p>
        </w:tc>
        <w:tc>
          <w:tcPr>
            <w:tcW w:w="960" w:type="dxa"/>
            <w:vAlign w:val="bottom"/>
            <w:tcBorders>
              <w:bottom w:val="single" w:sz="8" w:color="F6F3F0"/>
            </w:tcBorders>
            <w:shd w:val="clear" w:color="auto" w:fill="F6F3F0"/>
          </w:tcPr>
          <w:p>
            <w:pPr>
              <w:jc w:val="right"/>
              <w:ind w:right="202"/>
              <w:spacing w:after="0"/>
              <w:rPr>
                <w:sz w:val="20"/>
                <w:szCs w:val="20"/>
                <w:color w:val="auto"/>
              </w:rPr>
            </w:pPr>
            <w:r>
              <w:rPr>
                <w:rFonts w:ascii="Arial" w:cs="Arial" w:eastAsia="Arial" w:hAnsi="Arial"/>
                <w:sz w:val="12"/>
                <w:szCs w:val="12"/>
                <w:b w:val="1"/>
                <w:bCs w:val="1"/>
                <w:color w:val="0E1020"/>
              </w:rPr>
              <w:t>(h)</w:t>
            </w:r>
          </w:p>
        </w:tc>
        <w:tc>
          <w:tcPr>
            <w:tcW w:w="62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2"/>
                <w:szCs w:val="12"/>
                <w:b w:val="1"/>
                <w:bCs w:val="1"/>
                <w:color w:val="0E1020"/>
              </w:rPr>
              <w:t>(i)</w:t>
            </w:r>
          </w:p>
        </w:tc>
        <w:tc>
          <w:tcPr>
            <w:tcW w:w="76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2"/>
                <w:szCs w:val="12"/>
                <w:b w:val="1"/>
                <w:bCs w:val="1"/>
                <w:color w:val="0E1020"/>
              </w:rPr>
              <w:t>(j)</w:t>
            </w:r>
          </w:p>
        </w:tc>
        <w:tc>
          <w:tcPr>
            <w:tcW w:w="960" w:type="dxa"/>
            <w:vAlign w:val="bottom"/>
            <w:tcBorders>
              <w:bottom w:val="single" w:sz="8" w:color="F6F3F0"/>
            </w:tcBorders>
            <w:shd w:val="clear" w:color="auto" w:fill="F6F3F0"/>
          </w:tcPr>
          <w:p>
            <w:pPr>
              <w:jc w:val="right"/>
              <w:ind w:right="3"/>
              <w:spacing w:after="0"/>
              <w:rPr>
                <w:sz w:val="20"/>
                <w:szCs w:val="20"/>
                <w:color w:val="auto"/>
              </w:rPr>
            </w:pPr>
            <w:r>
              <w:rPr>
                <w:rFonts w:ascii="Arial" w:cs="Arial" w:eastAsia="Arial" w:hAnsi="Arial"/>
                <w:sz w:val="12"/>
                <w:szCs w:val="12"/>
                <w:b w:val="1"/>
                <w:bCs w:val="1"/>
                <w:color w:val="0E1020"/>
              </w:rPr>
              <w:t>(k)</w:t>
            </w:r>
          </w:p>
        </w:tc>
        <w:tc>
          <w:tcPr>
            <w:tcW w:w="72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2"/>
                <w:szCs w:val="12"/>
                <w:b w:val="1"/>
                <w:bCs w:val="1"/>
                <w:color w:val="0E1020"/>
              </w:rPr>
              <w:t>(l)</w:t>
            </w:r>
          </w:p>
        </w:tc>
        <w:tc>
          <w:tcPr>
            <w:tcW w:w="86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2"/>
                <w:szCs w:val="12"/>
                <w:b w:val="1"/>
                <w:bCs w:val="1"/>
                <w:color w:val="0E1020"/>
              </w:rPr>
              <w:t>(m)</w:t>
            </w:r>
            <w:r>
              <w:rPr>
                <w:rFonts w:ascii="Arial" w:cs="Arial" w:eastAsia="Arial" w:hAnsi="Arial"/>
                <w:sz w:val="15"/>
                <w:szCs w:val="15"/>
                <w:b w:val="1"/>
                <w:bCs w:val="1"/>
                <w:color w:val="0E1020"/>
                <w:vertAlign w:val="superscript"/>
              </w:rPr>
              <w:t>(5)</w:t>
            </w:r>
          </w:p>
        </w:tc>
        <w:tc>
          <w:tcPr>
            <w:tcW w:w="140" w:type="dxa"/>
            <w:vAlign w:val="bottom"/>
            <w:tcBorders>
              <w:bottom w:val="single" w:sz="8" w:color="F6F3F0"/>
            </w:tcBorders>
            <w:shd w:val="clear" w:color="auto" w:fill="F6F3F0"/>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300" w:type="dxa"/>
            <w:vAlign w:val="bottom"/>
            <w:tcBorders>
              <w:top w:val="single" w:sz="8" w:color="CFCFD2"/>
            </w:tcBorders>
          </w:tcPr>
          <w:p>
            <w:pPr>
              <w:ind w:left="80"/>
              <w:spacing w:after="0"/>
              <w:rPr>
                <w:sz w:val="20"/>
                <w:szCs w:val="20"/>
                <w:color w:val="auto"/>
              </w:rPr>
            </w:pPr>
            <w:r>
              <w:rPr>
                <w:rFonts w:ascii="Arial" w:cs="Arial" w:eastAsia="Arial" w:hAnsi="Arial"/>
                <w:sz w:val="13"/>
                <w:szCs w:val="13"/>
                <w:b w:val="1"/>
                <w:bCs w:val="1"/>
                <w:color w:val="004AAC"/>
              </w:rPr>
              <w:t>Raul J. Fernandez</w:t>
            </w:r>
          </w:p>
        </w:tc>
        <w:tc>
          <w:tcPr>
            <w:tcW w:w="540" w:type="dxa"/>
            <w:vAlign w:val="bottom"/>
            <w:tcBorders>
              <w:top w:val="single" w:sz="8" w:color="CFCFD2"/>
            </w:tcBorders>
          </w:tcPr>
          <w:p>
            <w:pPr>
              <w:spacing w:after="0"/>
              <w:rPr>
                <w:sz w:val="15"/>
                <w:szCs w:val="15"/>
                <w:color w:val="auto"/>
              </w:rPr>
            </w:pPr>
          </w:p>
        </w:tc>
        <w:tc>
          <w:tcPr>
            <w:tcW w:w="760" w:type="dxa"/>
            <w:vAlign w:val="bottom"/>
            <w:tcBorders>
              <w:top w:val="single" w:sz="8" w:color="CFCFD2"/>
            </w:tcBorders>
          </w:tcPr>
          <w:p>
            <w:pPr>
              <w:spacing w:after="0"/>
              <w:rPr>
                <w:sz w:val="15"/>
                <w:szCs w:val="15"/>
                <w:color w:val="auto"/>
              </w:rPr>
            </w:pPr>
          </w:p>
        </w:tc>
        <w:tc>
          <w:tcPr>
            <w:tcW w:w="860" w:type="dxa"/>
            <w:vAlign w:val="bottom"/>
            <w:tcBorders>
              <w:top w:val="single" w:sz="8" w:color="CFCFD2"/>
            </w:tcBorders>
          </w:tcPr>
          <w:p>
            <w:pPr>
              <w:spacing w:after="0"/>
              <w:rPr>
                <w:sz w:val="15"/>
                <w:szCs w:val="15"/>
                <w:color w:val="auto"/>
              </w:rPr>
            </w:pPr>
          </w:p>
        </w:tc>
        <w:tc>
          <w:tcPr>
            <w:tcW w:w="940" w:type="dxa"/>
            <w:vAlign w:val="bottom"/>
            <w:tcBorders>
              <w:top w:val="single" w:sz="8" w:color="CFCFD2"/>
            </w:tcBorders>
          </w:tcPr>
          <w:p>
            <w:pPr>
              <w:spacing w:after="0"/>
              <w:rPr>
                <w:sz w:val="15"/>
                <w:szCs w:val="15"/>
                <w:color w:val="auto"/>
              </w:rPr>
            </w:pPr>
          </w:p>
        </w:tc>
        <w:tc>
          <w:tcPr>
            <w:tcW w:w="720" w:type="dxa"/>
            <w:vAlign w:val="bottom"/>
            <w:tcBorders>
              <w:top w:val="single" w:sz="8" w:color="CFCFD2"/>
            </w:tcBorders>
          </w:tcPr>
          <w:p>
            <w:pPr>
              <w:spacing w:after="0"/>
              <w:rPr>
                <w:sz w:val="15"/>
                <w:szCs w:val="15"/>
                <w:color w:val="auto"/>
              </w:rPr>
            </w:pPr>
          </w:p>
        </w:tc>
        <w:tc>
          <w:tcPr>
            <w:tcW w:w="80" w:type="dxa"/>
            <w:vAlign w:val="bottom"/>
            <w:tcBorders>
              <w:top w:val="single" w:sz="8" w:color="CFCFD2"/>
            </w:tcBorders>
          </w:tcPr>
          <w:p>
            <w:pPr>
              <w:spacing w:after="0"/>
              <w:rPr>
                <w:sz w:val="15"/>
                <w:szCs w:val="15"/>
                <w:color w:val="auto"/>
              </w:rPr>
            </w:pPr>
          </w:p>
        </w:tc>
        <w:tc>
          <w:tcPr>
            <w:tcW w:w="1020" w:type="dxa"/>
            <w:vAlign w:val="bottom"/>
            <w:tcBorders>
              <w:top w:val="single" w:sz="8" w:color="CFCFD2"/>
            </w:tcBorders>
          </w:tcPr>
          <w:p>
            <w:pPr>
              <w:spacing w:after="0"/>
              <w:rPr>
                <w:sz w:val="15"/>
                <w:szCs w:val="15"/>
                <w:color w:val="auto"/>
              </w:rPr>
            </w:pPr>
          </w:p>
        </w:tc>
        <w:tc>
          <w:tcPr>
            <w:tcW w:w="960" w:type="dxa"/>
            <w:vAlign w:val="bottom"/>
            <w:tcBorders>
              <w:top w:val="single" w:sz="8" w:color="CFCFD2"/>
            </w:tcBorders>
          </w:tcPr>
          <w:p>
            <w:pPr>
              <w:spacing w:after="0"/>
              <w:rPr>
                <w:sz w:val="15"/>
                <w:szCs w:val="15"/>
                <w:color w:val="auto"/>
              </w:rPr>
            </w:pPr>
          </w:p>
        </w:tc>
        <w:tc>
          <w:tcPr>
            <w:tcW w:w="620" w:type="dxa"/>
            <w:vAlign w:val="bottom"/>
            <w:tcBorders>
              <w:top w:val="single" w:sz="8" w:color="CFCFD2"/>
            </w:tcBorders>
          </w:tcPr>
          <w:p>
            <w:pPr>
              <w:spacing w:after="0"/>
              <w:rPr>
                <w:sz w:val="15"/>
                <w:szCs w:val="15"/>
                <w:color w:val="auto"/>
              </w:rPr>
            </w:pPr>
          </w:p>
        </w:tc>
        <w:tc>
          <w:tcPr>
            <w:tcW w:w="760" w:type="dxa"/>
            <w:vAlign w:val="bottom"/>
            <w:tcBorders>
              <w:top w:val="single" w:sz="8" w:color="CFCFD2"/>
            </w:tcBorders>
          </w:tcPr>
          <w:p>
            <w:pPr>
              <w:spacing w:after="0"/>
              <w:rPr>
                <w:sz w:val="15"/>
                <w:szCs w:val="15"/>
                <w:color w:val="auto"/>
              </w:rPr>
            </w:pPr>
          </w:p>
        </w:tc>
        <w:tc>
          <w:tcPr>
            <w:tcW w:w="960" w:type="dxa"/>
            <w:vAlign w:val="bottom"/>
            <w:tcBorders>
              <w:top w:val="single" w:sz="8" w:color="CFCFD2"/>
            </w:tcBorders>
          </w:tcPr>
          <w:p>
            <w:pPr>
              <w:spacing w:after="0"/>
              <w:rPr>
                <w:sz w:val="15"/>
                <w:szCs w:val="15"/>
                <w:color w:val="auto"/>
              </w:rPr>
            </w:pPr>
          </w:p>
        </w:tc>
        <w:tc>
          <w:tcPr>
            <w:tcW w:w="720" w:type="dxa"/>
            <w:vAlign w:val="bottom"/>
            <w:tcBorders>
              <w:top w:val="single" w:sz="8" w:color="CFCFD2"/>
            </w:tcBorders>
          </w:tcPr>
          <w:p>
            <w:pPr>
              <w:spacing w:after="0"/>
              <w:rPr>
                <w:sz w:val="15"/>
                <w:szCs w:val="15"/>
                <w:color w:val="auto"/>
              </w:rPr>
            </w:pPr>
          </w:p>
        </w:tc>
        <w:tc>
          <w:tcPr>
            <w:tcW w:w="860" w:type="dxa"/>
            <w:vAlign w:val="bottom"/>
            <w:tcBorders>
              <w:top w:val="single" w:sz="8" w:color="CFCFD2"/>
            </w:tcBorders>
          </w:tcPr>
          <w:p>
            <w:pPr>
              <w:spacing w:after="0"/>
              <w:rPr>
                <w:sz w:val="15"/>
                <w:szCs w:val="15"/>
                <w:color w:val="auto"/>
              </w:rPr>
            </w:pPr>
          </w:p>
        </w:tc>
        <w:tc>
          <w:tcPr>
            <w:tcW w:w="140" w:type="dxa"/>
            <w:vAlign w:val="bottom"/>
            <w:tcBorders>
              <w:top w:val="single" w:sz="8" w:color="CFCFD2"/>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300" w:type="dxa"/>
            <w:vAlign w:val="bottom"/>
            <w:tcBorders>
              <w:bottom w:val="single" w:sz="8" w:color="CFCFD2"/>
            </w:tcBorders>
          </w:tcPr>
          <w:p>
            <w:pPr>
              <w:spacing w:after="0" w:line="20" w:lineRule="exact"/>
              <w:rPr>
                <w:sz w:val="1"/>
                <w:szCs w:val="1"/>
                <w:color w:val="auto"/>
              </w:rPr>
            </w:pPr>
          </w:p>
        </w:tc>
        <w:tc>
          <w:tcPr>
            <w:tcW w:w="540" w:type="dxa"/>
            <w:vAlign w:val="bottom"/>
            <w:tcBorders>
              <w:bottom w:val="single" w:sz="8" w:color="CFCFD2"/>
            </w:tcBorders>
          </w:tcPr>
          <w:p>
            <w:pPr>
              <w:spacing w:after="0" w:line="20" w:lineRule="exact"/>
              <w:rPr>
                <w:sz w:val="1"/>
                <w:szCs w:val="1"/>
                <w:color w:val="auto"/>
              </w:rPr>
            </w:pPr>
          </w:p>
        </w:tc>
        <w:tc>
          <w:tcPr>
            <w:tcW w:w="760" w:type="dxa"/>
            <w:vAlign w:val="bottom"/>
            <w:tcBorders>
              <w:bottom w:val="single" w:sz="8" w:color="CFCFD2"/>
            </w:tcBorders>
          </w:tcPr>
          <w:p>
            <w:pPr>
              <w:spacing w:after="0" w:line="20" w:lineRule="exact"/>
              <w:rPr>
                <w:sz w:val="1"/>
                <w:szCs w:val="1"/>
                <w:color w:val="auto"/>
              </w:rPr>
            </w:pPr>
          </w:p>
        </w:tc>
        <w:tc>
          <w:tcPr>
            <w:tcW w:w="860" w:type="dxa"/>
            <w:vAlign w:val="bottom"/>
            <w:tcBorders>
              <w:bottom w:val="single" w:sz="8" w:color="CFCFD2"/>
            </w:tcBorders>
          </w:tcPr>
          <w:p>
            <w:pPr>
              <w:spacing w:after="0" w:line="20" w:lineRule="exact"/>
              <w:rPr>
                <w:sz w:val="1"/>
                <w:szCs w:val="1"/>
                <w:color w:val="auto"/>
              </w:rPr>
            </w:pPr>
          </w:p>
        </w:tc>
        <w:tc>
          <w:tcPr>
            <w:tcW w:w="940" w:type="dxa"/>
            <w:vAlign w:val="bottom"/>
            <w:tcBorders>
              <w:bottom w:val="single" w:sz="8" w:color="CFCFD2"/>
            </w:tcBorders>
          </w:tcPr>
          <w:p>
            <w:pPr>
              <w:spacing w:after="0" w:line="20" w:lineRule="exact"/>
              <w:rPr>
                <w:sz w:val="1"/>
                <w:szCs w:val="1"/>
                <w:color w:val="auto"/>
              </w:rPr>
            </w:pPr>
          </w:p>
        </w:tc>
        <w:tc>
          <w:tcPr>
            <w:tcW w:w="720" w:type="dxa"/>
            <w:vAlign w:val="bottom"/>
            <w:tcBorders>
              <w:bottom w:val="single" w:sz="8" w:color="CFCFD2"/>
            </w:tcBorders>
          </w:tcPr>
          <w:p>
            <w:pPr>
              <w:spacing w:after="0" w:line="20" w:lineRule="exact"/>
              <w:rPr>
                <w:sz w:val="1"/>
                <w:szCs w:val="1"/>
                <w:color w:val="auto"/>
              </w:rPr>
            </w:pPr>
          </w:p>
        </w:tc>
        <w:tc>
          <w:tcPr>
            <w:tcW w:w="80" w:type="dxa"/>
            <w:vAlign w:val="bottom"/>
            <w:tcBorders>
              <w:bottom w:val="single" w:sz="8" w:color="CFCFD2"/>
            </w:tcBorders>
          </w:tcPr>
          <w:p>
            <w:pPr>
              <w:spacing w:after="0" w:line="20" w:lineRule="exact"/>
              <w:rPr>
                <w:sz w:val="1"/>
                <w:szCs w:val="1"/>
                <w:color w:val="auto"/>
              </w:rPr>
            </w:pPr>
          </w:p>
        </w:tc>
        <w:tc>
          <w:tcPr>
            <w:tcW w:w="1020" w:type="dxa"/>
            <w:vAlign w:val="bottom"/>
            <w:tcBorders>
              <w:bottom w:val="single" w:sz="8" w:color="CFCFD2"/>
            </w:tcBorders>
          </w:tcPr>
          <w:p>
            <w:pPr>
              <w:spacing w:after="0" w:line="20" w:lineRule="exact"/>
              <w:rPr>
                <w:sz w:val="1"/>
                <w:szCs w:val="1"/>
                <w:color w:val="auto"/>
              </w:rPr>
            </w:pPr>
          </w:p>
        </w:tc>
        <w:tc>
          <w:tcPr>
            <w:tcW w:w="960" w:type="dxa"/>
            <w:vAlign w:val="bottom"/>
            <w:tcBorders>
              <w:bottom w:val="single" w:sz="8" w:color="CFCFD2"/>
            </w:tcBorders>
          </w:tcPr>
          <w:p>
            <w:pPr>
              <w:spacing w:after="0" w:line="20" w:lineRule="exact"/>
              <w:rPr>
                <w:sz w:val="1"/>
                <w:szCs w:val="1"/>
                <w:color w:val="auto"/>
              </w:rPr>
            </w:pPr>
          </w:p>
        </w:tc>
        <w:tc>
          <w:tcPr>
            <w:tcW w:w="620" w:type="dxa"/>
            <w:vAlign w:val="bottom"/>
            <w:tcBorders>
              <w:bottom w:val="single" w:sz="8" w:color="CFCFD2"/>
            </w:tcBorders>
          </w:tcPr>
          <w:p>
            <w:pPr>
              <w:spacing w:after="0" w:line="20" w:lineRule="exact"/>
              <w:rPr>
                <w:sz w:val="1"/>
                <w:szCs w:val="1"/>
                <w:color w:val="auto"/>
              </w:rPr>
            </w:pPr>
          </w:p>
        </w:tc>
        <w:tc>
          <w:tcPr>
            <w:tcW w:w="760" w:type="dxa"/>
            <w:vAlign w:val="bottom"/>
            <w:tcBorders>
              <w:bottom w:val="single" w:sz="8" w:color="CFCFD2"/>
            </w:tcBorders>
          </w:tcPr>
          <w:p>
            <w:pPr>
              <w:spacing w:after="0" w:line="20" w:lineRule="exact"/>
              <w:rPr>
                <w:sz w:val="1"/>
                <w:szCs w:val="1"/>
                <w:color w:val="auto"/>
              </w:rPr>
            </w:pPr>
          </w:p>
        </w:tc>
        <w:tc>
          <w:tcPr>
            <w:tcW w:w="960" w:type="dxa"/>
            <w:vAlign w:val="bottom"/>
            <w:tcBorders>
              <w:bottom w:val="single" w:sz="8" w:color="CFCFD2"/>
            </w:tcBorders>
          </w:tcPr>
          <w:p>
            <w:pPr>
              <w:spacing w:after="0" w:line="20" w:lineRule="exact"/>
              <w:rPr>
                <w:sz w:val="1"/>
                <w:szCs w:val="1"/>
                <w:color w:val="auto"/>
              </w:rPr>
            </w:pPr>
          </w:p>
        </w:tc>
        <w:tc>
          <w:tcPr>
            <w:tcW w:w="720" w:type="dxa"/>
            <w:vAlign w:val="bottom"/>
            <w:tcBorders>
              <w:bottom w:val="single" w:sz="8" w:color="CFCFD2"/>
            </w:tcBorders>
          </w:tcPr>
          <w:p>
            <w:pPr>
              <w:spacing w:after="0" w:line="20" w:lineRule="exact"/>
              <w:rPr>
                <w:sz w:val="1"/>
                <w:szCs w:val="1"/>
                <w:color w:val="auto"/>
              </w:rPr>
            </w:pPr>
          </w:p>
        </w:tc>
        <w:tc>
          <w:tcPr>
            <w:tcW w:w="860" w:type="dxa"/>
            <w:vAlign w:val="bottom"/>
            <w:tcBorders>
              <w:bottom w:val="single" w:sz="8" w:color="CFCFD2"/>
            </w:tcBorders>
          </w:tcPr>
          <w:p>
            <w:pPr>
              <w:spacing w:after="0" w:line="20" w:lineRule="exact"/>
              <w:rPr>
                <w:sz w:val="1"/>
                <w:szCs w:val="1"/>
                <w:color w:val="auto"/>
              </w:rPr>
            </w:pPr>
          </w:p>
        </w:tc>
        <w:tc>
          <w:tcPr>
            <w:tcW w:w="140" w:type="dxa"/>
            <w:vAlign w:val="bottom"/>
            <w:tcBorders>
              <w:bottom w:val="single" w:sz="8" w:color="CFCF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1300" w:type="dxa"/>
            <w:vAlign w:val="bottom"/>
          </w:tcPr>
          <w:p>
            <w:pPr>
              <w:ind w:left="80"/>
              <w:spacing w:after="0"/>
              <w:rPr>
                <w:sz w:val="20"/>
                <w:szCs w:val="20"/>
                <w:color w:val="auto"/>
              </w:rPr>
            </w:pPr>
            <w:r>
              <w:rPr>
                <w:rFonts w:ascii="Arial" w:cs="Arial" w:eastAsia="Arial" w:hAnsi="Arial"/>
                <w:sz w:val="12"/>
                <w:szCs w:val="12"/>
                <w:color w:val="0E1020"/>
              </w:rPr>
              <w:t>Annual Cash</w:t>
            </w:r>
          </w:p>
        </w:tc>
        <w:tc>
          <w:tcPr>
            <w:tcW w:w="540" w:type="dxa"/>
            <w:vAlign w:val="bottom"/>
            <w:vMerge w:val="restart"/>
          </w:tcPr>
          <w:p>
            <w:pPr>
              <w:jc w:val="center"/>
              <w:ind w:right="42"/>
              <w:spacing w:after="0"/>
              <w:rPr>
                <w:sz w:val="20"/>
                <w:szCs w:val="20"/>
                <w:color w:val="auto"/>
              </w:rPr>
            </w:pPr>
            <w:r>
              <w:rPr>
                <w:rFonts w:ascii="Arial" w:cs="Arial" w:eastAsia="Arial" w:hAnsi="Arial"/>
                <w:sz w:val="12"/>
                <w:szCs w:val="12"/>
                <w:color w:val="0E1020"/>
                <w:w w:val="99"/>
              </w:rPr>
              <w:t>—</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E1020"/>
                <w:w w:val="99"/>
              </w:rPr>
              <w:t>—</w:t>
            </w:r>
          </w:p>
        </w:tc>
        <w:tc>
          <w:tcPr>
            <w:tcW w:w="860" w:type="dxa"/>
            <w:vAlign w:val="bottom"/>
            <w:vMerge w:val="restart"/>
          </w:tcPr>
          <w:p>
            <w:pPr>
              <w:jc w:val="right"/>
              <w:ind w:right="2"/>
              <w:spacing w:after="0"/>
              <w:rPr>
                <w:sz w:val="20"/>
                <w:szCs w:val="20"/>
                <w:color w:val="auto"/>
              </w:rPr>
            </w:pPr>
            <w:r>
              <w:rPr>
                <w:rFonts w:ascii="Arial" w:cs="Arial" w:eastAsia="Arial" w:hAnsi="Arial"/>
                <w:sz w:val="12"/>
                <w:szCs w:val="12"/>
                <w:color w:val="0E1020"/>
              </w:rPr>
              <w:t>1,875,000</w:t>
            </w:r>
          </w:p>
        </w:tc>
        <w:tc>
          <w:tcPr>
            <w:tcW w:w="940" w:type="dxa"/>
            <w:vAlign w:val="bottom"/>
            <w:vMerge w:val="restart"/>
          </w:tcPr>
          <w:p>
            <w:pPr>
              <w:jc w:val="right"/>
              <w:ind w:right="102"/>
              <w:spacing w:after="0"/>
              <w:rPr>
                <w:sz w:val="20"/>
                <w:szCs w:val="20"/>
                <w:color w:val="auto"/>
              </w:rPr>
            </w:pPr>
            <w:r>
              <w:rPr>
                <w:rFonts w:ascii="Arial" w:cs="Arial" w:eastAsia="Arial" w:hAnsi="Arial"/>
                <w:sz w:val="12"/>
                <w:szCs w:val="12"/>
                <w:color w:val="0E1020"/>
              </w:rPr>
              <w:t>3,750,000</w:t>
            </w:r>
          </w:p>
        </w:tc>
        <w:tc>
          <w:tcPr>
            <w:tcW w:w="720" w:type="dxa"/>
            <w:vAlign w:val="bottom"/>
            <w:vMerge w:val="restart"/>
          </w:tcPr>
          <w:p>
            <w:pPr>
              <w:jc w:val="right"/>
              <w:ind w:right="2"/>
              <w:spacing w:after="0"/>
              <w:rPr>
                <w:sz w:val="20"/>
                <w:szCs w:val="20"/>
                <w:color w:val="auto"/>
              </w:rPr>
            </w:pPr>
            <w:r>
              <w:rPr>
                <w:rFonts w:ascii="Arial" w:cs="Arial" w:eastAsia="Arial" w:hAnsi="Arial"/>
                <w:sz w:val="12"/>
                <w:szCs w:val="12"/>
                <w:color w:val="0E1020"/>
              </w:rPr>
              <w:t>7,500,000</w:t>
            </w:r>
          </w:p>
        </w:tc>
        <w:tc>
          <w:tcPr>
            <w:tcW w:w="80" w:type="dxa"/>
            <w:vAlign w:val="bottom"/>
          </w:tcPr>
          <w:p>
            <w:pPr>
              <w:spacing w:after="0"/>
              <w:rPr>
                <w:sz w:val="12"/>
                <w:szCs w:val="12"/>
                <w:color w:val="auto"/>
              </w:rPr>
            </w:pPr>
          </w:p>
        </w:tc>
        <w:tc>
          <w:tcPr>
            <w:tcW w:w="1020" w:type="dxa"/>
            <w:vAlign w:val="bottom"/>
            <w:vMerge w:val="restart"/>
          </w:tcPr>
          <w:p>
            <w:pPr>
              <w:jc w:val="right"/>
              <w:ind w:right="122"/>
              <w:spacing w:after="0"/>
              <w:rPr>
                <w:sz w:val="20"/>
                <w:szCs w:val="20"/>
                <w:color w:val="auto"/>
              </w:rPr>
            </w:pPr>
            <w:r>
              <w:rPr>
                <w:rFonts w:ascii="Arial" w:cs="Arial" w:eastAsia="Arial" w:hAnsi="Arial"/>
                <w:sz w:val="12"/>
                <w:szCs w:val="12"/>
                <w:color w:val="0E1020"/>
              </w:rPr>
              <w:t>—</w:t>
            </w:r>
          </w:p>
        </w:tc>
        <w:tc>
          <w:tcPr>
            <w:tcW w:w="960" w:type="dxa"/>
            <w:vAlign w:val="bottom"/>
            <w:vMerge w:val="restart"/>
          </w:tcPr>
          <w:p>
            <w:pPr>
              <w:jc w:val="right"/>
              <w:ind w:right="202"/>
              <w:spacing w:after="0"/>
              <w:rPr>
                <w:sz w:val="20"/>
                <w:szCs w:val="20"/>
                <w:color w:val="auto"/>
              </w:rPr>
            </w:pPr>
            <w:r>
              <w:rPr>
                <w:rFonts w:ascii="Arial" w:cs="Arial" w:eastAsia="Arial" w:hAnsi="Arial"/>
                <w:sz w:val="12"/>
                <w:szCs w:val="12"/>
                <w:color w:val="0E1020"/>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960" w:type="dxa"/>
            <w:vAlign w:val="bottom"/>
            <w:vMerge w:val="restart"/>
          </w:tcPr>
          <w:p>
            <w:pPr>
              <w:jc w:val="right"/>
              <w:ind w:right="3"/>
              <w:spacing w:after="0"/>
              <w:rPr>
                <w:sz w:val="20"/>
                <w:szCs w:val="20"/>
                <w:color w:val="auto"/>
              </w:rPr>
            </w:pPr>
            <w:r>
              <w:rPr>
                <w:rFonts w:ascii="Arial" w:cs="Arial" w:eastAsia="Arial" w:hAnsi="Arial"/>
                <w:sz w:val="12"/>
                <w:szCs w:val="12"/>
                <w:color w:val="0E1020"/>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0E1020"/>
              </w:rPr>
              <w:t>—</w:t>
            </w:r>
          </w:p>
        </w:tc>
        <w:tc>
          <w:tcPr>
            <w:tcW w:w="0" w:type="dxa"/>
            <w:vAlign w:val="bottom"/>
          </w:tcPr>
          <w:p>
            <w:pPr>
              <w:spacing w:after="0"/>
              <w:rPr>
                <w:sz w:val="1"/>
                <w:szCs w:val="1"/>
                <w:color w:val="auto"/>
              </w:rPr>
            </w:pPr>
          </w:p>
        </w:tc>
      </w:tr>
      <w:tr>
        <w:trPr>
          <w:trHeight w:val="84"/>
        </w:trPr>
        <w:tc>
          <w:tcPr>
            <w:tcW w:w="1300" w:type="dxa"/>
            <w:vAlign w:val="bottom"/>
            <w:vMerge w:val="restart"/>
          </w:tcPr>
          <w:p>
            <w:pPr>
              <w:ind w:left="80"/>
              <w:spacing w:after="0"/>
              <w:rPr>
                <w:sz w:val="20"/>
                <w:szCs w:val="20"/>
                <w:color w:val="auto"/>
              </w:rPr>
            </w:pPr>
            <w:r>
              <w:rPr>
                <w:rFonts w:ascii="Arial" w:cs="Arial" w:eastAsia="Arial" w:hAnsi="Arial"/>
                <w:sz w:val="12"/>
                <w:szCs w:val="12"/>
                <w:color w:val="0E1020"/>
              </w:rPr>
              <w:t>Incentive Plan</w:t>
            </w:r>
          </w:p>
        </w:tc>
        <w:tc>
          <w:tcPr>
            <w:tcW w:w="5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3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1300" w:type="dxa"/>
            <w:vAlign w:val="bottom"/>
            <w:tcBorders>
              <w:bottom w:val="single" w:sz="8" w:color="CFCFD2"/>
            </w:tcBorders>
          </w:tcPr>
          <w:p>
            <w:pPr>
              <w:spacing w:after="0"/>
              <w:rPr>
                <w:sz w:val="2"/>
                <w:szCs w:val="2"/>
                <w:color w:val="auto"/>
              </w:rPr>
            </w:pPr>
          </w:p>
        </w:tc>
        <w:tc>
          <w:tcPr>
            <w:tcW w:w="540" w:type="dxa"/>
            <w:vAlign w:val="bottom"/>
            <w:tcBorders>
              <w:bottom w:val="single" w:sz="8" w:color="CFCFD2"/>
            </w:tcBorders>
          </w:tcPr>
          <w:p>
            <w:pPr>
              <w:spacing w:after="0"/>
              <w:rPr>
                <w:sz w:val="2"/>
                <w:szCs w:val="2"/>
                <w:color w:val="auto"/>
              </w:rPr>
            </w:pPr>
          </w:p>
        </w:tc>
        <w:tc>
          <w:tcPr>
            <w:tcW w:w="760" w:type="dxa"/>
            <w:vAlign w:val="bottom"/>
            <w:tcBorders>
              <w:bottom w:val="single" w:sz="8" w:color="CFCFD2"/>
            </w:tcBorders>
          </w:tcPr>
          <w:p>
            <w:pPr>
              <w:spacing w:after="0"/>
              <w:rPr>
                <w:sz w:val="2"/>
                <w:szCs w:val="2"/>
                <w:color w:val="auto"/>
              </w:rPr>
            </w:pPr>
          </w:p>
        </w:tc>
        <w:tc>
          <w:tcPr>
            <w:tcW w:w="860" w:type="dxa"/>
            <w:vAlign w:val="bottom"/>
            <w:tcBorders>
              <w:bottom w:val="single" w:sz="8" w:color="CFCFD2"/>
            </w:tcBorders>
          </w:tcPr>
          <w:p>
            <w:pPr>
              <w:spacing w:after="0"/>
              <w:rPr>
                <w:sz w:val="2"/>
                <w:szCs w:val="2"/>
                <w:color w:val="auto"/>
              </w:rPr>
            </w:pPr>
          </w:p>
        </w:tc>
        <w:tc>
          <w:tcPr>
            <w:tcW w:w="940" w:type="dxa"/>
            <w:vAlign w:val="bottom"/>
            <w:tcBorders>
              <w:bottom w:val="single" w:sz="8" w:color="CFCFD2"/>
            </w:tcBorders>
          </w:tcPr>
          <w:p>
            <w:pPr>
              <w:spacing w:after="0"/>
              <w:rPr>
                <w:sz w:val="2"/>
                <w:szCs w:val="2"/>
                <w:color w:val="auto"/>
              </w:rPr>
            </w:pPr>
          </w:p>
        </w:tc>
        <w:tc>
          <w:tcPr>
            <w:tcW w:w="720" w:type="dxa"/>
            <w:vAlign w:val="bottom"/>
            <w:tcBorders>
              <w:bottom w:val="single" w:sz="8" w:color="CFCFD2"/>
            </w:tcBorders>
          </w:tcPr>
          <w:p>
            <w:pPr>
              <w:spacing w:after="0"/>
              <w:rPr>
                <w:sz w:val="2"/>
                <w:szCs w:val="2"/>
                <w:color w:val="auto"/>
              </w:rPr>
            </w:pPr>
          </w:p>
        </w:tc>
        <w:tc>
          <w:tcPr>
            <w:tcW w:w="80" w:type="dxa"/>
            <w:vAlign w:val="bottom"/>
            <w:tcBorders>
              <w:bottom w:val="single" w:sz="8" w:color="CFCFD2"/>
            </w:tcBorders>
          </w:tcPr>
          <w:p>
            <w:pPr>
              <w:spacing w:after="0"/>
              <w:rPr>
                <w:sz w:val="2"/>
                <w:szCs w:val="2"/>
                <w:color w:val="auto"/>
              </w:rPr>
            </w:pPr>
          </w:p>
        </w:tc>
        <w:tc>
          <w:tcPr>
            <w:tcW w:w="1020" w:type="dxa"/>
            <w:vAlign w:val="bottom"/>
            <w:tcBorders>
              <w:bottom w:val="single" w:sz="8" w:color="CFCFD2"/>
            </w:tcBorders>
          </w:tcPr>
          <w:p>
            <w:pPr>
              <w:spacing w:after="0"/>
              <w:rPr>
                <w:sz w:val="2"/>
                <w:szCs w:val="2"/>
                <w:color w:val="auto"/>
              </w:rPr>
            </w:pPr>
          </w:p>
        </w:tc>
        <w:tc>
          <w:tcPr>
            <w:tcW w:w="960" w:type="dxa"/>
            <w:vAlign w:val="bottom"/>
            <w:tcBorders>
              <w:bottom w:val="single" w:sz="8" w:color="CFCFD2"/>
            </w:tcBorders>
          </w:tcPr>
          <w:p>
            <w:pPr>
              <w:spacing w:after="0"/>
              <w:rPr>
                <w:sz w:val="2"/>
                <w:szCs w:val="2"/>
                <w:color w:val="auto"/>
              </w:rPr>
            </w:pPr>
          </w:p>
        </w:tc>
        <w:tc>
          <w:tcPr>
            <w:tcW w:w="620" w:type="dxa"/>
            <w:vAlign w:val="bottom"/>
            <w:tcBorders>
              <w:bottom w:val="single" w:sz="8" w:color="CFCFD2"/>
            </w:tcBorders>
          </w:tcPr>
          <w:p>
            <w:pPr>
              <w:spacing w:after="0"/>
              <w:rPr>
                <w:sz w:val="2"/>
                <w:szCs w:val="2"/>
                <w:color w:val="auto"/>
              </w:rPr>
            </w:pPr>
          </w:p>
        </w:tc>
        <w:tc>
          <w:tcPr>
            <w:tcW w:w="760" w:type="dxa"/>
            <w:vAlign w:val="bottom"/>
            <w:tcBorders>
              <w:bottom w:val="single" w:sz="8" w:color="CFCFD2"/>
            </w:tcBorders>
          </w:tcPr>
          <w:p>
            <w:pPr>
              <w:spacing w:after="0"/>
              <w:rPr>
                <w:sz w:val="2"/>
                <w:szCs w:val="2"/>
                <w:color w:val="auto"/>
              </w:rPr>
            </w:pPr>
          </w:p>
        </w:tc>
        <w:tc>
          <w:tcPr>
            <w:tcW w:w="960" w:type="dxa"/>
            <w:vAlign w:val="bottom"/>
            <w:tcBorders>
              <w:bottom w:val="single" w:sz="8" w:color="CFCFD2"/>
            </w:tcBorders>
          </w:tcPr>
          <w:p>
            <w:pPr>
              <w:spacing w:after="0"/>
              <w:rPr>
                <w:sz w:val="2"/>
                <w:szCs w:val="2"/>
                <w:color w:val="auto"/>
              </w:rPr>
            </w:pPr>
          </w:p>
        </w:tc>
        <w:tc>
          <w:tcPr>
            <w:tcW w:w="720" w:type="dxa"/>
            <w:vAlign w:val="bottom"/>
            <w:tcBorders>
              <w:bottom w:val="single" w:sz="8" w:color="CFCFD2"/>
            </w:tcBorders>
          </w:tcPr>
          <w:p>
            <w:pPr>
              <w:spacing w:after="0"/>
              <w:rPr>
                <w:sz w:val="2"/>
                <w:szCs w:val="2"/>
                <w:color w:val="auto"/>
              </w:rPr>
            </w:pPr>
          </w:p>
        </w:tc>
        <w:tc>
          <w:tcPr>
            <w:tcW w:w="860" w:type="dxa"/>
            <w:vAlign w:val="bottom"/>
            <w:tcBorders>
              <w:bottom w:val="single" w:sz="8" w:color="CFCFD2"/>
            </w:tcBorders>
          </w:tcPr>
          <w:p>
            <w:pPr>
              <w:spacing w:after="0"/>
              <w:rPr>
                <w:sz w:val="2"/>
                <w:szCs w:val="2"/>
                <w:color w:val="auto"/>
              </w:rPr>
            </w:pPr>
          </w:p>
        </w:tc>
        <w:tc>
          <w:tcPr>
            <w:tcW w:w="14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300" w:type="dxa"/>
            <w:vAlign w:val="bottom"/>
          </w:tcPr>
          <w:p>
            <w:pPr>
              <w:ind w:left="80"/>
              <w:spacing w:after="0"/>
              <w:rPr>
                <w:sz w:val="20"/>
                <w:szCs w:val="20"/>
                <w:color w:val="auto"/>
              </w:rPr>
            </w:pPr>
            <w:r>
              <w:rPr>
                <w:rFonts w:ascii="Arial" w:cs="Arial" w:eastAsia="Arial" w:hAnsi="Arial"/>
                <w:sz w:val="12"/>
                <w:szCs w:val="12"/>
                <w:color w:val="0E1020"/>
              </w:rPr>
              <w:t>RSUs –</w:t>
            </w:r>
          </w:p>
        </w:tc>
        <w:tc>
          <w:tcPr>
            <w:tcW w:w="540" w:type="dxa"/>
            <w:vAlign w:val="bottom"/>
            <w:vMerge w:val="restart"/>
          </w:tcPr>
          <w:p>
            <w:pPr>
              <w:jc w:val="center"/>
              <w:ind w:right="62"/>
              <w:spacing w:after="0"/>
              <w:rPr>
                <w:sz w:val="20"/>
                <w:szCs w:val="20"/>
                <w:color w:val="auto"/>
              </w:rPr>
            </w:pPr>
            <w:r>
              <w:rPr>
                <w:rFonts w:ascii="Arial" w:cs="Arial" w:eastAsia="Arial" w:hAnsi="Arial"/>
                <w:sz w:val="12"/>
                <w:szCs w:val="12"/>
                <w:color w:val="0E1020"/>
                <w:w w:val="94"/>
              </w:rPr>
              <w:t>5/16/25</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E1020"/>
                <w:w w:val="99"/>
              </w:rPr>
              <w:t>5/13/25</w:t>
            </w:r>
          </w:p>
        </w:tc>
        <w:tc>
          <w:tcPr>
            <w:tcW w:w="860" w:type="dxa"/>
            <w:vAlign w:val="bottom"/>
            <w:vMerge w:val="restart"/>
          </w:tcPr>
          <w:p>
            <w:pPr>
              <w:jc w:val="right"/>
              <w:ind w:right="2"/>
              <w:spacing w:after="0"/>
              <w:rPr>
                <w:sz w:val="20"/>
                <w:szCs w:val="20"/>
                <w:color w:val="auto"/>
              </w:rPr>
            </w:pPr>
            <w:r>
              <w:rPr>
                <w:rFonts w:ascii="Arial" w:cs="Arial" w:eastAsia="Arial" w:hAnsi="Arial"/>
                <w:sz w:val="12"/>
                <w:szCs w:val="12"/>
                <w:color w:val="0E1020"/>
              </w:rPr>
              <w:t>—</w:t>
            </w:r>
          </w:p>
        </w:tc>
        <w:tc>
          <w:tcPr>
            <w:tcW w:w="940" w:type="dxa"/>
            <w:vAlign w:val="bottom"/>
            <w:vMerge w:val="restart"/>
          </w:tcPr>
          <w:p>
            <w:pPr>
              <w:jc w:val="right"/>
              <w:ind w:right="102"/>
              <w:spacing w:after="0"/>
              <w:rPr>
                <w:sz w:val="20"/>
                <w:szCs w:val="20"/>
                <w:color w:val="auto"/>
              </w:rPr>
            </w:pPr>
            <w:r>
              <w:rPr>
                <w:rFonts w:ascii="Arial" w:cs="Arial" w:eastAsia="Arial" w:hAnsi="Arial"/>
                <w:sz w:val="12"/>
                <w:szCs w:val="12"/>
                <w:color w:val="0E1020"/>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0E1020"/>
              </w:rPr>
              <w:t>—</w:t>
            </w:r>
          </w:p>
        </w:tc>
        <w:tc>
          <w:tcPr>
            <w:tcW w:w="1020" w:type="dxa"/>
            <w:vAlign w:val="bottom"/>
            <w:vMerge w:val="restart"/>
          </w:tcPr>
          <w:p>
            <w:pPr>
              <w:jc w:val="right"/>
              <w:ind w:right="122"/>
              <w:spacing w:after="0"/>
              <w:rPr>
                <w:sz w:val="20"/>
                <w:szCs w:val="20"/>
                <w:color w:val="auto"/>
              </w:rPr>
            </w:pPr>
            <w:r>
              <w:rPr>
                <w:rFonts w:ascii="Arial" w:cs="Arial" w:eastAsia="Arial" w:hAnsi="Arial"/>
                <w:sz w:val="12"/>
                <w:szCs w:val="12"/>
                <w:color w:val="0E1020"/>
              </w:rPr>
              <w:t>1,141,392</w:t>
            </w:r>
          </w:p>
        </w:tc>
        <w:tc>
          <w:tcPr>
            <w:tcW w:w="960" w:type="dxa"/>
            <w:vAlign w:val="bottom"/>
            <w:vMerge w:val="restart"/>
          </w:tcPr>
          <w:p>
            <w:pPr>
              <w:jc w:val="right"/>
              <w:ind w:right="202"/>
              <w:spacing w:after="0"/>
              <w:rPr>
                <w:sz w:val="20"/>
                <w:szCs w:val="20"/>
                <w:color w:val="auto"/>
              </w:rPr>
            </w:pPr>
            <w:r>
              <w:rPr>
                <w:rFonts w:ascii="Arial" w:cs="Arial" w:eastAsia="Arial" w:hAnsi="Arial"/>
                <w:sz w:val="12"/>
                <w:szCs w:val="12"/>
                <w:color w:val="0E1020"/>
              </w:rPr>
              <w:t>2,282,784</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0E1020"/>
              </w:rPr>
              <w:t>4,565,568</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960" w:type="dxa"/>
            <w:vAlign w:val="bottom"/>
            <w:vMerge w:val="restart"/>
          </w:tcPr>
          <w:p>
            <w:pPr>
              <w:jc w:val="right"/>
              <w:ind w:right="3"/>
              <w:spacing w:after="0"/>
              <w:rPr>
                <w:sz w:val="20"/>
                <w:szCs w:val="20"/>
                <w:color w:val="auto"/>
              </w:rPr>
            </w:pPr>
            <w:r>
              <w:rPr>
                <w:rFonts w:ascii="Arial" w:cs="Arial" w:eastAsia="Arial" w:hAnsi="Arial"/>
                <w:sz w:val="12"/>
                <w:szCs w:val="12"/>
                <w:color w:val="0E1020"/>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860" w:type="dxa"/>
            <w:vAlign w:val="bottom"/>
            <w:vMerge w:val="restart"/>
          </w:tcPr>
          <w:p>
            <w:pPr>
              <w:jc w:val="right"/>
              <w:ind w:right="3"/>
              <w:spacing w:after="0"/>
              <w:rPr>
                <w:sz w:val="20"/>
                <w:szCs w:val="20"/>
                <w:color w:val="auto"/>
              </w:rPr>
            </w:pPr>
            <w:r>
              <w:rPr>
                <w:rFonts w:ascii="Arial" w:cs="Arial" w:eastAsia="Arial" w:hAnsi="Arial"/>
                <w:sz w:val="12"/>
                <w:szCs w:val="12"/>
                <w:color w:val="0E1020"/>
              </w:rPr>
              <w:t>36,250,610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CFCFD2"/>
            </w:tcBorders>
          </w:tcPr>
          <w:p>
            <w:pPr>
              <w:ind w:left="80"/>
              <w:spacing w:after="0"/>
              <w:rPr>
                <w:sz w:val="20"/>
                <w:szCs w:val="20"/>
                <w:color w:val="auto"/>
              </w:rPr>
            </w:pPr>
            <w:r>
              <w:rPr>
                <w:rFonts w:ascii="Arial" w:cs="Arial" w:eastAsia="Arial" w:hAnsi="Arial"/>
                <w:sz w:val="12"/>
                <w:szCs w:val="12"/>
                <w:color w:val="0E1020"/>
              </w:rPr>
              <w:t>Performance</w:t>
            </w:r>
            <w:r>
              <w:rPr>
                <w:rFonts w:ascii="Arial" w:cs="Arial" w:eastAsia="Arial" w:hAnsi="Arial"/>
                <w:sz w:val="15"/>
                <w:szCs w:val="15"/>
                <w:color w:val="0E1020"/>
                <w:vertAlign w:val="superscript"/>
              </w:rPr>
              <w:t>(2)</w:t>
            </w:r>
          </w:p>
        </w:tc>
        <w:tc>
          <w:tcPr>
            <w:tcW w:w="540" w:type="dxa"/>
            <w:vAlign w:val="bottom"/>
            <w:tcBorders>
              <w:bottom w:val="single" w:sz="8" w:color="CFCFD2"/>
            </w:tcBorders>
            <w:vMerge w:val="continue"/>
          </w:tcPr>
          <w:p>
            <w:pPr>
              <w:spacing w:after="0"/>
              <w:rPr>
                <w:sz w:val="15"/>
                <w:szCs w:val="15"/>
                <w:color w:val="auto"/>
              </w:rPr>
            </w:pPr>
          </w:p>
        </w:tc>
        <w:tc>
          <w:tcPr>
            <w:tcW w:w="760" w:type="dxa"/>
            <w:vAlign w:val="bottom"/>
            <w:tcBorders>
              <w:bottom w:val="single" w:sz="8" w:color="CFCFD2"/>
            </w:tcBorders>
            <w:vMerge w:val="continue"/>
          </w:tcPr>
          <w:p>
            <w:pPr>
              <w:spacing w:after="0"/>
              <w:rPr>
                <w:sz w:val="15"/>
                <w:szCs w:val="15"/>
                <w:color w:val="auto"/>
              </w:rPr>
            </w:pPr>
          </w:p>
        </w:tc>
        <w:tc>
          <w:tcPr>
            <w:tcW w:w="860" w:type="dxa"/>
            <w:vAlign w:val="bottom"/>
            <w:tcBorders>
              <w:bottom w:val="single" w:sz="8" w:color="CFCFD2"/>
            </w:tcBorders>
            <w:vMerge w:val="continue"/>
          </w:tcPr>
          <w:p>
            <w:pPr>
              <w:spacing w:after="0"/>
              <w:rPr>
                <w:sz w:val="15"/>
                <w:szCs w:val="15"/>
                <w:color w:val="auto"/>
              </w:rPr>
            </w:pPr>
          </w:p>
        </w:tc>
        <w:tc>
          <w:tcPr>
            <w:tcW w:w="940" w:type="dxa"/>
            <w:vAlign w:val="bottom"/>
            <w:tcBorders>
              <w:bottom w:val="single" w:sz="8" w:color="CFCFD2"/>
            </w:tcBorders>
            <w:vMerge w:val="continue"/>
          </w:tcPr>
          <w:p>
            <w:pPr>
              <w:spacing w:after="0"/>
              <w:rPr>
                <w:sz w:val="15"/>
                <w:szCs w:val="15"/>
                <w:color w:val="auto"/>
              </w:rPr>
            </w:pPr>
          </w:p>
        </w:tc>
        <w:tc>
          <w:tcPr>
            <w:tcW w:w="800" w:type="dxa"/>
            <w:vAlign w:val="bottom"/>
            <w:tcBorders>
              <w:bottom w:val="single" w:sz="8" w:color="CFCFD2"/>
            </w:tcBorders>
            <w:gridSpan w:val="2"/>
            <w:vMerge w:val="continue"/>
          </w:tcPr>
          <w:p>
            <w:pPr>
              <w:spacing w:after="0"/>
              <w:rPr>
                <w:sz w:val="15"/>
                <w:szCs w:val="15"/>
                <w:color w:val="auto"/>
              </w:rPr>
            </w:pPr>
          </w:p>
        </w:tc>
        <w:tc>
          <w:tcPr>
            <w:tcW w:w="1020" w:type="dxa"/>
            <w:vAlign w:val="bottom"/>
            <w:tcBorders>
              <w:bottom w:val="single" w:sz="8" w:color="CFCFD2"/>
            </w:tcBorders>
            <w:vMerge w:val="continue"/>
          </w:tcPr>
          <w:p>
            <w:pPr>
              <w:spacing w:after="0"/>
              <w:rPr>
                <w:sz w:val="15"/>
                <w:szCs w:val="15"/>
                <w:color w:val="auto"/>
              </w:rPr>
            </w:pPr>
          </w:p>
        </w:tc>
        <w:tc>
          <w:tcPr>
            <w:tcW w:w="960" w:type="dxa"/>
            <w:vAlign w:val="bottom"/>
            <w:tcBorders>
              <w:bottom w:val="single" w:sz="8" w:color="CFCFD2"/>
            </w:tcBorders>
            <w:vMerge w:val="continue"/>
          </w:tcPr>
          <w:p>
            <w:pPr>
              <w:spacing w:after="0"/>
              <w:rPr>
                <w:sz w:val="15"/>
                <w:szCs w:val="15"/>
                <w:color w:val="auto"/>
              </w:rPr>
            </w:pPr>
          </w:p>
        </w:tc>
        <w:tc>
          <w:tcPr>
            <w:tcW w:w="620" w:type="dxa"/>
            <w:vAlign w:val="bottom"/>
            <w:tcBorders>
              <w:bottom w:val="single" w:sz="8" w:color="CFCFD2"/>
            </w:tcBorders>
            <w:vMerge w:val="continue"/>
          </w:tcPr>
          <w:p>
            <w:pPr>
              <w:spacing w:after="0"/>
              <w:rPr>
                <w:sz w:val="15"/>
                <w:szCs w:val="15"/>
                <w:color w:val="auto"/>
              </w:rPr>
            </w:pPr>
          </w:p>
        </w:tc>
        <w:tc>
          <w:tcPr>
            <w:tcW w:w="760" w:type="dxa"/>
            <w:vAlign w:val="bottom"/>
            <w:tcBorders>
              <w:bottom w:val="single" w:sz="8" w:color="CFCFD2"/>
            </w:tcBorders>
            <w:vMerge w:val="continue"/>
          </w:tcPr>
          <w:p>
            <w:pPr>
              <w:spacing w:after="0"/>
              <w:rPr>
                <w:sz w:val="15"/>
                <w:szCs w:val="15"/>
                <w:color w:val="auto"/>
              </w:rPr>
            </w:pPr>
          </w:p>
        </w:tc>
        <w:tc>
          <w:tcPr>
            <w:tcW w:w="960" w:type="dxa"/>
            <w:vAlign w:val="bottom"/>
            <w:tcBorders>
              <w:bottom w:val="single" w:sz="8" w:color="CFCFD2"/>
            </w:tcBorders>
            <w:vMerge w:val="continue"/>
          </w:tcPr>
          <w:p>
            <w:pPr>
              <w:spacing w:after="0"/>
              <w:rPr>
                <w:sz w:val="15"/>
                <w:szCs w:val="15"/>
                <w:color w:val="auto"/>
              </w:rPr>
            </w:pPr>
          </w:p>
        </w:tc>
        <w:tc>
          <w:tcPr>
            <w:tcW w:w="720" w:type="dxa"/>
            <w:vAlign w:val="bottom"/>
            <w:tcBorders>
              <w:bottom w:val="single" w:sz="8" w:color="CFCFD2"/>
            </w:tcBorders>
            <w:vMerge w:val="continue"/>
          </w:tcPr>
          <w:p>
            <w:pPr>
              <w:spacing w:after="0"/>
              <w:rPr>
                <w:sz w:val="15"/>
                <w:szCs w:val="15"/>
                <w:color w:val="auto"/>
              </w:rPr>
            </w:pPr>
          </w:p>
        </w:tc>
        <w:tc>
          <w:tcPr>
            <w:tcW w:w="860" w:type="dxa"/>
            <w:vAlign w:val="bottom"/>
            <w:tcBorders>
              <w:bottom w:val="single" w:sz="8" w:color="CFCFD2"/>
            </w:tcBorders>
            <w:vMerge w:val="continue"/>
          </w:tcPr>
          <w:p>
            <w:pPr>
              <w:spacing w:after="0"/>
              <w:rPr>
                <w:sz w:val="15"/>
                <w:szCs w:val="15"/>
                <w:color w:val="auto"/>
              </w:rPr>
            </w:pPr>
          </w:p>
        </w:tc>
        <w:tc>
          <w:tcPr>
            <w:tcW w:w="140" w:type="dxa"/>
            <w:vAlign w:val="bottom"/>
            <w:tcBorders>
              <w:bottom w:val="single" w:sz="8" w:color="CFCFD2"/>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300" w:type="dxa"/>
            <w:vAlign w:val="bottom"/>
          </w:tcPr>
          <w:p>
            <w:pPr>
              <w:ind w:left="80"/>
              <w:spacing w:after="0"/>
              <w:rPr>
                <w:sz w:val="20"/>
                <w:szCs w:val="20"/>
                <w:color w:val="auto"/>
              </w:rPr>
            </w:pPr>
            <w:r>
              <w:rPr>
                <w:rFonts w:ascii="Arial" w:cs="Arial" w:eastAsia="Arial" w:hAnsi="Arial"/>
                <w:sz w:val="12"/>
                <w:szCs w:val="12"/>
                <w:color w:val="0E1020"/>
              </w:rPr>
              <w:t>RSUs – Time-</w:t>
            </w:r>
          </w:p>
        </w:tc>
        <w:tc>
          <w:tcPr>
            <w:tcW w:w="540" w:type="dxa"/>
            <w:vAlign w:val="bottom"/>
            <w:vMerge w:val="restart"/>
          </w:tcPr>
          <w:p>
            <w:pPr>
              <w:jc w:val="center"/>
              <w:ind w:right="62"/>
              <w:spacing w:after="0"/>
              <w:rPr>
                <w:sz w:val="20"/>
                <w:szCs w:val="20"/>
                <w:color w:val="auto"/>
              </w:rPr>
            </w:pPr>
            <w:r>
              <w:rPr>
                <w:rFonts w:ascii="Arial" w:cs="Arial" w:eastAsia="Arial" w:hAnsi="Arial"/>
                <w:sz w:val="12"/>
                <w:szCs w:val="12"/>
                <w:color w:val="0E1020"/>
                <w:w w:val="94"/>
              </w:rPr>
              <w:t>5/16/25</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E1020"/>
                <w:w w:val="99"/>
              </w:rPr>
              <w:t>5/13/25</w:t>
            </w:r>
          </w:p>
        </w:tc>
        <w:tc>
          <w:tcPr>
            <w:tcW w:w="860" w:type="dxa"/>
            <w:vAlign w:val="bottom"/>
            <w:vMerge w:val="restart"/>
          </w:tcPr>
          <w:p>
            <w:pPr>
              <w:jc w:val="right"/>
              <w:ind w:right="2"/>
              <w:spacing w:after="0"/>
              <w:rPr>
                <w:sz w:val="20"/>
                <w:szCs w:val="20"/>
                <w:color w:val="auto"/>
              </w:rPr>
            </w:pPr>
            <w:r>
              <w:rPr>
                <w:rFonts w:ascii="Arial" w:cs="Arial" w:eastAsia="Arial" w:hAnsi="Arial"/>
                <w:sz w:val="12"/>
                <w:szCs w:val="12"/>
                <w:color w:val="0E1020"/>
              </w:rPr>
              <w:t>—</w:t>
            </w:r>
          </w:p>
        </w:tc>
        <w:tc>
          <w:tcPr>
            <w:tcW w:w="940" w:type="dxa"/>
            <w:vAlign w:val="bottom"/>
            <w:vMerge w:val="restart"/>
          </w:tcPr>
          <w:p>
            <w:pPr>
              <w:jc w:val="right"/>
              <w:ind w:right="102"/>
              <w:spacing w:after="0"/>
              <w:rPr>
                <w:sz w:val="20"/>
                <w:szCs w:val="20"/>
                <w:color w:val="auto"/>
              </w:rPr>
            </w:pPr>
            <w:r>
              <w:rPr>
                <w:rFonts w:ascii="Arial" w:cs="Arial" w:eastAsia="Arial" w:hAnsi="Arial"/>
                <w:sz w:val="12"/>
                <w:szCs w:val="12"/>
                <w:color w:val="0E1020"/>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0E1020"/>
              </w:rPr>
              <w:t>—</w:t>
            </w:r>
          </w:p>
        </w:tc>
        <w:tc>
          <w:tcPr>
            <w:tcW w:w="1020" w:type="dxa"/>
            <w:vAlign w:val="bottom"/>
            <w:vMerge w:val="restart"/>
          </w:tcPr>
          <w:p>
            <w:pPr>
              <w:jc w:val="right"/>
              <w:ind w:right="122"/>
              <w:spacing w:after="0"/>
              <w:rPr>
                <w:sz w:val="20"/>
                <w:szCs w:val="20"/>
                <w:color w:val="auto"/>
              </w:rPr>
            </w:pPr>
            <w:r>
              <w:rPr>
                <w:rFonts w:ascii="Arial" w:cs="Arial" w:eastAsia="Arial" w:hAnsi="Arial"/>
                <w:sz w:val="12"/>
                <w:szCs w:val="12"/>
                <w:color w:val="0E1020"/>
              </w:rPr>
              <w:t>—</w:t>
            </w:r>
          </w:p>
        </w:tc>
        <w:tc>
          <w:tcPr>
            <w:tcW w:w="960" w:type="dxa"/>
            <w:vAlign w:val="bottom"/>
            <w:vMerge w:val="restart"/>
          </w:tcPr>
          <w:p>
            <w:pPr>
              <w:jc w:val="right"/>
              <w:ind w:right="202"/>
              <w:spacing w:after="0"/>
              <w:rPr>
                <w:sz w:val="20"/>
                <w:szCs w:val="20"/>
                <w:color w:val="auto"/>
              </w:rPr>
            </w:pPr>
            <w:r>
              <w:rPr>
                <w:rFonts w:ascii="Arial" w:cs="Arial" w:eastAsia="Arial" w:hAnsi="Arial"/>
                <w:sz w:val="12"/>
                <w:szCs w:val="12"/>
                <w:color w:val="0E1020"/>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0E1020"/>
              </w:rPr>
              <w:t>402,844</w:t>
            </w:r>
          </w:p>
        </w:tc>
        <w:tc>
          <w:tcPr>
            <w:tcW w:w="960" w:type="dxa"/>
            <w:vAlign w:val="bottom"/>
            <w:vMerge w:val="restart"/>
          </w:tcPr>
          <w:p>
            <w:pPr>
              <w:jc w:val="right"/>
              <w:ind w:right="3"/>
              <w:spacing w:after="0"/>
              <w:rPr>
                <w:sz w:val="20"/>
                <w:szCs w:val="20"/>
                <w:color w:val="auto"/>
              </w:rPr>
            </w:pPr>
            <w:r>
              <w:rPr>
                <w:rFonts w:ascii="Arial" w:cs="Arial" w:eastAsia="Arial" w:hAnsi="Arial"/>
                <w:sz w:val="12"/>
                <w:szCs w:val="12"/>
                <w:color w:val="0E1020"/>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860" w:type="dxa"/>
            <w:vAlign w:val="bottom"/>
            <w:vMerge w:val="restart"/>
          </w:tcPr>
          <w:p>
            <w:pPr>
              <w:jc w:val="right"/>
              <w:ind w:right="3"/>
              <w:spacing w:after="0"/>
              <w:rPr>
                <w:sz w:val="20"/>
                <w:szCs w:val="20"/>
                <w:color w:val="auto"/>
              </w:rPr>
            </w:pPr>
            <w:r>
              <w:rPr>
                <w:rFonts w:ascii="Arial" w:cs="Arial" w:eastAsia="Arial" w:hAnsi="Arial"/>
                <w:sz w:val="12"/>
                <w:szCs w:val="12"/>
                <w:color w:val="0E1020"/>
              </w:rPr>
              <w:t>6,151,428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CFCFD2"/>
            </w:tcBorders>
          </w:tcPr>
          <w:p>
            <w:pPr>
              <w:ind w:left="80"/>
              <w:spacing w:after="0"/>
              <w:rPr>
                <w:sz w:val="20"/>
                <w:szCs w:val="20"/>
                <w:color w:val="auto"/>
              </w:rPr>
            </w:pPr>
            <w:r>
              <w:rPr>
                <w:rFonts w:ascii="Arial" w:cs="Arial" w:eastAsia="Arial" w:hAnsi="Arial"/>
                <w:sz w:val="12"/>
                <w:szCs w:val="12"/>
                <w:color w:val="0E1020"/>
              </w:rPr>
              <w:t>Based</w:t>
            </w:r>
            <w:r>
              <w:rPr>
                <w:rFonts w:ascii="Arial" w:cs="Arial" w:eastAsia="Arial" w:hAnsi="Arial"/>
                <w:sz w:val="15"/>
                <w:szCs w:val="15"/>
                <w:color w:val="0E1020"/>
                <w:vertAlign w:val="superscript"/>
              </w:rPr>
              <w:t>(3)</w:t>
            </w:r>
          </w:p>
        </w:tc>
        <w:tc>
          <w:tcPr>
            <w:tcW w:w="540" w:type="dxa"/>
            <w:vAlign w:val="bottom"/>
            <w:tcBorders>
              <w:bottom w:val="single" w:sz="8" w:color="CFCFD2"/>
            </w:tcBorders>
            <w:vMerge w:val="continue"/>
          </w:tcPr>
          <w:p>
            <w:pPr>
              <w:spacing w:after="0"/>
              <w:rPr>
                <w:sz w:val="15"/>
                <w:szCs w:val="15"/>
                <w:color w:val="auto"/>
              </w:rPr>
            </w:pPr>
          </w:p>
        </w:tc>
        <w:tc>
          <w:tcPr>
            <w:tcW w:w="760" w:type="dxa"/>
            <w:vAlign w:val="bottom"/>
            <w:tcBorders>
              <w:bottom w:val="single" w:sz="8" w:color="CFCFD2"/>
            </w:tcBorders>
            <w:vMerge w:val="continue"/>
          </w:tcPr>
          <w:p>
            <w:pPr>
              <w:spacing w:after="0"/>
              <w:rPr>
                <w:sz w:val="15"/>
                <w:szCs w:val="15"/>
                <w:color w:val="auto"/>
              </w:rPr>
            </w:pPr>
          </w:p>
        </w:tc>
        <w:tc>
          <w:tcPr>
            <w:tcW w:w="860" w:type="dxa"/>
            <w:vAlign w:val="bottom"/>
            <w:tcBorders>
              <w:bottom w:val="single" w:sz="8" w:color="CFCFD2"/>
            </w:tcBorders>
            <w:vMerge w:val="continue"/>
          </w:tcPr>
          <w:p>
            <w:pPr>
              <w:spacing w:after="0"/>
              <w:rPr>
                <w:sz w:val="15"/>
                <w:szCs w:val="15"/>
                <w:color w:val="auto"/>
              </w:rPr>
            </w:pPr>
          </w:p>
        </w:tc>
        <w:tc>
          <w:tcPr>
            <w:tcW w:w="940" w:type="dxa"/>
            <w:vAlign w:val="bottom"/>
            <w:tcBorders>
              <w:bottom w:val="single" w:sz="8" w:color="CFCFD2"/>
            </w:tcBorders>
            <w:vMerge w:val="continue"/>
          </w:tcPr>
          <w:p>
            <w:pPr>
              <w:spacing w:after="0"/>
              <w:rPr>
                <w:sz w:val="15"/>
                <w:szCs w:val="15"/>
                <w:color w:val="auto"/>
              </w:rPr>
            </w:pPr>
          </w:p>
        </w:tc>
        <w:tc>
          <w:tcPr>
            <w:tcW w:w="800" w:type="dxa"/>
            <w:vAlign w:val="bottom"/>
            <w:tcBorders>
              <w:bottom w:val="single" w:sz="8" w:color="CFCFD2"/>
            </w:tcBorders>
            <w:gridSpan w:val="2"/>
            <w:vMerge w:val="continue"/>
          </w:tcPr>
          <w:p>
            <w:pPr>
              <w:spacing w:after="0"/>
              <w:rPr>
                <w:sz w:val="15"/>
                <w:szCs w:val="15"/>
                <w:color w:val="auto"/>
              </w:rPr>
            </w:pPr>
          </w:p>
        </w:tc>
        <w:tc>
          <w:tcPr>
            <w:tcW w:w="1020" w:type="dxa"/>
            <w:vAlign w:val="bottom"/>
            <w:tcBorders>
              <w:bottom w:val="single" w:sz="8" w:color="CFCFD2"/>
            </w:tcBorders>
            <w:vMerge w:val="continue"/>
          </w:tcPr>
          <w:p>
            <w:pPr>
              <w:spacing w:after="0"/>
              <w:rPr>
                <w:sz w:val="15"/>
                <w:szCs w:val="15"/>
                <w:color w:val="auto"/>
              </w:rPr>
            </w:pPr>
          </w:p>
        </w:tc>
        <w:tc>
          <w:tcPr>
            <w:tcW w:w="960" w:type="dxa"/>
            <w:vAlign w:val="bottom"/>
            <w:tcBorders>
              <w:bottom w:val="single" w:sz="8" w:color="CFCFD2"/>
            </w:tcBorders>
            <w:vMerge w:val="continue"/>
          </w:tcPr>
          <w:p>
            <w:pPr>
              <w:spacing w:after="0"/>
              <w:rPr>
                <w:sz w:val="15"/>
                <w:szCs w:val="15"/>
                <w:color w:val="auto"/>
              </w:rPr>
            </w:pPr>
          </w:p>
        </w:tc>
        <w:tc>
          <w:tcPr>
            <w:tcW w:w="620" w:type="dxa"/>
            <w:vAlign w:val="bottom"/>
            <w:tcBorders>
              <w:bottom w:val="single" w:sz="8" w:color="CFCFD2"/>
            </w:tcBorders>
            <w:vMerge w:val="continue"/>
          </w:tcPr>
          <w:p>
            <w:pPr>
              <w:spacing w:after="0"/>
              <w:rPr>
                <w:sz w:val="15"/>
                <w:szCs w:val="15"/>
                <w:color w:val="auto"/>
              </w:rPr>
            </w:pPr>
          </w:p>
        </w:tc>
        <w:tc>
          <w:tcPr>
            <w:tcW w:w="760" w:type="dxa"/>
            <w:vAlign w:val="bottom"/>
            <w:tcBorders>
              <w:bottom w:val="single" w:sz="8" w:color="CFCFD2"/>
            </w:tcBorders>
            <w:vMerge w:val="continue"/>
          </w:tcPr>
          <w:p>
            <w:pPr>
              <w:spacing w:after="0"/>
              <w:rPr>
                <w:sz w:val="15"/>
                <w:szCs w:val="15"/>
                <w:color w:val="auto"/>
              </w:rPr>
            </w:pPr>
          </w:p>
        </w:tc>
        <w:tc>
          <w:tcPr>
            <w:tcW w:w="960" w:type="dxa"/>
            <w:vAlign w:val="bottom"/>
            <w:tcBorders>
              <w:bottom w:val="single" w:sz="8" w:color="CFCFD2"/>
            </w:tcBorders>
            <w:vMerge w:val="continue"/>
          </w:tcPr>
          <w:p>
            <w:pPr>
              <w:spacing w:after="0"/>
              <w:rPr>
                <w:sz w:val="15"/>
                <w:szCs w:val="15"/>
                <w:color w:val="auto"/>
              </w:rPr>
            </w:pPr>
          </w:p>
        </w:tc>
        <w:tc>
          <w:tcPr>
            <w:tcW w:w="720" w:type="dxa"/>
            <w:vAlign w:val="bottom"/>
            <w:tcBorders>
              <w:bottom w:val="single" w:sz="8" w:color="CFCFD2"/>
            </w:tcBorders>
            <w:vMerge w:val="continue"/>
          </w:tcPr>
          <w:p>
            <w:pPr>
              <w:spacing w:after="0"/>
              <w:rPr>
                <w:sz w:val="15"/>
                <w:szCs w:val="15"/>
                <w:color w:val="auto"/>
              </w:rPr>
            </w:pPr>
          </w:p>
        </w:tc>
        <w:tc>
          <w:tcPr>
            <w:tcW w:w="860" w:type="dxa"/>
            <w:vAlign w:val="bottom"/>
            <w:tcBorders>
              <w:bottom w:val="single" w:sz="8" w:color="CFCFD2"/>
            </w:tcBorders>
            <w:vMerge w:val="continue"/>
          </w:tcPr>
          <w:p>
            <w:pPr>
              <w:spacing w:after="0"/>
              <w:rPr>
                <w:sz w:val="15"/>
                <w:szCs w:val="15"/>
                <w:color w:val="auto"/>
              </w:rPr>
            </w:pPr>
          </w:p>
        </w:tc>
        <w:tc>
          <w:tcPr>
            <w:tcW w:w="140" w:type="dxa"/>
            <w:vAlign w:val="bottom"/>
            <w:tcBorders>
              <w:bottom w:val="single" w:sz="8" w:color="CFCFD2"/>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00" w:type="dxa"/>
            <w:vAlign w:val="bottom"/>
          </w:tcPr>
          <w:p>
            <w:pPr>
              <w:ind w:left="80"/>
              <w:spacing w:after="0"/>
              <w:rPr>
                <w:sz w:val="20"/>
                <w:szCs w:val="20"/>
                <w:color w:val="auto"/>
              </w:rPr>
            </w:pPr>
            <w:r>
              <w:rPr>
                <w:rFonts w:ascii="Arial" w:cs="Arial" w:eastAsia="Arial" w:hAnsi="Arial"/>
                <w:sz w:val="13"/>
                <w:szCs w:val="13"/>
                <w:b w:val="1"/>
                <w:bCs w:val="1"/>
                <w:color w:val="004AAC"/>
              </w:rPr>
              <w:t>Robert Del Bene</w:t>
            </w: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300" w:type="dxa"/>
            <w:vAlign w:val="bottom"/>
            <w:tcBorders>
              <w:bottom w:val="single" w:sz="8" w:color="CFCFD2"/>
            </w:tcBorders>
          </w:tcPr>
          <w:p>
            <w:pPr>
              <w:spacing w:after="0" w:line="20" w:lineRule="exact"/>
              <w:rPr>
                <w:sz w:val="1"/>
                <w:szCs w:val="1"/>
                <w:color w:val="auto"/>
              </w:rPr>
            </w:pPr>
          </w:p>
        </w:tc>
        <w:tc>
          <w:tcPr>
            <w:tcW w:w="540" w:type="dxa"/>
            <w:vAlign w:val="bottom"/>
            <w:tcBorders>
              <w:bottom w:val="single" w:sz="8" w:color="CFCFD2"/>
            </w:tcBorders>
          </w:tcPr>
          <w:p>
            <w:pPr>
              <w:spacing w:after="0" w:line="20" w:lineRule="exact"/>
              <w:rPr>
                <w:sz w:val="1"/>
                <w:szCs w:val="1"/>
                <w:color w:val="auto"/>
              </w:rPr>
            </w:pPr>
          </w:p>
        </w:tc>
        <w:tc>
          <w:tcPr>
            <w:tcW w:w="760" w:type="dxa"/>
            <w:vAlign w:val="bottom"/>
            <w:tcBorders>
              <w:bottom w:val="single" w:sz="8" w:color="CFCFD2"/>
            </w:tcBorders>
          </w:tcPr>
          <w:p>
            <w:pPr>
              <w:spacing w:after="0" w:line="20" w:lineRule="exact"/>
              <w:rPr>
                <w:sz w:val="1"/>
                <w:szCs w:val="1"/>
                <w:color w:val="auto"/>
              </w:rPr>
            </w:pPr>
          </w:p>
        </w:tc>
        <w:tc>
          <w:tcPr>
            <w:tcW w:w="860" w:type="dxa"/>
            <w:vAlign w:val="bottom"/>
            <w:tcBorders>
              <w:bottom w:val="single" w:sz="8" w:color="CFCFD2"/>
            </w:tcBorders>
          </w:tcPr>
          <w:p>
            <w:pPr>
              <w:spacing w:after="0" w:line="20" w:lineRule="exact"/>
              <w:rPr>
                <w:sz w:val="1"/>
                <w:szCs w:val="1"/>
                <w:color w:val="auto"/>
              </w:rPr>
            </w:pPr>
          </w:p>
        </w:tc>
        <w:tc>
          <w:tcPr>
            <w:tcW w:w="940" w:type="dxa"/>
            <w:vAlign w:val="bottom"/>
            <w:tcBorders>
              <w:bottom w:val="single" w:sz="8" w:color="CFCFD2"/>
            </w:tcBorders>
          </w:tcPr>
          <w:p>
            <w:pPr>
              <w:spacing w:after="0" w:line="20" w:lineRule="exact"/>
              <w:rPr>
                <w:sz w:val="1"/>
                <w:szCs w:val="1"/>
                <w:color w:val="auto"/>
              </w:rPr>
            </w:pPr>
          </w:p>
        </w:tc>
        <w:tc>
          <w:tcPr>
            <w:tcW w:w="720" w:type="dxa"/>
            <w:vAlign w:val="bottom"/>
            <w:tcBorders>
              <w:bottom w:val="single" w:sz="8" w:color="CFCFD2"/>
            </w:tcBorders>
          </w:tcPr>
          <w:p>
            <w:pPr>
              <w:spacing w:after="0" w:line="20" w:lineRule="exact"/>
              <w:rPr>
                <w:sz w:val="1"/>
                <w:szCs w:val="1"/>
                <w:color w:val="auto"/>
              </w:rPr>
            </w:pPr>
          </w:p>
        </w:tc>
        <w:tc>
          <w:tcPr>
            <w:tcW w:w="80" w:type="dxa"/>
            <w:vAlign w:val="bottom"/>
            <w:tcBorders>
              <w:bottom w:val="single" w:sz="8" w:color="CFCFD2"/>
            </w:tcBorders>
          </w:tcPr>
          <w:p>
            <w:pPr>
              <w:spacing w:after="0" w:line="20" w:lineRule="exact"/>
              <w:rPr>
                <w:sz w:val="1"/>
                <w:szCs w:val="1"/>
                <w:color w:val="auto"/>
              </w:rPr>
            </w:pPr>
          </w:p>
        </w:tc>
        <w:tc>
          <w:tcPr>
            <w:tcW w:w="1020" w:type="dxa"/>
            <w:vAlign w:val="bottom"/>
            <w:tcBorders>
              <w:bottom w:val="single" w:sz="8" w:color="CFCFD2"/>
            </w:tcBorders>
          </w:tcPr>
          <w:p>
            <w:pPr>
              <w:spacing w:after="0" w:line="20" w:lineRule="exact"/>
              <w:rPr>
                <w:sz w:val="1"/>
                <w:szCs w:val="1"/>
                <w:color w:val="auto"/>
              </w:rPr>
            </w:pPr>
          </w:p>
        </w:tc>
        <w:tc>
          <w:tcPr>
            <w:tcW w:w="960" w:type="dxa"/>
            <w:vAlign w:val="bottom"/>
            <w:tcBorders>
              <w:bottom w:val="single" w:sz="8" w:color="CFCFD2"/>
            </w:tcBorders>
          </w:tcPr>
          <w:p>
            <w:pPr>
              <w:spacing w:after="0" w:line="20" w:lineRule="exact"/>
              <w:rPr>
                <w:sz w:val="1"/>
                <w:szCs w:val="1"/>
                <w:color w:val="auto"/>
              </w:rPr>
            </w:pPr>
          </w:p>
        </w:tc>
        <w:tc>
          <w:tcPr>
            <w:tcW w:w="620" w:type="dxa"/>
            <w:vAlign w:val="bottom"/>
            <w:tcBorders>
              <w:bottom w:val="single" w:sz="8" w:color="CFCFD2"/>
            </w:tcBorders>
          </w:tcPr>
          <w:p>
            <w:pPr>
              <w:spacing w:after="0" w:line="20" w:lineRule="exact"/>
              <w:rPr>
                <w:sz w:val="1"/>
                <w:szCs w:val="1"/>
                <w:color w:val="auto"/>
              </w:rPr>
            </w:pPr>
          </w:p>
        </w:tc>
        <w:tc>
          <w:tcPr>
            <w:tcW w:w="760" w:type="dxa"/>
            <w:vAlign w:val="bottom"/>
            <w:tcBorders>
              <w:bottom w:val="single" w:sz="8" w:color="CFCFD2"/>
            </w:tcBorders>
          </w:tcPr>
          <w:p>
            <w:pPr>
              <w:spacing w:after="0" w:line="20" w:lineRule="exact"/>
              <w:rPr>
                <w:sz w:val="1"/>
                <w:szCs w:val="1"/>
                <w:color w:val="auto"/>
              </w:rPr>
            </w:pPr>
          </w:p>
        </w:tc>
        <w:tc>
          <w:tcPr>
            <w:tcW w:w="960" w:type="dxa"/>
            <w:vAlign w:val="bottom"/>
            <w:tcBorders>
              <w:bottom w:val="single" w:sz="8" w:color="CFCFD2"/>
            </w:tcBorders>
          </w:tcPr>
          <w:p>
            <w:pPr>
              <w:spacing w:after="0" w:line="20" w:lineRule="exact"/>
              <w:rPr>
                <w:sz w:val="1"/>
                <w:szCs w:val="1"/>
                <w:color w:val="auto"/>
              </w:rPr>
            </w:pPr>
          </w:p>
        </w:tc>
        <w:tc>
          <w:tcPr>
            <w:tcW w:w="720" w:type="dxa"/>
            <w:vAlign w:val="bottom"/>
            <w:tcBorders>
              <w:bottom w:val="single" w:sz="8" w:color="CFCFD2"/>
            </w:tcBorders>
          </w:tcPr>
          <w:p>
            <w:pPr>
              <w:spacing w:after="0" w:line="20" w:lineRule="exact"/>
              <w:rPr>
                <w:sz w:val="1"/>
                <w:szCs w:val="1"/>
                <w:color w:val="auto"/>
              </w:rPr>
            </w:pPr>
          </w:p>
        </w:tc>
        <w:tc>
          <w:tcPr>
            <w:tcW w:w="860" w:type="dxa"/>
            <w:vAlign w:val="bottom"/>
            <w:tcBorders>
              <w:bottom w:val="single" w:sz="8" w:color="CFCFD2"/>
            </w:tcBorders>
          </w:tcPr>
          <w:p>
            <w:pPr>
              <w:spacing w:after="0" w:line="20" w:lineRule="exact"/>
              <w:rPr>
                <w:sz w:val="1"/>
                <w:szCs w:val="1"/>
                <w:color w:val="auto"/>
              </w:rPr>
            </w:pPr>
          </w:p>
        </w:tc>
        <w:tc>
          <w:tcPr>
            <w:tcW w:w="140" w:type="dxa"/>
            <w:vAlign w:val="bottom"/>
            <w:tcBorders>
              <w:bottom w:val="single" w:sz="8" w:color="CFCF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1300" w:type="dxa"/>
            <w:vAlign w:val="bottom"/>
          </w:tcPr>
          <w:p>
            <w:pPr>
              <w:ind w:left="80"/>
              <w:spacing w:after="0"/>
              <w:rPr>
                <w:sz w:val="20"/>
                <w:szCs w:val="20"/>
                <w:color w:val="auto"/>
              </w:rPr>
            </w:pPr>
            <w:r>
              <w:rPr>
                <w:rFonts w:ascii="Arial" w:cs="Arial" w:eastAsia="Arial" w:hAnsi="Arial"/>
                <w:sz w:val="12"/>
                <w:szCs w:val="12"/>
                <w:color w:val="0E1020"/>
              </w:rPr>
              <w:t>Annual Cash</w:t>
            </w:r>
          </w:p>
        </w:tc>
        <w:tc>
          <w:tcPr>
            <w:tcW w:w="540" w:type="dxa"/>
            <w:vAlign w:val="bottom"/>
            <w:vMerge w:val="restart"/>
          </w:tcPr>
          <w:p>
            <w:pPr>
              <w:jc w:val="center"/>
              <w:ind w:right="42"/>
              <w:spacing w:after="0"/>
              <w:rPr>
                <w:sz w:val="20"/>
                <w:szCs w:val="20"/>
                <w:color w:val="auto"/>
              </w:rPr>
            </w:pPr>
            <w:r>
              <w:rPr>
                <w:rFonts w:ascii="Arial" w:cs="Arial" w:eastAsia="Arial" w:hAnsi="Arial"/>
                <w:sz w:val="12"/>
                <w:szCs w:val="12"/>
                <w:color w:val="0E1020"/>
                <w:w w:val="99"/>
              </w:rPr>
              <w:t>—</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E1020"/>
                <w:w w:val="99"/>
              </w:rPr>
              <w:t>—</w:t>
            </w:r>
          </w:p>
        </w:tc>
        <w:tc>
          <w:tcPr>
            <w:tcW w:w="860" w:type="dxa"/>
            <w:vAlign w:val="bottom"/>
            <w:vMerge w:val="restart"/>
          </w:tcPr>
          <w:p>
            <w:pPr>
              <w:jc w:val="right"/>
              <w:ind w:right="2"/>
              <w:spacing w:after="0"/>
              <w:rPr>
                <w:sz w:val="20"/>
                <w:szCs w:val="20"/>
                <w:color w:val="auto"/>
              </w:rPr>
            </w:pPr>
            <w:r>
              <w:rPr>
                <w:rFonts w:ascii="Arial" w:cs="Arial" w:eastAsia="Arial" w:hAnsi="Arial"/>
                <w:sz w:val="12"/>
                <w:szCs w:val="12"/>
                <w:color w:val="0E1020"/>
              </w:rPr>
              <w:t>540,000</w:t>
            </w:r>
          </w:p>
        </w:tc>
        <w:tc>
          <w:tcPr>
            <w:tcW w:w="940" w:type="dxa"/>
            <w:vAlign w:val="bottom"/>
            <w:vMerge w:val="restart"/>
          </w:tcPr>
          <w:p>
            <w:pPr>
              <w:jc w:val="right"/>
              <w:ind w:right="102"/>
              <w:spacing w:after="0"/>
              <w:rPr>
                <w:sz w:val="20"/>
                <w:szCs w:val="20"/>
                <w:color w:val="auto"/>
              </w:rPr>
            </w:pPr>
            <w:r>
              <w:rPr>
                <w:rFonts w:ascii="Arial" w:cs="Arial" w:eastAsia="Arial" w:hAnsi="Arial"/>
                <w:sz w:val="12"/>
                <w:szCs w:val="12"/>
                <w:color w:val="0E1020"/>
              </w:rPr>
              <w:t>1,080,000</w:t>
            </w:r>
          </w:p>
        </w:tc>
        <w:tc>
          <w:tcPr>
            <w:tcW w:w="720" w:type="dxa"/>
            <w:vAlign w:val="bottom"/>
            <w:vMerge w:val="restart"/>
          </w:tcPr>
          <w:p>
            <w:pPr>
              <w:jc w:val="right"/>
              <w:ind w:right="2"/>
              <w:spacing w:after="0"/>
              <w:rPr>
                <w:sz w:val="20"/>
                <w:szCs w:val="20"/>
                <w:color w:val="auto"/>
              </w:rPr>
            </w:pPr>
            <w:r>
              <w:rPr>
                <w:rFonts w:ascii="Arial" w:cs="Arial" w:eastAsia="Arial" w:hAnsi="Arial"/>
                <w:sz w:val="12"/>
                <w:szCs w:val="12"/>
                <w:color w:val="0E1020"/>
              </w:rPr>
              <w:t>2,160,000</w:t>
            </w:r>
          </w:p>
        </w:tc>
        <w:tc>
          <w:tcPr>
            <w:tcW w:w="80" w:type="dxa"/>
            <w:vAlign w:val="bottom"/>
          </w:tcPr>
          <w:p>
            <w:pPr>
              <w:spacing w:after="0"/>
              <w:rPr>
                <w:sz w:val="12"/>
                <w:szCs w:val="12"/>
                <w:color w:val="auto"/>
              </w:rPr>
            </w:pPr>
          </w:p>
        </w:tc>
        <w:tc>
          <w:tcPr>
            <w:tcW w:w="1020" w:type="dxa"/>
            <w:vAlign w:val="bottom"/>
            <w:vMerge w:val="restart"/>
          </w:tcPr>
          <w:p>
            <w:pPr>
              <w:jc w:val="right"/>
              <w:ind w:right="122"/>
              <w:spacing w:after="0"/>
              <w:rPr>
                <w:sz w:val="20"/>
                <w:szCs w:val="20"/>
                <w:color w:val="auto"/>
              </w:rPr>
            </w:pPr>
            <w:r>
              <w:rPr>
                <w:rFonts w:ascii="Arial" w:cs="Arial" w:eastAsia="Arial" w:hAnsi="Arial"/>
                <w:sz w:val="12"/>
                <w:szCs w:val="12"/>
                <w:color w:val="0E1020"/>
              </w:rPr>
              <w:t>—</w:t>
            </w:r>
          </w:p>
        </w:tc>
        <w:tc>
          <w:tcPr>
            <w:tcW w:w="960" w:type="dxa"/>
            <w:vAlign w:val="bottom"/>
            <w:vMerge w:val="restart"/>
          </w:tcPr>
          <w:p>
            <w:pPr>
              <w:jc w:val="right"/>
              <w:ind w:right="202"/>
              <w:spacing w:after="0"/>
              <w:rPr>
                <w:sz w:val="20"/>
                <w:szCs w:val="20"/>
                <w:color w:val="auto"/>
              </w:rPr>
            </w:pPr>
            <w:r>
              <w:rPr>
                <w:rFonts w:ascii="Arial" w:cs="Arial" w:eastAsia="Arial" w:hAnsi="Arial"/>
                <w:sz w:val="12"/>
                <w:szCs w:val="12"/>
                <w:color w:val="0E1020"/>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960" w:type="dxa"/>
            <w:vAlign w:val="bottom"/>
            <w:vMerge w:val="restart"/>
          </w:tcPr>
          <w:p>
            <w:pPr>
              <w:jc w:val="right"/>
              <w:ind w:right="3"/>
              <w:spacing w:after="0"/>
              <w:rPr>
                <w:sz w:val="20"/>
                <w:szCs w:val="20"/>
                <w:color w:val="auto"/>
              </w:rPr>
            </w:pPr>
            <w:r>
              <w:rPr>
                <w:rFonts w:ascii="Arial" w:cs="Arial" w:eastAsia="Arial" w:hAnsi="Arial"/>
                <w:sz w:val="12"/>
                <w:szCs w:val="12"/>
                <w:color w:val="0E1020"/>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0E1020"/>
              </w:rPr>
              <w:t>—</w:t>
            </w:r>
          </w:p>
        </w:tc>
        <w:tc>
          <w:tcPr>
            <w:tcW w:w="0" w:type="dxa"/>
            <w:vAlign w:val="bottom"/>
          </w:tcPr>
          <w:p>
            <w:pPr>
              <w:spacing w:after="0"/>
              <w:rPr>
                <w:sz w:val="1"/>
                <w:szCs w:val="1"/>
                <w:color w:val="auto"/>
              </w:rPr>
            </w:pPr>
          </w:p>
        </w:tc>
      </w:tr>
      <w:tr>
        <w:trPr>
          <w:trHeight w:val="84"/>
        </w:trPr>
        <w:tc>
          <w:tcPr>
            <w:tcW w:w="1300" w:type="dxa"/>
            <w:vAlign w:val="bottom"/>
            <w:vMerge w:val="restart"/>
          </w:tcPr>
          <w:p>
            <w:pPr>
              <w:ind w:left="80"/>
              <w:spacing w:after="0"/>
              <w:rPr>
                <w:sz w:val="20"/>
                <w:szCs w:val="20"/>
                <w:color w:val="auto"/>
              </w:rPr>
            </w:pPr>
            <w:r>
              <w:rPr>
                <w:rFonts w:ascii="Arial" w:cs="Arial" w:eastAsia="Arial" w:hAnsi="Arial"/>
                <w:sz w:val="12"/>
                <w:szCs w:val="12"/>
                <w:color w:val="0E1020"/>
              </w:rPr>
              <w:t>Incentive Plan</w:t>
            </w:r>
          </w:p>
        </w:tc>
        <w:tc>
          <w:tcPr>
            <w:tcW w:w="5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3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1300" w:type="dxa"/>
            <w:vAlign w:val="bottom"/>
            <w:tcBorders>
              <w:bottom w:val="single" w:sz="8" w:color="CFCFD2"/>
            </w:tcBorders>
          </w:tcPr>
          <w:p>
            <w:pPr>
              <w:spacing w:after="0"/>
              <w:rPr>
                <w:sz w:val="2"/>
                <w:szCs w:val="2"/>
                <w:color w:val="auto"/>
              </w:rPr>
            </w:pPr>
          </w:p>
        </w:tc>
        <w:tc>
          <w:tcPr>
            <w:tcW w:w="540" w:type="dxa"/>
            <w:vAlign w:val="bottom"/>
            <w:tcBorders>
              <w:bottom w:val="single" w:sz="8" w:color="CFCFD2"/>
            </w:tcBorders>
          </w:tcPr>
          <w:p>
            <w:pPr>
              <w:spacing w:after="0"/>
              <w:rPr>
                <w:sz w:val="2"/>
                <w:szCs w:val="2"/>
                <w:color w:val="auto"/>
              </w:rPr>
            </w:pPr>
          </w:p>
        </w:tc>
        <w:tc>
          <w:tcPr>
            <w:tcW w:w="760" w:type="dxa"/>
            <w:vAlign w:val="bottom"/>
            <w:tcBorders>
              <w:bottom w:val="single" w:sz="8" w:color="CFCFD2"/>
            </w:tcBorders>
          </w:tcPr>
          <w:p>
            <w:pPr>
              <w:spacing w:after="0"/>
              <w:rPr>
                <w:sz w:val="2"/>
                <w:szCs w:val="2"/>
                <w:color w:val="auto"/>
              </w:rPr>
            </w:pPr>
          </w:p>
        </w:tc>
        <w:tc>
          <w:tcPr>
            <w:tcW w:w="860" w:type="dxa"/>
            <w:vAlign w:val="bottom"/>
            <w:tcBorders>
              <w:bottom w:val="single" w:sz="8" w:color="CFCFD2"/>
            </w:tcBorders>
          </w:tcPr>
          <w:p>
            <w:pPr>
              <w:spacing w:after="0"/>
              <w:rPr>
                <w:sz w:val="2"/>
                <w:szCs w:val="2"/>
                <w:color w:val="auto"/>
              </w:rPr>
            </w:pPr>
          </w:p>
        </w:tc>
        <w:tc>
          <w:tcPr>
            <w:tcW w:w="940" w:type="dxa"/>
            <w:vAlign w:val="bottom"/>
            <w:tcBorders>
              <w:bottom w:val="single" w:sz="8" w:color="CFCFD2"/>
            </w:tcBorders>
          </w:tcPr>
          <w:p>
            <w:pPr>
              <w:spacing w:after="0"/>
              <w:rPr>
                <w:sz w:val="2"/>
                <w:szCs w:val="2"/>
                <w:color w:val="auto"/>
              </w:rPr>
            </w:pPr>
          </w:p>
        </w:tc>
        <w:tc>
          <w:tcPr>
            <w:tcW w:w="720" w:type="dxa"/>
            <w:vAlign w:val="bottom"/>
            <w:tcBorders>
              <w:bottom w:val="single" w:sz="8" w:color="CFCFD2"/>
            </w:tcBorders>
          </w:tcPr>
          <w:p>
            <w:pPr>
              <w:spacing w:after="0"/>
              <w:rPr>
                <w:sz w:val="2"/>
                <w:szCs w:val="2"/>
                <w:color w:val="auto"/>
              </w:rPr>
            </w:pPr>
          </w:p>
        </w:tc>
        <w:tc>
          <w:tcPr>
            <w:tcW w:w="80" w:type="dxa"/>
            <w:vAlign w:val="bottom"/>
            <w:tcBorders>
              <w:bottom w:val="single" w:sz="8" w:color="CFCFD2"/>
            </w:tcBorders>
          </w:tcPr>
          <w:p>
            <w:pPr>
              <w:spacing w:after="0"/>
              <w:rPr>
                <w:sz w:val="2"/>
                <w:szCs w:val="2"/>
                <w:color w:val="auto"/>
              </w:rPr>
            </w:pPr>
          </w:p>
        </w:tc>
        <w:tc>
          <w:tcPr>
            <w:tcW w:w="1020" w:type="dxa"/>
            <w:vAlign w:val="bottom"/>
            <w:tcBorders>
              <w:bottom w:val="single" w:sz="8" w:color="CFCFD2"/>
            </w:tcBorders>
          </w:tcPr>
          <w:p>
            <w:pPr>
              <w:spacing w:after="0"/>
              <w:rPr>
                <w:sz w:val="2"/>
                <w:szCs w:val="2"/>
                <w:color w:val="auto"/>
              </w:rPr>
            </w:pPr>
          </w:p>
        </w:tc>
        <w:tc>
          <w:tcPr>
            <w:tcW w:w="960" w:type="dxa"/>
            <w:vAlign w:val="bottom"/>
            <w:tcBorders>
              <w:bottom w:val="single" w:sz="8" w:color="CFCFD2"/>
            </w:tcBorders>
          </w:tcPr>
          <w:p>
            <w:pPr>
              <w:spacing w:after="0"/>
              <w:rPr>
                <w:sz w:val="2"/>
                <w:szCs w:val="2"/>
                <w:color w:val="auto"/>
              </w:rPr>
            </w:pPr>
          </w:p>
        </w:tc>
        <w:tc>
          <w:tcPr>
            <w:tcW w:w="620" w:type="dxa"/>
            <w:vAlign w:val="bottom"/>
            <w:tcBorders>
              <w:bottom w:val="single" w:sz="8" w:color="CFCFD2"/>
            </w:tcBorders>
          </w:tcPr>
          <w:p>
            <w:pPr>
              <w:spacing w:after="0"/>
              <w:rPr>
                <w:sz w:val="2"/>
                <w:szCs w:val="2"/>
                <w:color w:val="auto"/>
              </w:rPr>
            </w:pPr>
          </w:p>
        </w:tc>
        <w:tc>
          <w:tcPr>
            <w:tcW w:w="760" w:type="dxa"/>
            <w:vAlign w:val="bottom"/>
            <w:tcBorders>
              <w:bottom w:val="single" w:sz="8" w:color="CFCFD2"/>
            </w:tcBorders>
          </w:tcPr>
          <w:p>
            <w:pPr>
              <w:spacing w:after="0"/>
              <w:rPr>
                <w:sz w:val="2"/>
                <w:szCs w:val="2"/>
                <w:color w:val="auto"/>
              </w:rPr>
            </w:pPr>
          </w:p>
        </w:tc>
        <w:tc>
          <w:tcPr>
            <w:tcW w:w="960" w:type="dxa"/>
            <w:vAlign w:val="bottom"/>
            <w:tcBorders>
              <w:bottom w:val="single" w:sz="8" w:color="CFCFD2"/>
            </w:tcBorders>
          </w:tcPr>
          <w:p>
            <w:pPr>
              <w:spacing w:after="0"/>
              <w:rPr>
                <w:sz w:val="2"/>
                <w:szCs w:val="2"/>
                <w:color w:val="auto"/>
              </w:rPr>
            </w:pPr>
          </w:p>
        </w:tc>
        <w:tc>
          <w:tcPr>
            <w:tcW w:w="720" w:type="dxa"/>
            <w:vAlign w:val="bottom"/>
            <w:tcBorders>
              <w:bottom w:val="single" w:sz="8" w:color="CFCFD2"/>
            </w:tcBorders>
          </w:tcPr>
          <w:p>
            <w:pPr>
              <w:spacing w:after="0"/>
              <w:rPr>
                <w:sz w:val="2"/>
                <w:szCs w:val="2"/>
                <w:color w:val="auto"/>
              </w:rPr>
            </w:pPr>
          </w:p>
        </w:tc>
        <w:tc>
          <w:tcPr>
            <w:tcW w:w="860" w:type="dxa"/>
            <w:vAlign w:val="bottom"/>
            <w:tcBorders>
              <w:bottom w:val="single" w:sz="8" w:color="CFCFD2"/>
            </w:tcBorders>
          </w:tcPr>
          <w:p>
            <w:pPr>
              <w:spacing w:after="0"/>
              <w:rPr>
                <w:sz w:val="2"/>
                <w:szCs w:val="2"/>
                <w:color w:val="auto"/>
              </w:rPr>
            </w:pPr>
          </w:p>
        </w:tc>
        <w:tc>
          <w:tcPr>
            <w:tcW w:w="14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300" w:type="dxa"/>
            <w:vAlign w:val="bottom"/>
          </w:tcPr>
          <w:p>
            <w:pPr>
              <w:ind w:left="80"/>
              <w:spacing w:after="0"/>
              <w:rPr>
                <w:sz w:val="20"/>
                <w:szCs w:val="20"/>
                <w:color w:val="auto"/>
              </w:rPr>
            </w:pPr>
            <w:r>
              <w:rPr>
                <w:rFonts w:ascii="Arial" w:cs="Arial" w:eastAsia="Arial" w:hAnsi="Arial"/>
                <w:sz w:val="12"/>
                <w:szCs w:val="12"/>
                <w:color w:val="0E1020"/>
              </w:rPr>
              <w:t>RSUs –</w:t>
            </w:r>
          </w:p>
        </w:tc>
        <w:tc>
          <w:tcPr>
            <w:tcW w:w="540" w:type="dxa"/>
            <w:vAlign w:val="bottom"/>
            <w:vMerge w:val="restart"/>
          </w:tcPr>
          <w:p>
            <w:pPr>
              <w:jc w:val="center"/>
              <w:ind w:right="62"/>
              <w:spacing w:after="0"/>
              <w:rPr>
                <w:sz w:val="20"/>
                <w:szCs w:val="20"/>
                <w:color w:val="auto"/>
              </w:rPr>
            </w:pPr>
            <w:r>
              <w:rPr>
                <w:rFonts w:ascii="Arial" w:cs="Arial" w:eastAsia="Arial" w:hAnsi="Arial"/>
                <w:sz w:val="12"/>
                <w:szCs w:val="12"/>
                <w:color w:val="0E1020"/>
                <w:w w:val="94"/>
              </w:rPr>
              <w:t>5/16/25</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E1020"/>
                <w:w w:val="99"/>
              </w:rPr>
              <w:t>5/13/25</w:t>
            </w:r>
          </w:p>
        </w:tc>
        <w:tc>
          <w:tcPr>
            <w:tcW w:w="860" w:type="dxa"/>
            <w:vAlign w:val="bottom"/>
            <w:vMerge w:val="restart"/>
          </w:tcPr>
          <w:p>
            <w:pPr>
              <w:jc w:val="right"/>
              <w:ind w:right="2"/>
              <w:spacing w:after="0"/>
              <w:rPr>
                <w:sz w:val="20"/>
                <w:szCs w:val="20"/>
                <w:color w:val="auto"/>
              </w:rPr>
            </w:pPr>
            <w:r>
              <w:rPr>
                <w:rFonts w:ascii="Arial" w:cs="Arial" w:eastAsia="Arial" w:hAnsi="Arial"/>
                <w:sz w:val="12"/>
                <w:szCs w:val="12"/>
                <w:color w:val="0E1020"/>
              </w:rPr>
              <w:t>—</w:t>
            </w:r>
          </w:p>
        </w:tc>
        <w:tc>
          <w:tcPr>
            <w:tcW w:w="940" w:type="dxa"/>
            <w:vAlign w:val="bottom"/>
            <w:vMerge w:val="restart"/>
          </w:tcPr>
          <w:p>
            <w:pPr>
              <w:jc w:val="right"/>
              <w:ind w:right="102"/>
              <w:spacing w:after="0"/>
              <w:rPr>
                <w:sz w:val="20"/>
                <w:szCs w:val="20"/>
                <w:color w:val="auto"/>
              </w:rPr>
            </w:pPr>
            <w:r>
              <w:rPr>
                <w:rFonts w:ascii="Arial" w:cs="Arial" w:eastAsia="Arial" w:hAnsi="Arial"/>
                <w:sz w:val="12"/>
                <w:szCs w:val="12"/>
                <w:color w:val="0E1020"/>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0E1020"/>
              </w:rPr>
              <w:t>—</w:t>
            </w:r>
          </w:p>
        </w:tc>
        <w:tc>
          <w:tcPr>
            <w:tcW w:w="1020" w:type="dxa"/>
            <w:vAlign w:val="bottom"/>
            <w:vMerge w:val="restart"/>
          </w:tcPr>
          <w:p>
            <w:pPr>
              <w:jc w:val="right"/>
              <w:ind w:right="122"/>
              <w:spacing w:after="0"/>
              <w:rPr>
                <w:sz w:val="20"/>
                <w:szCs w:val="20"/>
                <w:color w:val="auto"/>
              </w:rPr>
            </w:pPr>
            <w:r>
              <w:rPr>
                <w:rFonts w:ascii="Arial" w:cs="Arial" w:eastAsia="Arial" w:hAnsi="Arial"/>
                <w:sz w:val="12"/>
                <w:szCs w:val="12"/>
                <w:color w:val="0E1020"/>
              </w:rPr>
              <w:t>525,270</w:t>
            </w:r>
          </w:p>
        </w:tc>
        <w:tc>
          <w:tcPr>
            <w:tcW w:w="960" w:type="dxa"/>
            <w:vAlign w:val="bottom"/>
            <w:vMerge w:val="restart"/>
          </w:tcPr>
          <w:p>
            <w:pPr>
              <w:jc w:val="right"/>
              <w:ind w:right="202"/>
              <w:spacing w:after="0"/>
              <w:rPr>
                <w:sz w:val="20"/>
                <w:szCs w:val="20"/>
                <w:color w:val="auto"/>
              </w:rPr>
            </w:pPr>
            <w:r>
              <w:rPr>
                <w:rFonts w:ascii="Arial" w:cs="Arial" w:eastAsia="Arial" w:hAnsi="Arial"/>
                <w:sz w:val="12"/>
                <w:szCs w:val="12"/>
                <w:color w:val="0E1020"/>
              </w:rPr>
              <w:t>1,050,539</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0E1020"/>
              </w:rPr>
              <w:t>2,101,078</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960" w:type="dxa"/>
            <w:vAlign w:val="bottom"/>
            <w:vMerge w:val="restart"/>
          </w:tcPr>
          <w:p>
            <w:pPr>
              <w:jc w:val="right"/>
              <w:ind w:right="3"/>
              <w:spacing w:after="0"/>
              <w:rPr>
                <w:sz w:val="20"/>
                <w:szCs w:val="20"/>
                <w:color w:val="auto"/>
              </w:rPr>
            </w:pPr>
            <w:r>
              <w:rPr>
                <w:rFonts w:ascii="Arial" w:cs="Arial" w:eastAsia="Arial" w:hAnsi="Arial"/>
                <w:sz w:val="12"/>
                <w:szCs w:val="12"/>
                <w:color w:val="0E1020"/>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860" w:type="dxa"/>
            <w:vAlign w:val="bottom"/>
            <w:vMerge w:val="restart"/>
          </w:tcPr>
          <w:p>
            <w:pPr>
              <w:jc w:val="right"/>
              <w:ind w:right="3"/>
              <w:spacing w:after="0"/>
              <w:rPr>
                <w:sz w:val="20"/>
                <w:szCs w:val="20"/>
                <w:color w:val="auto"/>
              </w:rPr>
            </w:pPr>
            <w:r>
              <w:rPr>
                <w:rFonts w:ascii="Arial" w:cs="Arial" w:eastAsia="Arial" w:hAnsi="Arial"/>
                <w:sz w:val="12"/>
                <w:szCs w:val="12"/>
                <w:color w:val="0E1020"/>
              </w:rPr>
              <w:t>16,682,559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CFCFD2"/>
            </w:tcBorders>
          </w:tcPr>
          <w:p>
            <w:pPr>
              <w:ind w:left="80"/>
              <w:spacing w:after="0"/>
              <w:rPr>
                <w:sz w:val="20"/>
                <w:szCs w:val="20"/>
                <w:color w:val="auto"/>
              </w:rPr>
            </w:pPr>
            <w:r>
              <w:rPr>
                <w:rFonts w:ascii="Arial" w:cs="Arial" w:eastAsia="Arial" w:hAnsi="Arial"/>
                <w:sz w:val="12"/>
                <w:szCs w:val="12"/>
                <w:color w:val="0E1020"/>
              </w:rPr>
              <w:t>Performance</w:t>
            </w:r>
            <w:r>
              <w:rPr>
                <w:rFonts w:ascii="Arial" w:cs="Arial" w:eastAsia="Arial" w:hAnsi="Arial"/>
                <w:sz w:val="15"/>
                <w:szCs w:val="15"/>
                <w:color w:val="0E1020"/>
                <w:vertAlign w:val="superscript"/>
              </w:rPr>
              <w:t>(2)</w:t>
            </w:r>
          </w:p>
        </w:tc>
        <w:tc>
          <w:tcPr>
            <w:tcW w:w="540" w:type="dxa"/>
            <w:vAlign w:val="bottom"/>
            <w:tcBorders>
              <w:bottom w:val="single" w:sz="8" w:color="CFCFD2"/>
            </w:tcBorders>
            <w:vMerge w:val="continue"/>
          </w:tcPr>
          <w:p>
            <w:pPr>
              <w:spacing w:after="0"/>
              <w:rPr>
                <w:sz w:val="15"/>
                <w:szCs w:val="15"/>
                <w:color w:val="auto"/>
              </w:rPr>
            </w:pPr>
          </w:p>
        </w:tc>
        <w:tc>
          <w:tcPr>
            <w:tcW w:w="760" w:type="dxa"/>
            <w:vAlign w:val="bottom"/>
            <w:tcBorders>
              <w:bottom w:val="single" w:sz="8" w:color="CFCFD2"/>
            </w:tcBorders>
            <w:vMerge w:val="continue"/>
          </w:tcPr>
          <w:p>
            <w:pPr>
              <w:spacing w:after="0"/>
              <w:rPr>
                <w:sz w:val="15"/>
                <w:szCs w:val="15"/>
                <w:color w:val="auto"/>
              </w:rPr>
            </w:pPr>
          </w:p>
        </w:tc>
        <w:tc>
          <w:tcPr>
            <w:tcW w:w="860" w:type="dxa"/>
            <w:vAlign w:val="bottom"/>
            <w:tcBorders>
              <w:bottom w:val="single" w:sz="8" w:color="CFCFD2"/>
            </w:tcBorders>
            <w:vMerge w:val="continue"/>
          </w:tcPr>
          <w:p>
            <w:pPr>
              <w:spacing w:after="0"/>
              <w:rPr>
                <w:sz w:val="15"/>
                <w:szCs w:val="15"/>
                <w:color w:val="auto"/>
              </w:rPr>
            </w:pPr>
          </w:p>
        </w:tc>
        <w:tc>
          <w:tcPr>
            <w:tcW w:w="940" w:type="dxa"/>
            <w:vAlign w:val="bottom"/>
            <w:tcBorders>
              <w:bottom w:val="single" w:sz="8" w:color="CFCFD2"/>
            </w:tcBorders>
            <w:vMerge w:val="continue"/>
          </w:tcPr>
          <w:p>
            <w:pPr>
              <w:spacing w:after="0"/>
              <w:rPr>
                <w:sz w:val="15"/>
                <w:szCs w:val="15"/>
                <w:color w:val="auto"/>
              </w:rPr>
            </w:pPr>
          </w:p>
        </w:tc>
        <w:tc>
          <w:tcPr>
            <w:tcW w:w="800" w:type="dxa"/>
            <w:vAlign w:val="bottom"/>
            <w:tcBorders>
              <w:bottom w:val="single" w:sz="8" w:color="CFCFD2"/>
            </w:tcBorders>
            <w:gridSpan w:val="2"/>
            <w:vMerge w:val="continue"/>
          </w:tcPr>
          <w:p>
            <w:pPr>
              <w:spacing w:after="0"/>
              <w:rPr>
                <w:sz w:val="15"/>
                <w:szCs w:val="15"/>
                <w:color w:val="auto"/>
              </w:rPr>
            </w:pPr>
          </w:p>
        </w:tc>
        <w:tc>
          <w:tcPr>
            <w:tcW w:w="1020" w:type="dxa"/>
            <w:vAlign w:val="bottom"/>
            <w:tcBorders>
              <w:bottom w:val="single" w:sz="8" w:color="CFCFD2"/>
            </w:tcBorders>
            <w:vMerge w:val="continue"/>
          </w:tcPr>
          <w:p>
            <w:pPr>
              <w:spacing w:after="0"/>
              <w:rPr>
                <w:sz w:val="15"/>
                <w:szCs w:val="15"/>
                <w:color w:val="auto"/>
              </w:rPr>
            </w:pPr>
          </w:p>
        </w:tc>
        <w:tc>
          <w:tcPr>
            <w:tcW w:w="960" w:type="dxa"/>
            <w:vAlign w:val="bottom"/>
            <w:tcBorders>
              <w:bottom w:val="single" w:sz="8" w:color="CFCFD2"/>
            </w:tcBorders>
            <w:vMerge w:val="continue"/>
          </w:tcPr>
          <w:p>
            <w:pPr>
              <w:spacing w:after="0"/>
              <w:rPr>
                <w:sz w:val="15"/>
                <w:szCs w:val="15"/>
                <w:color w:val="auto"/>
              </w:rPr>
            </w:pPr>
          </w:p>
        </w:tc>
        <w:tc>
          <w:tcPr>
            <w:tcW w:w="620" w:type="dxa"/>
            <w:vAlign w:val="bottom"/>
            <w:tcBorders>
              <w:bottom w:val="single" w:sz="8" w:color="CFCFD2"/>
            </w:tcBorders>
            <w:vMerge w:val="continue"/>
          </w:tcPr>
          <w:p>
            <w:pPr>
              <w:spacing w:after="0"/>
              <w:rPr>
                <w:sz w:val="15"/>
                <w:szCs w:val="15"/>
                <w:color w:val="auto"/>
              </w:rPr>
            </w:pPr>
          </w:p>
        </w:tc>
        <w:tc>
          <w:tcPr>
            <w:tcW w:w="760" w:type="dxa"/>
            <w:vAlign w:val="bottom"/>
            <w:tcBorders>
              <w:bottom w:val="single" w:sz="8" w:color="CFCFD2"/>
            </w:tcBorders>
            <w:vMerge w:val="continue"/>
          </w:tcPr>
          <w:p>
            <w:pPr>
              <w:spacing w:after="0"/>
              <w:rPr>
                <w:sz w:val="15"/>
                <w:szCs w:val="15"/>
                <w:color w:val="auto"/>
              </w:rPr>
            </w:pPr>
          </w:p>
        </w:tc>
        <w:tc>
          <w:tcPr>
            <w:tcW w:w="960" w:type="dxa"/>
            <w:vAlign w:val="bottom"/>
            <w:tcBorders>
              <w:bottom w:val="single" w:sz="8" w:color="CFCFD2"/>
            </w:tcBorders>
            <w:vMerge w:val="continue"/>
          </w:tcPr>
          <w:p>
            <w:pPr>
              <w:spacing w:after="0"/>
              <w:rPr>
                <w:sz w:val="15"/>
                <w:szCs w:val="15"/>
                <w:color w:val="auto"/>
              </w:rPr>
            </w:pPr>
          </w:p>
        </w:tc>
        <w:tc>
          <w:tcPr>
            <w:tcW w:w="720" w:type="dxa"/>
            <w:vAlign w:val="bottom"/>
            <w:tcBorders>
              <w:bottom w:val="single" w:sz="8" w:color="CFCFD2"/>
            </w:tcBorders>
            <w:vMerge w:val="continue"/>
          </w:tcPr>
          <w:p>
            <w:pPr>
              <w:spacing w:after="0"/>
              <w:rPr>
                <w:sz w:val="15"/>
                <w:szCs w:val="15"/>
                <w:color w:val="auto"/>
              </w:rPr>
            </w:pPr>
          </w:p>
        </w:tc>
        <w:tc>
          <w:tcPr>
            <w:tcW w:w="860" w:type="dxa"/>
            <w:vAlign w:val="bottom"/>
            <w:tcBorders>
              <w:bottom w:val="single" w:sz="8" w:color="CFCFD2"/>
            </w:tcBorders>
            <w:vMerge w:val="continue"/>
          </w:tcPr>
          <w:p>
            <w:pPr>
              <w:spacing w:after="0"/>
              <w:rPr>
                <w:sz w:val="15"/>
                <w:szCs w:val="15"/>
                <w:color w:val="auto"/>
              </w:rPr>
            </w:pPr>
          </w:p>
        </w:tc>
        <w:tc>
          <w:tcPr>
            <w:tcW w:w="140" w:type="dxa"/>
            <w:vAlign w:val="bottom"/>
            <w:tcBorders>
              <w:bottom w:val="single" w:sz="8" w:color="CFCFD2"/>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300" w:type="dxa"/>
            <w:vAlign w:val="bottom"/>
          </w:tcPr>
          <w:p>
            <w:pPr>
              <w:ind w:left="80"/>
              <w:spacing w:after="0"/>
              <w:rPr>
                <w:sz w:val="20"/>
                <w:szCs w:val="20"/>
                <w:color w:val="auto"/>
              </w:rPr>
            </w:pPr>
            <w:r>
              <w:rPr>
                <w:rFonts w:ascii="Arial" w:cs="Arial" w:eastAsia="Arial" w:hAnsi="Arial"/>
                <w:sz w:val="12"/>
                <w:szCs w:val="12"/>
                <w:color w:val="0E1020"/>
              </w:rPr>
              <w:t>RSUs – Time-</w:t>
            </w:r>
          </w:p>
        </w:tc>
        <w:tc>
          <w:tcPr>
            <w:tcW w:w="540" w:type="dxa"/>
            <w:vAlign w:val="bottom"/>
            <w:vMerge w:val="restart"/>
          </w:tcPr>
          <w:p>
            <w:pPr>
              <w:jc w:val="center"/>
              <w:ind w:right="62"/>
              <w:spacing w:after="0"/>
              <w:rPr>
                <w:sz w:val="20"/>
                <w:szCs w:val="20"/>
                <w:color w:val="auto"/>
              </w:rPr>
            </w:pPr>
            <w:r>
              <w:rPr>
                <w:rFonts w:ascii="Arial" w:cs="Arial" w:eastAsia="Arial" w:hAnsi="Arial"/>
                <w:sz w:val="12"/>
                <w:szCs w:val="12"/>
                <w:color w:val="0E1020"/>
                <w:w w:val="94"/>
              </w:rPr>
              <w:t>5/16/25</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E1020"/>
                <w:w w:val="99"/>
              </w:rPr>
              <w:t>5/13/25</w:t>
            </w:r>
          </w:p>
        </w:tc>
        <w:tc>
          <w:tcPr>
            <w:tcW w:w="860" w:type="dxa"/>
            <w:vAlign w:val="bottom"/>
            <w:vMerge w:val="restart"/>
          </w:tcPr>
          <w:p>
            <w:pPr>
              <w:jc w:val="right"/>
              <w:ind w:right="2"/>
              <w:spacing w:after="0"/>
              <w:rPr>
                <w:sz w:val="20"/>
                <w:szCs w:val="20"/>
                <w:color w:val="auto"/>
              </w:rPr>
            </w:pPr>
            <w:r>
              <w:rPr>
                <w:rFonts w:ascii="Arial" w:cs="Arial" w:eastAsia="Arial" w:hAnsi="Arial"/>
                <w:sz w:val="12"/>
                <w:szCs w:val="12"/>
                <w:color w:val="0E1020"/>
              </w:rPr>
              <w:t>—</w:t>
            </w:r>
          </w:p>
        </w:tc>
        <w:tc>
          <w:tcPr>
            <w:tcW w:w="940" w:type="dxa"/>
            <w:vAlign w:val="bottom"/>
            <w:vMerge w:val="restart"/>
          </w:tcPr>
          <w:p>
            <w:pPr>
              <w:jc w:val="right"/>
              <w:ind w:right="102"/>
              <w:spacing w:after="0"/>
              <w:rPr>
                <w:sz w:val="20"/>
                <w:szCs w:val="20"/>
                <w:color w:val="auto"/>
              </w:rPr>
            </w:pPr>
            <w:r>
              <w:rPr>
                <w:rFonts w:ascii="Arial" w:cs="Arial" w:eastAsia="Arial" w:hAnsi="Arial"/>
                <w:sz w:val="12"/>
                <w:szCs w:val="12"/>
                <w:color w:val="0E1020"/>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0E1020"/>
              </w:rPr>
              <w:t>—</w:t>
            </w:r>
          </w:p>
        </w:tc>
        <w:tc>
          <w:tcPr>
            <w:tcW w:w="1020" w:type="dxa"/>
            <w:vAlign w:val="bottom"/>
            <w:vMerge w:val="restart"/>
          </w:tcPr>
          <w:p>
            <w:pPr>
              <w:jc w:val="right"/>
              <w:ind w:right="122"/>
              <w:spacing w:after="0"/>
              <w:rPr>
                <w:sz w:val="20"/>
                <w:szCs w:val="20"/>
                <w:color w:val="auto"/>
              </w:rPr>
            </w:pPr>
            <w:r>
              <w:rPr>
                <w:rFonts w:ascii="Arial" w:cs="Arial" w:eastAsia="Arial" w:hAnsi="Arial"/>
                <w:sz w:val="12"/>
                <w:szCs w:val="12"/>
                <w:color w:val="0E1020"/>
              </w:rPr>
              <w:t>—</w:t>
            </w:r>
          </w:p>
        </w:tc>
        <w:tc>
          <w:tcPr>
            <w:tcW w:w="960" w:type="dxa"/>
            <w:vAlign w:val="bottom"/>
            <w:vMerge w:val="restart"/>
          </w:tcPr>
          <w:p>
            <w:pPr>
              <w:jc w:val="right"/>
              <w:ind w:right="202"/>
              <w:spacing w:after="0"/>
              <w:rPr>
                <w:sz w:val="20"/>
                <w:szCs w:val="20"/>
                <w:color w:val="auto"/>
              </w:rPr>
            </w:pPr>
            <w:r>
              <w:rPr>
                <w:rFonts w:ascii="Arial" w:cs="Arial" w:eastAsia="Arial" w:hAnsi="Arial"/>
                <w:sz w:val="12"/>
                <w:szCs w:val="12"/>
                <w:color w:val="0E1020"/>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0E1020"/>
              </w:rPr>
              <w:t>185,389</w:t>
            </w:r>
          </w:p>
        </w:tc>
        <w:tc>
          <w:tcPr>
            <w:tcW w:w="960" w:type="dxa"/>
            <w:vAlign w:val="bottom"/>
            <w:vMerge w:val="restart"/>
          </w:tcPr>
          <w:p>
            <w:pPr>
              <w:jc w:val="right"/>
              <w:ind w:right="3"/>
              <w:spacing w:after="0"/>
              <w:rPr>
                <w:sz w:val="20"/>
                <w:szCs w:val="20"/>
                <w:color w:val="auto"/>
              </w:rPr>
            </w:pPr>
            <w:r>
              <w:rPr>
                <w:rFonts w:ascii="Arial" w:cs="Arial" w:eastAsia="Arial" w:hAnsi="Arial"/>
                <w:sz w:val="12"/>
                <w:szCs w:val="12"/>
                <w:color w:val="0E1020"/>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860" w:type="dxa"/>
            <w:vAlign w:val="bottom"/>
            <w:vMerge w:val="restart"/>
          </w:tcPr>
          <w:p>
            <w:pPr>
              <w:jc w:val="right"/>
              <w:ind w:right="3"/>
              <w:spacing w:after="0"/>
              <w:rPr>
                <w:sz w:val="20"/>
                <w:szCs w:val="20"/>
                <w:color w:val="auto"/>
              </w:rPr>
            </w:pPr>
            <w:r>
              <w:rPr>
                <w:rFonts w:ascii="Arial" w:cs="Arial" w:eastAsia="Arial" w:hAnsi="Arial"/>
                <w:sz w:val="12"/>
                <w:szCs w:val="12"/>
                <w:color w:val="0E1020"/>
              </w:rPr>
              <w:t>2,830,890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CFCFD2"/>
            </w:tcBorders>
          </w:tcPr>
          <w:p>
            <w:pPr>
              <w:ind w:left="80"/>
              <w:spacing w:after="0"/>
              <w:rPr>
                <w:sz w:val="20"/>
                <w:szCs w:val="20"/>
                <w:color w:val="auto"/>
              </w:rPr>
            </w:pPr>
            <w:r>
              <w:rPr>
                <w:rFonts w:ascii="Arial" w:cs="Arial" w:eastAsia="Arial" w:hAnsi="Arial"/>
                <w:sz w:val="12"/>
                <w:szCs w:val="12"/>
                <w:color w:val="0E1020"/>
              </w:rPr>
              <w:t>Based</w:t>
            </w:r>
            <w:r>
              <w:rPr>
                <w:rFonts w:ascii="Arial" w:cs="Arial" w:eastAsia="Arial" w:hAnsi="Arial"/>
                <w:sz w:val="15"/>
                <w:szCs w:val="15"/>
                <w:color w:val="0E1020"/>
                <w:vertAlign w:val="superscript"/>
              </w:rPr>
              <w:t>(3)</w:t>
            </w:r>
          </w:p>
        </w:tc>
        <w:tc>
          <w:tcPr>
            <w:tcW w:w="540" w:type="dxa"/>
            <w:vAlign w:val="bottom"/>
            <w:tcBorders>
              <w:bottom w:val="single" w:sz="8" w:color="CFCFD2"/>
            </w:tcBorders>
            <w:vMerge w:val="continue"/>
          </w:tcPr>
          <w:p>
            <w:pPr>
              <w:spacing w:after="0"/>
              <w:rPr>
                <w:sz w:val="15"/>
                <w:szCs w:val="15"/>
                <w:color w:val="auto"/>
              </w:rPr>
            </w:pPr>
          </w:p>
        </w:tc>
        <w:tc>
          <w:tcPr>
            <w:tcW w:w="760" w:type="dxa"/>
            <w:vAlign w:val="bottom"/>
            <w:tcBorders>
              <w:bottom w:val="single" w:sz="8" w:color="CFCFD2"/>
            </w:tcBorders>
            <w:vMerge w:val="continue"/>
          </w:tcPr>
          <w:p>
            <w:pPr>
              <w:spacing w:after="0"/>
              <w:rPr>
                <w:sz w:val="15"/>
                <w:szCs w:val="15"/>
                <w:color w:val="auto"/>
              </w:rPr>
            </w:pPr>
          </w:p>
        </w:tc>
        <w:tc>
          <w:tcPr>
            <w:tcW w:w="860" w:type="dxa"/>
            <w:vAlign w:val="bottom"/>
            <w:tcBorders>
              <w:bottom w:val="single" w:sz="8" w:color="CFCFD2"/>
            </w:tcBorders>
            <w:vMerge w:val="continue"/>
          </w:tcPr>
          <w:p>
            <w:pPr>
              <w:spacing w:after="0"/>
              <w:rPr>
                <w:sz w:val="15"/>
                <w:szCs w:val="15"/>
                <w:color w:val="auto"/>
              </w:rPr>
            </w:pPr>
          </w:p>
        </w:tc>
        <w:tc>
          <w:tcPr>
            <w:tcW w:w="940" w:type="dxa"/>
            <w:vAlign w:val="bottom"/>
            <w:tcBorders>
              <w:bottom w:val="single" w:sz="8" w:color="CFCFD2"/>
            </w:tcBorders>
            <w:vMerge w:val="continue"/>
          </w:tcPr>
          <w:p>
            <w:pPr>
              <w:spacing w:after="0"/>
              <w:rPr>
                <w:sz w:val="15"/>
                <w:szCs w:val="15"/>
                <w:color w:val="auto"/>
              </w:rPr>
            </w:pPr>
          </w:p>
        </w:tc>
        <w:tc>
          <w:tcPr>
            <w:tcW w:w="800" w:type="dxa"/>
            <w:vAlign w:val="bottom"/>
            <w:tcBorders>
              <w:bottom w:val="single" w:sz="8" w:color="CFCFD2"/>
            </w:tcBorders>
            <w:gridSpan w:val="2"/>
            <w:vMerge w:val="continue"/>
          </w:tcPr>
          <w:p>
            <w:pPr>
              <w:spacing w:after="0"/>
              <w:rPr>
                <w:sz w:val="15"/>
                <w:szCs w:val="15"/>
                <w:color w:val="auto"/>
              </w:rPr>
            </w:pPr>
          </w:p>
        </w:tc>
        <w:tc>
          <w:tcPr>
            <w:tcW w:w="1020" w:type="dxa"/>
            <w:vAlign w:val="bottom"/>
            <w:tcBorders>
              <w:bottom w:val="single" w:sz="8" w:color="CFCFD2"/>
            </w:tcBorders>
            <w:vMerge w:val="continue"/>
          </w:tcPr>
          <w:p>
            <w:pPr>
              <w:spacing w:after="0"/>
              <w:rPr>
                <w:sz w:val="15"/>
                <w:szCs w:val="15"/>
                <w:color w:val="auto"/>
              </w:rPr>
            </w:pPr>
          </w:p>
        </w:tc>
        <w:tc>
          <w:tcPr>
            <w:tcW w:w="960" w:type="dxa"/>
            <w:vAlign w:val="bottom"/>
            <w:tcBorders>
              <w:bottom w:val="single" w:sz="8" w:color="CFCFD2"/>
            </w:tcBorders>
            <w:vMerge w:val="continue"/>
          </w:tcPr>
          <w:p>
            <w:pPr>
              <w:spacing w:after="0"/>
              <w:rPr>
                <w:sz w:val="15"/>
                <w:szCs w:val="15"/>
                <w:color w:val="auto"/>
              </w:rPr>
            </w:pPr>
          </w:p>
        </w:tc>
        <w:tc>
          <w:tcPr>
            <w:tcW w:w="620" w:type="dxa"/>
            <w:vAlign w:val="bottom"/>
            <w:tcBorders>
              <w:bottom w:val="single" w:sz="8" w:color="CFCFD2"/>
            </w:tcBorders>
            <w:vMerge w:val="continue"/>
          </w:tcPr>
          <w:p>
            <w:pPr>
              <w:spacing w:after="0"/>
              <w:rPr>
                <w:sz w:val="15"/>
                <w:szCs w:val="15"/>
                <w:color w:val="auto"/>
              </w:rPr>
            </w:pPr>
          </w:p>
        </w:tc>
        <w:tc>
          <w:tcPr>
            <w:tcW w:w="760" w:type="dxa"/>
            <w:vAlign w:val="bottom"/>
            <w:tcBorders>
              <w:bottom w:val="single" w:sz="8" w:color="CFCFD2"/>
            </w:tcBorders>
            <w:vMerge w:val="continue"/>
          </w:tcPr>
          <w:p>
            <w:pPr>
              <w:spacing w:after="0"/>
              <w:rPr>
                <w:sz w:val="15"/>
                <w:szCs w:val="15"/>
                <w:color w:val="auto"/>
              </w:rPr>
            </w:pPr>
          </w:p>
        </w:tc>
        <w:tc>
          <w:tcPr>
            <w:tcW w:w="960" w:type="dxa"/>
            <w:vAlign w:val="bottom"/>
            <w:tcBorders>
              <w:bottom w:val="single" w:sz="8" w:color="CFCFD2"/>
            </w:tcBorders>
            <w:vMerge w:val="continue"/>
          </w:tcPr>
          <w:p>
            <w:pPr>
              <w:spacing w:after="0"/>
              <w:rPr>
                <w:sz w:val="15"/>
                <w:szCs w:val="15"/>
                <w:color w:val="auto"/>
              </w:rPr>
            </w:pPr>
          </w:p>
        </w:tc>
        <w:tc>
          <w:tcPr>
            <w:tcW w:w="720" w:type="dxa"/>
            <w:vAlign w:val="bottom"/>
            <w:tcBorders>
              <w:bottom w:val="single" w:sz="8" w:color="CFCFD2"/>
            </w:tcBorders>
            <w:vMerge w:val="continue"/>
          </w:tcPr>
          <w:p>
            <w:pPr>
              <w:spacing w:after="0"/>
              <w:rPr>
                <w:sz w:val="15"/>
                <w:szCs w:val="15"/>
                <w:color w:val="auto"/>
              </w:rPr>
            </w:pPr>
          </w:p>
        </w:tc>
        <w:tc>
          <w:tcPr>
            <w:tcW w:w="860" w:type="dxa"/>
            <w:vAlign w:val="bottom"/>
            <w:tcBorders>
              <w:bottom w:val="single" w:sz="8" w:color="CFCFD2"/>
            </w:tcBorders>
            <w:vMerge w:val="continue"/>
          </w:tcPr>
          <w:p>
            <w:pPr>
              <w:spacing w:after="0"/>
              <w:rPr>
                <w:sz w:val="15"/>
                <w:szCs w:val="15"/>
                <w:color w:val="auto"/>
              </w:rPr>
            </w:pPr>
          </w:p>
        </w:tc>
        <w:tc>
          <w:tcPr>
            <w:tcW w:w="140" w:type="dxa"/>
            <w:vAlign w:val="bottom"/>
            <w:tcBorders>
              <w:bottom w:val="single" w:sz="8" w:color="CFCFD2"/>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40" w:type="dxa"/>
            <w:vAlign w:val="bottom"/>
            <w:gridSpan w:val="2"/>
          </w:tcPr>
          <w:p>
            <w:pPr>
              <w:ind w:left="80"/>
              <w:spacing w:after="0"/>
              <w:rPr>
                <w:sz w:val="20"/>
                <w:szCs w:val="20"/>
                <w:color w:val="auto"/>
              </w:rPr>
            </w:pPr>
            <w:r>
              <w:rPr>
                <w:rFonts w:ascii="Arial" w:cs="Arial" w:eastAsia="Arial" w:hAnsi="Arial"/>
                <w:sz w:val="13"/>
                <w:szCs w:val="13"/>
                <w:b w:val="1"/>
                <w:bCs w:val="1"/>
                <w:color w:val="004AAC"/>
              </w:rPr>
              <w:t>Christopher Drumgoole</w:t>
            </w: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300" w:type="dxa"/>
            <w:vAlign w:val="bottom"/>
            <w:tcBorders>
              <w:bottom w:val="single" w:sz="8" w:color="CFCFD2"/>
            </w:tcBorders>
          </w:tcPr>
          <w:p>
            <w:pPr>
              <w:spacing w:after="0" w:line="20" w:lineRule="exact"/>
              <w:rPr>
                <w:sz w:val="1"/>
                <w:szCs w:val="1"/>
                <w:color w:val="auto"/>
              </w:rPr>
            </w:pPr>
          </w:p>
        </w:tc>
        <w:tc>
          <w:tcPr>
            <w:tcW w:w="540" w:type="dxa"/>
            <w:vAlign w:val="bottom"/>
            <w:tcBorders>
              <w:bottom w:val="single" w:sz="8" w:color="CFCFD2"/>
            </w:tcBorders>
          </w:tcPr>
          <w:p>
            <w:pPr>
              <w:spacing w:after="0" w:line="20" w:lineRule="exact"/>
              <w:rPr>
                <w:sz w:val="1"/>
                <w:szCs w:val="1"/>
                <w:color w:val="auto"/>
              </w:rPr>
            </w:pPr>
          </w:p>
        </w:tc>
        <w:tc>
          <w:tcPr>
            <w:tcW w:w="760" w:type="dxa"/>
            <w:vAlign w:val="bottom"/>
            <w:tcBorders>
              <w:bottom w:val="single" w:sz="8" w:color="CFCFD2"/>
            </w:tcBorders>
          </w:tcPr>
          <w:p>
            <w:pPr>
              <w:spacing w:after="0" w:line="20" w:lineRule="exact"/>
              <w:rPr>
                <w:sz w:val="1"/>
                <w:szCs w:val="1"/>
                <w:color w:val="auto"/>
              </w:rPr>
            </w:pPr>
          </w:p>
        </w:tc>
        <w:tc>
          <w:tcPr>
            <w:tcW w:w="860" w:type="dxa"/>
            <w:vAlign w:val="bottom"/>
            <w:tcBorders>
              <w:bottom w:val="single" w:sz="8" w:color="CFCFD2"/>
            </w:tcBorders>
          </w:tcPr>
          <w:p>
            <w:pPr>
              <w:spacing w:after="0" w:line="20" w:lineRule="exact"/>
              <w:rPr>
                <w:sz w:val="1"/>
                <w:szCs w:val="1"/>
                <w:color w:val="auto"/>
              </w:rPr>
            </w:pPr>
          </w:p>
        </w:tc>
        <w:tc>
          <w:tcPr>
            <w:tcW w:w="940" w:type="dxa"/>
            <w:vAlign w:val="bottom"/>
            <w:tcBorders>
              <w:bottom w:val="single" w:sz="8" w:color="CFCFD2"/>
            </w:tcBorders>
          </w:tcPr>
          <w:p>
            <w:pPr>
              <w:spacing w:after="0" w:line="20" w:lineRule="exact"/>
              <w:rPr>
                <w:sz w:val="1"/>
                <w:szCs w:val="1"/>
                <w:color w:val="auto"/>
              </w:rPr>
            </w:pPr>
          </w:p>
        </w:tc>
        <w:tc>
          <w:tcPr>
            <w:tcW w:w="720" w:type="dxa"/>
            <w:vAlign w:val="bottom"/>
            <w:tcBorders>
              <w:bottom w:val="single" w:sz="8" w:color="CFCFD2"/>
            </w:tcBorders>
          </w:tcPr>
          <w:p>
            <w:pPr>
              <w:spacing w:after="0" w:line="20" w:lineRule="exact"/>
              <w:rPr>
                <w:sz w:val="1"/>
                <w:szCs w:val="1"/>
                <w:color w:val="auto"/>
              </w:rPr>
            </w:pPr>
          </w:p>
        </w:tc>
        <w:tc>
          <w:tcPr>
            <w:tcW w:w="80" w:type="dxa"/>
            <w:vAlign w:val="bottom"/>
            <w:tcBorders>
              <w:bottom w:val="single" w:sz="8" w:color="CFCFD2"/>
            </w:tcBorders>
          </w:tcPr>
          <w:p>
            <w:pPr>
              <w:spacing w:after="0" w:line="20" w:lineRule="exact"/>
              <w:rPr>
                <w:sz w:val="1"/>
                <w:szCs w:val="1"/>
                <w:color w:val="auto"/>
              </w:rPr>
            </w:pPr>
          </w:p>
        </w:tc>
        <w:tc>
          <w:tcPr>
            <w:tcW w:w="1020" w:type="dxa"/>
            <w:vAlign w:val="bottom"/>
            <w:tcBorders>
              <w:bottom w:val="single" w:sz="8" w:color="CFCFD2"/>
            </w:tcBorders>
          </w:tcPr>
          <w:p>
            <w:pPr>
              <w:spacing w:after="0" w:line="20" w:lineRule="exact"/>
              <w:rPr>
                <w:sz w:val="1"/>
                <w:szCs w:val="1"/>
                <w:color w:val="auto"/>
              </w:rPr>
            </w:pPr>
          </w:p>
        </w:tc>
        <w:tc>
          <w:tcPr>
            <w:tcW w:w="960" w:type="dxa"/>
            <w:vAlign w:val="bottom"/>
            <w:tcBorders>
              <w:bottom w:val="single" w:sz="8" w:color="CFCFD2"/>
            </w:tcBorders>
          </w:tcPr>
          <w:p>
            <w:pPr>
              <w:spacing w:after="0" w:line="20" w:lineRule="exact"/>
              <w:rPr>
                <w:sz w:val="1"/>
                <w:szCs w:val="1"/>
                <w:color w:val="auto"/>
              </w:rPr>
            </w:pPr>
          </w:p>
        </w:tc>
        <w:tc>
          <w:tcPr>
            <w:tcW w:w="620" w:type="dxa"/>
            <w:vAlign w:val="bottom"/>
            <w:tcBorders>
              <w:bottom w:val="single" w:sz="8" w:color="CFCFD2"/>
            </w:tcBorders>
          </w:tcPr>
          <w:p>
            <w:pPr>
              <w:spacing w:after="0" w:line="20" w:lineRule="exact"/>
              <w:rPr>
                <w:sz w:val="1"/>
                <w:szCs w:val="1"/>
                <w:color w:val="auto"/>
              </w:rPr>
            </w:pPr>
          </w:p>
        </w:tc>
        <w:tc>
          <w:tcPr>
            <w:tcW w:w="760" w:type="dxa"/>
            <w:vAlign w:val="bottom"/>
            <w:tcBorders>
              <w:bottom w:val="single" w:sz="8" w:color="CFCFD2"/>
            </w:tcBorders>
          </w:tcPr>
          <w:p>
            <w:pPr>
              <w:spacing w:after="0" w:line="20" w:lineRule="exact"/>
              <w:rPr>
                <w:sz w:val="1"/>
                <w:szCs w:val="1"/>
                <w:color w:val="auto"/>
              </w:rPr>
            </w:pPr>
          </w:p>
        </w:tc>
        <w:tc>
          <w:tcPr>
            <w:tcW w:w="960" w:type="dxa"/>
            <w:vAlign w:val="bottom"/>
            <w:tcBorders>
              <w:bottom w:val="single" w:sz="8" w:color="CFCFD2"/>
            </w:tcBorders>
          </w:tcPr>
          <w:p>
            <w:pPr>
              <w:spacing w:after="0" w:line="20" w:lineRule="exact"/>
              <w:rPr>
                <w:sz w:val="1"/>
                <w:szCs w:val="1"/>
                <w:color w:val="auto"/>
              </w:rPr>
            </w:pPr>
          </w:p>
        </w:tc>
        <w:tc>
          <w:tcPr>
            <w:tcW w:w="720" w:type="dxa"/>
            <w:vAlign w:val="bottom"/>
            <w:tcBorders>
              <w:bottom w:val="single" w:sz="8" w:color="CFCFD2"/>
            </w:tcBorders>
          </w:tcPr>
          <w:p>
            <w:pPr>
              <w:spacing w:after="0" w:line="20" w:lineRule="exact"/>
              <w:rPr>
                <w:sz w:val="1"/>
                <w:szCs w:val="1"/>
                <w:color w:val="auto"/>
              </w:rPr>
            </w:pPr>
          </w:p>
        </w:tc>
        <w:tc>
          <w:tcPr>
            <w:tcW w:w="860" w:type="dxa"/>
            <w:vAlign w:val="bottom"/>
            <w:tcBorders>
              <w:bottom w:val="single" w:sz="8" w:color="CFCFD2"/>
            </w:tcBorders>
          </w:tcPr>
          <w:p>
            <w:pPr>
              <w:spacing w:after="0" w:line="20" w:lineRule="exact"/>
              <w:rPr>
                <w:sz w:val="1"/>
                <w:szCs w:val="1"/>
                <w:color w:val="auto"/>
              </w:rPr>
            </w:pPr>
          </w:p>
        </w:tc>
        <w:tc>
          <w:tcPr>
            <w:tcW w:w="140" w:type="dxa"/>
            <w:vAlign w:val="bottom"/>
            <w:tcBorders>
              <w:bottom w:val="single" w:sz="8" w:color="CFCF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1300" w:type="dxa"/>
            <w:vAlign w:val="bottom"/>
          </w:tcPr>
          <w:p>
            <w:pPr>
              <w:ind w:left="80"/>
              <w:spacing w:after="0"/>
              <w:rPr>
                <w:sz w:val="20"/>
                <w:szCs w:val="20"/>
                <w:color w:val="auto"/>
              </w:rPr>
            </w:pPr>
            <w:r>
              <w:rPr>
                <w:rFonts w:ascii="Arial" w:cs="Arial" w:eastAsia="Arial" w:hAnsi="Arial"/>
                <w:sz w:val="12"/>
                <w:szCs w:val="12"/>
                <w:color w:val="0E1020"/>
              </w:rPr>
              <w:t>Annual Cash</w:t>
            </w:r>
          </w:p>
        </w:tc>
        <w:tc>
          <w:tcPr>
            <w:tcW w:w="540" w:type="dxa"/>
            <w:vAlign w:val="bottom"/>
            <w:vMerge w:val="restart"/>
          </w:tcPr>
          <w:p>
            <w:pPr>
              <w:jc w:val="center"/>
              <w:ind w:right="42"/>
              <w:spacing w:after="0"/>
              <w:rPr>
                <w:sz w:val="20"/>
                <w:szCs w:val="20"/>
                <w:color w:val="auto"/>
              </w:rPr>
            </w:pPr>
            <w:r>
              <w:rPr>
                <w:rFonts w:ascii="Arial" w:cs="Arial" w:eastAsia="Arial" w:hAnsi="Arial"/>
                <w:sz w:val="12"/>
                <w:szCs w:val="12"/>
                <w:color w:val="0E1020"/>
                <w:w w:val="99"/>
              </w:rPr>
              <w:t>—</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E1020"/>
                <w:w w:val="99"/>
              </w:rPr>
              <w:t>—</w:t>
            </w:r>
          </w:p>
        </w:tc>
        <w:tc>
          <w:tcPr>
            <w:tcW w:w="860" w:type="dxa"/>
            <w:vAlign w:val="bottom"/>
            <w:vMerge w:val="restart"/>
          </w:tcPr>
          <w:p>
            <w:pPr>
              <w:jc w:val="right"/>
              <w:ind w:right="2"/>
              <w:spacing w:after="0"/>
              <w:rPr>
                <w:sz w:val="20"/>
                <w:szCs w:val="20"/>
                <w:color w:val="auto"/>
              </w:rPr>
            </w:pPr>
            <w:r>
              <w:rPr>
                <w:rFonts w:ascii="Arial" w:cs="Arial" w:eastAsia="Arial" w:hAnsi="Arial"/>
                <w:sz w:val="12"/>
                <w:szCs w:val="12"/>
                <w:color w:val="0E1020"/>
              </w:rPr>
              <w:t>540,000</w:t>
            </w:r>
          </w:p>
        </w:tc>
        <w:tc>
          <w:tcPr>
            <w:tcW w:w="940" w:type="dxa"/>
            <w:vAlign w:val="bottom"/>
            <w:vMerge w:val="restart"/>
          </w:tcPr>
          <w:p>
            <w:pPr>
              <w:jc w:val="right"/>
              <w:ind w:right="102"/>
              <w:spacing w:after="0"/>
              <w:rPr>
                <w:sz w:val="20"/>
                <w:szCs w:val="20"/>
                <w:color w:val="auto"/>
              </w:rPr>
            </w:pPr>
            <w:r>
              <w:rPr>
                <w:rFonts w:ascii="Arial" w:cs="Arial" w:eastAsia="Arial" w:hAnsi="Arial"/>
                <w:sz w:val="12"/>
                <w:szCs w:val="12"/>
                <w:color w:val="0E1020"/>
              </w:rPr>
              <w:t>1,080,000</w:t>
            </w:r>
          </w:p>
        </w:tc>
        <w:tc>
          <w:tcPr>
            <w:tcW w:w="720" w:type="dxa"/>
            <w:vAlign w:val="bottom"/>
            <w:vMerge w:val="restart"/>
          </w:tcPr>
          <w:p>
            <w:pPr>
              <w:jc w:val="right"/>
              <w:ind w:right="2"/>
              <w:spacing w:after="0"/>
              <w:rPr>
                <w:sz w:val="20"/>
                <w:szCs w:val="20"/>
                <w:color w:val="auto"/>
              </w:rPr>
            </w:pPr>
            <w:r>
              <w:rPr>
                <w:rFonts w:ascii="Arial" w:cs="Arial" w:eastAsia="Arial" w:hAnsi="Arial"/>
                <w:sz w:val="12"/>
                <w:szCs w:val="12"/>
                <w:color w:val="0E1020"/>
              </w:rPr>
              <w:t>2,160,000</w:t>
            </w:r>
          </w:p>
        </w:tc>
        <w:tc>
          <w:tcPr>
            <w:tcW w:w="80" w:type="dxa"/>
            <w:vAlign w:val="bottom"/>
          </w:tcPr>
          <w:p>
            <w:pPr>
              <w:spacing w:after="0"/>
              <w:rPr>
                <w:sz w:val="12"/>
                <w:szCs w:val="12"/>
                <w:color w:val="auto"/>
              </w:rPr>
            </w:pPr>
          </w:p>
        </w:tc>
        <w:tc>
          <w:tcPr>
            <w:tcW w:w="1020" w:type="dxa"/>
            <w:vAlign w:val="bottom"/>
            <w:vMerge w:val="restart"/>
          </w:tcPr>
          <w:p>
            <w:pPr>
              <w:jc w:val="right"/>
              <w:ind w:right="122"/>
              <w:spacing w:after="0"/>
              <w:rPr>
                <w:sz w:val="20"/>
                <w:szCs w:val="20"/>
                <w:color w:val="auto"/>
              </w:rPr>
            </w:pPr>
            <w:r>
              <w:rPr>
                <w:rFonts w:ascii="Arial" w:cs="Arial" w:eastAsia="Arial" w:hAnsi="Arial"/>
                <w:sz w:val="12"/>
                <w:szCs w:val="12"/>
                <w:color w:val="0E1020"/>
              </w:rPr>
              <w:t>—</w:t>
            </w:r>
          </w:p>
        </w:tc>
        <w:tc>
          <w:tcPr>
            <w:tcW w:w="960" w:type="dxa"/>
            <w:vAlign w:val="bottom"/>
            <w:vMerge w:val="restart"/>
          </w:tcPr>
          <w:p>
            <w:pPr>
              <w:jc w:val="right"/>
              <w:ind w:right="202"/>
              <w:spacing w:after="0"/>
              <w:rPr>
                <w:sz w:val="20"/>
                <w:szCs w:val="20"/>
                <w:color w:val="auto"/>
              </w:rPr>
            </w:pPr>
            <w:r>
              <w:rPr>
                <w:rFonts w:ascii="Arial" w:cs="Arial" w:eastAsia="Arial" w:hAnsi="Arial"/>
                <w:sz w:val="12"/>
                <w:szCs w:val="12"/>
                <w:color w:val="0E1020"/>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960" w:type="dxa"/>
            <w:vAlign w:val="bottom"/>
            <w:vMerge w:val="restart"/>
          </w:tcPr>
          <w:p>
            <w:pPr>
              <w:jc w:val="right"/>
              <w:ind w:right="3"/>
              <w:spacing w:after="0"/>
              <w:rPr>
                <w:sz w:val="20"/>
                <w:szCs w:val="20"/>
                <w:color w:val="auto"/>
              </w:rPr>
            </w:pPr>
            <w:r>
              <w:rPr>
                <w:rFonts w:ascii="Arial" w:cs="Arial" w:eastAsia="Arial" w:hAnsi="Arial"/>
                <w:sz w:val="12"/>
                <w:szCs w:val="12"/>
                <w:color w:val="0E1020"/>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0E1020"/>
              </w:rPr>
              <w:t>—</w:t>
            </w:r>
          </w:p>
        </w:tc>
        <w:tc>
          <w:tcPr>
            <w:tcW w:w="0" w:type="dxa"/>
            <w:vAlign w:val="bottom"/>
          </w:tcPr>
          <w:p>
            <w:pPr>
              <w:spacing w:after="0"/>
              <w:rPr>
                <w:sz w:val="1"/>
                <w:szCs w:val="1"/>
                <w:color w:val="auto"/>
              </w:rPr>
            </w:pPr>
          </w:p>
        </w:tc>
      </w:tr>
      <w:tr>
        <w:trPr>
          <w:trHeight w:val="84"/>
        </w:trPr>
        <w:tc>
          <w:tcPr>
            <w:tcW w:w="1300" w:type="dxa"/>
            <w:vAlign w:val="bottom"/>
            <w:vMerge w:val="restart"/>
          </w:tcPr>
          <w:p>
            <w:pPr>
              <w:ind w:left="80"/>
              <w:spacing w:after="0"/>
              <w:rPr>
                <w:sz w:val="20"/>
                <w:szCs w:val="20"/>
                <w:color w:val="auto"/>
              </w:rPr>
            </w:pPr>
            <w:r>
              <w:rPr>
                <w:rFonts w:ascii="Arial" w:cs="Arial" w:eastAsia="Arial" w:hAnsi="Arial"/>
                <w:sz w:val="12"/>
                <w:szCs w:val="12"/>
                <w:color w:val="0E1020"/>
              </w:rPr>
              <w:t>Incentive Plan</w:t>
            </w:r>
          </w:p>
        </w:tc>
        <w:tc>
          <w:tcPr>
            <w:tcW w:w="5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3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1300" w:type="dxa"/>
            <w:vAlign w:val="bottom"/>
            <w:tcBorders>
              <w:bottom w:val="single" w:sz="8" w:color="CFCFD2"/>
            </w:tcBorders>
          </w:tcPr>
          <w:p>
            <w:pPr>
              <w:spacing w:after="0"/>
              <w:rPr>
                <w:sz w:val="2"/>
                <w:szCs w:val="2"/>
                <w:color w:val="auto"/>
              </w:rPr>
            </w:pPr>
          </w:p>
        </w:tc>
        <w:tc>
          <w:tcPr>
            <w:tcW w:w="540" w:type="dxa"/>
            <w:vAlign w:val="bottom"/>
            <w:tcBorders>
              <w:bottom w:val="single" w:sz="8" w:color="CFCFD2"/>
            </w:tcBorders>
          </w:tcPr>
          <w:p>
            <w:pPr>
              <w:spacing w:after="0"/>
              <w:rPr>
                <w:sz w:val="2"/>
                <w:szCs w:val="2"/>
                <w:color w:val="auto"/>
              </w:rPr>
            </w:pPr>
          </w:p>
        </w:tc>
        <w:tc>
          <w:tcPr>
            <w:tcW w:w="760" w:type="dxa"/>
            <w:vAlign w:val="bottom"/>
            <w:tcBorders>
              <w:bottom w:val="single" w:sz="8" w:color="CFCFD2"/>
            </w:tcBorders>
          </w:tcPr>
          <w:p>
            <w:pPr>
              <w:spacing w:after="0"/>
              <w:rPr>
                <w:sz w:val="2"/>
                <w:szCs w:val="2"/>
                <w:color w:val="auto"/>
              </w:rPr>
            </w:pPr>
          </w:p>
        </w:tc>
        <w:tc>
          <w:tcPr>
            <w:tcW w:w="860" w:type="dxa"/>
            <w:vAlign w:val="bottom"/>
            <w:tcBorders>
              <w:bottom w:val="single" w:sz="8" w:color="CFCFD2"/>
            </w:tcBorders>
          </w:tcPr>
          <w:p>
            <w:pPr>
              <w:spacing w:after="0"/>
              <w:rPr>
                <w:sz w:val="2"/>
                <w:szCs w:val="2"/>
                <w:color w:val="auto"/>
              </w:rPr>
            </w:pPr>
          </w:p>
        </w:tc>
        <w:tc>
          <w:tcPr>
            <w:tcW w:w="940" w:type="dxa"/>
            <w:vAlign w:val="bottom"/>
            <w:tcBorders>
              <w:bottom w:val="single" w:sz="8" w:color="CFCFD2"/>
            </w:tcBorders>
          </w:tcPr>
          <w:p>
            <w:pPr>
              <w:spacing w:after="0"/>
              <w:rPr>
                <w:sz w:val="2"/>
                <w:szCs w:val="2"/>
                <w:color w:val="auto"/>
              </w:rPr>
            </w:pPr>
          </w:p>
        </w:tc>
        <w:tc>
          <w:tcPr>
            <w:tcW w:w="720" w:type="dxa"/>
            <w:vAlign w:val="bottom"/>
            <w:tcBorders>
              <w:bottom w:val="single" w:sz="8" w:color="CFCFD2"/>
            </w:tcBorders>
          </w:tcPr>
          <w:p>
            <w:pPr>
              <w:spacing w:after="0"/>
              <w:rPr>
                <w:sz w:val="2"/>
                <w:szCs w:val="2"/>
                <w:color w:val="auto"/>
              </w:rPr>
            </w:pPr>
          </w:p>
        </w:tc>
        <w:tc>
          <w:tcPr>
            <w:tcW w:w="80" w:type="dxa"/>
            <w:vAlign w:val="bottom"/>
            <w:tcBorders>
              <w:bottom w:val="single" w:sz="8" w:color="CFCFD2"/>
            </w:tcBorders>
          </w:tcPr>
          <w:p>
            <w:pPr>
              <w:spacing w:after="0"/>
              <w:rPr>
                <w:sz w:val="2"/>
                <w:szCs w:val="2"/>
                <w:color w:val="auto"/>
              </w:rPr>
            </w:pPr>
          </w:p>
        </w:tc>
        <w:tc>
          <w:tcPr>
            <w:tcW w:w="1020" w:type="dxa"/>
            <w:vAlign w:val="bottom"/>
            <w:tcBorders>
              <w:bottom w:val="single" w:sz="8" w:color="CFCFD2"/>
            </w:tcBorders>
          </w:tcPr>
          <w:p>
            <w:pPr>
              <w:spacing w:after="0"/>
              <w:rPr>
                <w:sz w:val="2"/>
                <w:szCs w:val="2"/>
                <w:color w:val="auto"/>
              </w:rPr>
            </w:pPr>
          </w:p>
        </w:tc>
        <w:tc>
          <w:tcPr>
            <w:tcW w:w="960" w:type="dxa"/>
            <w:vAlign w:val="bottom"/>
            <w:tcBorders>
              <w:bottom w:val="single" w:sz="8" w:color="CFCFD2"/>
            </w:tcBorders>
          </w:tcPr>
          <w:p>
            <w:pPr>
              <w:spacing w:after="0"/>
              <w:rPr>
                <w:sz w:val="2"/>
                <w:szCs w:val="2"/>
                <w:color w:val="auto"/>
              </w:rPr>
            </w:pPr>
          </w:p>
        </w:tc>
        <w:tc>
          <w:tcPr>
            <w:tcW w:w="620" w:type="dxa"/>
            <w:vAlign w:val="bottom"/>
            <w:tcBorders>
              <w:bottom w:val="single" w:sz="8" w:color="CFCFD2"/>
            </w:tcBorders>
          </w:tcPr>
          <w:p>
            <w:pPr>
              <w:spacing w:after="0"/>
              <w:rPr>
                <w:sz w:val="2"/>
                <w:szCs w:val="2"/>
                <w:color w:val="auto"/>
              </w:rPr>
            </w:pPr>
          </w:p>
        </w:tc>
        <w:tc>
          <w:tcPr>
            <w:tcW w:w="760" w:type="dxa"/>
            <w:vAlign w:val="bottom"/>
            <w:tcBorders>
              <w:bottom w:val="single" w:sz="8" w:color="CFCFD2"/>
            </w:tcBorders>
          </w:tcPr>
          <w:p>
            <w:pPr>
              <w:spacing w:after="0"/>
              <w:rPr>
                <w:sz w:val="2"/>
                <w:szCs w:val="2"/>
                <w:color w:val="auto"/>
              </w:rPr>
            </w:pPr>
          </w:p>
        </w:tc>
        <w:tc>
          <w:tcPr>
            <w:tcW w:w="960" w:type="dxa"/>
            <w:vAlign w:val="bottom"/>
            <w:tcBorders>
              <w:bottom w:val="single" w:sz="8" w:color="CFCFD2"/>
            </w:tcBorders>
          </w:tcPr>
          <w:p>
            <w:pPr>
              <w:spacing w:after="0"/>
              <w:rPr>
                <w:sz w:val="2"/>
                <w:szCs w:val="2"/>
                <w:color w:val="auto"/>
              </w:rPr>
            </w:pPr>
          </w:p>
        </w:tc>
        <w:tc>
          <w:tcPr>
            <w:tcW w:w="720" w:type="dxa"/>
            <w:vAlign w:val="bottom"/>
            <w:tcBorders>
              <w:bottom w:val="single" w:sz="8" w:color="CFCFD2"/>
            </w:tcBorders>
          </w:tcPr>
          <w:p>
            <w:pPr>
              <w:spacing w:after="0"/>
              <w:rPr>
                <w:sz w:val="2"/>
                <w:szCs w:val="2"/>
                <w:color w:val="auto"/>
              </w:rPr>
            </w:pPr>
          </w:p>
        </w:tc>
        <w:tc>
          <w:tcPr>
            <w:tcW w:w="860" w:type="dxa"/>
            <w:vAlign w:val="bottom"/>
            <w:tcBorders>
              <w:bottom w:val="single" w:sz="8" w:color="CFCFD2"/>
            </w:tcBorders>
          </w:tcPr>
          <w:p>
            <w:pPr>
              <w:spacing w:after="0"/>
              <w:rPr>
                <w:sz w:val="2"/>
                <w:szCs w:val="2"/>
                <w:color w:val="auto"/>
              </w:rPr>
            </w:pPr>
          </w:p>
        </w:tc>
        <w:tc>
          <w:tcPr>
            <w:tcW w:w="14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300" w:type="dxa"/>
            <w:vAlign w:val="bottom"/>
          </w:tcPr>
          <w:p>
            <w:pPr>
              <w:ind w:left="80"/>
              <w:spacing w:after="0"/>
              <w:rPr>
                <w:sz w:val="20"/>
                <w:szCs w:val="20"/>
                <w:color w:val="auto"/>
              </w:rPr>
            </w:pPr>
            <w:r>
              <w:rPr>
                <w:rFonts w:ascii="Arial" w:cs="Arial" w:eastAsia="Arial" w:hAnsi="Arial"/>
                <w:sz w:val="12"/>
                <w:szCs w:val="12"/>
                <w:color w:val="0E1020"/>
              </w:rPr>
              <w:t>RSUs –</w:t>
            </w:r>
          </w:p>
        </w:tc>
        <w:tc>
          <w:tcPr>
            <w:tcW w:w="540" w:type="dxa"/>
            <w:vAlign w:val="bottom"/>
            <w:vMerge w:val="restart"/>
          </w:tcPr>
          <w:p>
            <w:pPr>
              <w:jc w:val="center"/>
              <w:ind w:right="62"/>
              <w:spacing w:after="0"/>
              <w:rPr>
                <w:sz w:val="20"/>
                <w:szCs w:val="20"/>
                <w:color w:val="auto"/>
              </w:rPr>
            </w:pPr>
            <w:r>
              <w:rPr>
                <w:rFonts w:ascii="Arial" w:cs="Arial" w:eastAsia="Arial" w:hAnsi="Arial"/>
                <w:sz w:val="12"/>
                <w:szCs w:val="12"/>
                <w:color w:val="0E1020"/>
                <w:w w:val="94"/>
              </w:rPr>
              <w:t>5/16/25</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E1020"/>
                <w:w w:val="99"/>
              </w:rPr>
              <w:t>5/13/25</w:t>
            </w:r>
          </w:p>
        </w:tc>
        <w:tc>
          <w:tcPr>
            <w:tcW w:w="860" w:type="dxa"/>
            <w:vAlign w:val="bottom"/>
            <w:vMerge w:val="restart"/>
          </w:tcPr>
          <w:p>
            <w:pPr>
              <w:jc w:val="right"/>
              <w:ind w:right="2"/>
              <w:spacing w:after="0"/>
              <w:rPr>
                <w:sz w:val="20"/>
                <w:szCs w:val="20"/>
                <w:color w:val="auto"/>
              </w:rPr>
            </w:pPr>
            <w:r>
              <w:rPr>
                <w:rFonts w:ascii="Arial" w:cs="Arial" w:eastAsia="Arial" w:hAnsi="Arial"/>
                <w:sz w:val="12"/>
                <w:szCs w:val="12"/>
                <w:color w:val="0E1020"/>
              </w:rPr>
              <w:t>—</w:t>
            </w:r>
          </w:p>
        </w:tc>
        <w:tc>
          <w:tcPr>
            <w:tcW w:w="940" w:type="dxa"/>
            <w:vAlign w:val="bottom"/>
            <w:vMerge w:val="restart"/>
          </w:tcPr>
          <w:p>
            <w:pPr>
              <w:jc w:val="right"/>
              <w:ind w:right="102"/>
              <w:spacing w:after="0"/>
              <w:rPr>
                <w:sz w:val="20"/>
                <w:szCs w:val="20"/>
                <w:color w:val="auto"/>
              </w:rPr>
            </w:pPr>
            <w:r>
              <w:rPr>
                <w:rFonts w:ascii="Arial" w:cs="Arial" w:eastAsia="Arial" w:hAnsi="Arial"/>
                <w:sz w:val="12"/>
                <w:szCs w:val="12"/>
                <w:color w:val="0E1020"/>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0E1020"/>
              </w:rPr>
              <w:t>—</w:t>
            </w:r>
          </w:p>
        </w:tc>
        <w:tc>
          <w:tcPr>
            <w:tcW w:w="1020" w:type="dxa"/>
            <w:vAlign w:val="bottom"/>
            <w:vMerge w:val="restart"/>
          </w:tcPr>
          <w:p>
            <w:pPr>
              <w:jc w:val="right"/>
              <w:ind w:right="122"/>
              <w:spacing w:after="0"/>
              <w:rPr>
                <w:sz w:val="20"/>
                <w:szCs w:val="20"/>
                <w:color w:val="auto"/>
              </w:rPr>
            </w:pPr>
            <w:r>
              <w:rPr>
                <w:rFonts w:ascii="Arial" w:cs="Arial" w:eastAsia="Arial" w:hAnsi="Arial"/>
                <w:sz w:val="12"/>
                <w:szCs w:val="12"/>
                <w:color w:val="0E1020"/>
              </w:rPr>
              <w:t>109,940</w:t>
            </w:r>
          </w:p>
        </w:tc>
        <w:tc>
          <w:tcPr>
            <w:tcW w:w="960" w:type="dxa"/>
            <w:vAlign w:val="bottom"/>
            <w:vMerge w:val="restart"/>
          </w:tcPr>
          <w:p>
            <w:pPr>
              <w:jc w:val="right"/>
              <w:ind w:right="202"/>
              <w:spacing w:after="0"/>
              <w:rPr>
                <w:sz w:val="20"/>
                <w:szCs w:val="20"/>
                <w:color w:val="auto"/>
              </w:rPr>
            </w:pPr>
            <w:r>
              <w:rPr>
                <w:rFonts w:ascii="Arial" w:cs="Arial" w:eastAsia="Arial" w:hAnsi="Arial"/>
                <w:sz w:val="12"/>
                <w:szCs w:val="12"/>
                <w:color w:val="0E1020"/>
              </w:rPr>
              <w:t>219,880</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0E1020"/>
              </w:rPr>
              <w:t>439,760</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960" w:type="dxa"/>
            <w:vAlign w:val="bottom"/>
            <w:vMerge w:val="restart"/>
          </w:tcPr>
          <w:p>
            <w:pPr>
              <w:jc w:val="right"/>
              <w:ind w:right="3"/>
              <w:spacing w:after="0"/>
              <w:rPr>
                <w:sz w:val="20"/>
                <w:szCs w:val="20"/>
                <w:color w:val="auto"/>
              </w:rPr>
            </w:pPr>
            <w:r>
              <w:rPr>
                <w:rFonts w:ascii="Arial" w:cs="Arial" w:eastAsia="Arial" w:hAnsi="Arial"/>
                <w:sz w:val="12"/>
                <w:szCs w:val="12"/>
                <w:color w:val="0E1020"/>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860" w:type="dxa"/>
            <w:vAlign w:val="bottom"/>
            <w:vMerge w:val="restart"/>
          </w:tcPr>
          <w:p>
            <w:pPr>
              <w:jc w:val="right"/>
              <w:ind w:right="3"/>
              <w:spacing w:after="0"/>
              <w:rPr>
                <w:sz w:val="20"/>
                <w:szCs w:val="20"/>
                <w:color w:val="auto"/>
              </w:rPr>
            </w:pPr>
            <w:r>
              <w:rPr>
                <w:rFonts w:ascii="Arial" w:cs="Arial" w:eastAsia="Arial" w:hAnsi="Arial"/>
                <w:sz w:val="12"/>
                <w:szCs w:val="12"/>
                <w:color w:val="0E1020"/>
              </w:rPr>
              <w:t>3,491,695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CFCFD2"/>
            </w:tcBorders>
          </w:tcPr>
          <w:p>
            <w:pPr>
              <w:ind w:left="80"/>
              <w:spacing w:after="0"/>
              <w:rPr>
                <w:sz w:val="20"/>
                <w:szCs w:val="20"/>
                <w:color w:val="auto"/>
              </w:rPr>
            </w:pPr>
            <w:r>
              <w:rPr>
                <w:rFonts w:ascii="Arial" w:cs="Arial" w:eastAsia="Arial" w:hAnsi="Arial"/>
                <w:sz w:val="12"/>
                <w:szCs w:val="12"/>
                <w:color w:val="0E1020"/>
              </w:rPr>
              <w:t>Performance</w:t>
            </w:r>
            <w:r>
              <w:rPr>
                <w:rFonts w:ascii="Arial" w:cs="Arial" w:eastAsia="Arial" w:hAnsi="Arial"/>
                <w:sz w:val="15"/>
                <w:szCs w:val="15"/>
                <w:color w:val="0E1020"/>
                <w:vertAlign w:val="superscript"/>
              </w:rPr>
              <w:t>(2)</w:t>
            </w:r>
          </w:p>
        </w:tc>
        <w:tc>
          <w:tcPr>
            <w:tcW w:w="540" w:type="dxa"/>
            <w:vAlign w:val="bottom"/>
            <w:tcBorders>
              <w:bottom w:val="single" w:sz="8" w:color="CFCFD2"/>
            </w:tcBorders>
            <w:vMerge w:val="continue"/>
          </w:tcPr>
          <w:p>
            <w:pPr>
              <w:spacing w:after="0"/>
              <w:rPr>
                <w:sz w:val="15"/>
                <w:szCs w:val="15"/>
                <w:color w:val="auto"/>
              </w:rPr>
            </w:pPr>
          </w:p>
        </w:tc>
        <w:tc>
          <w:tcPr>
            <w:tcW w:w="760" w:type="dxa"/>
            <w:vAlign w:val="bottom"/>
            <w:tcBorders>
              <w:bottom w:val="single" w:sz="8" w:color="CFCFD2"/>
            </w:tcBorders>
            <w:vMerge w:val="continue"/>
          </w:tcPr>
          <w:p>
            <w:pPr>
              <w:spacing w:after="0"/>
              <w:rPr>
                <w:sz w:val="15"/>
                <w:szCs w:val="15"/>
                <w:color w:val="auto"/>
              </w:rPr>
            </w:pPr>
          </w:p>
        </w:tc>
        <w:tc>
          <w:tcPr>
            <w:tcW w:w="860" w:type="dxa"/>
            <w:vAlign w:val="bottom"/>
            <w:tcBorders>
              <w:bottom w:val="single" w:sz="8" w:color="CFCFD2"/>
            </w:tcBorders>
            <w:vMerge w:val="continue"/>
          </w:tcPr>
          <w:p>
            <w:pPr>
              <w:spacing w:after="0"/>
              <w:rPr>
                <w:sz w:val="15"/>
                <w:szCs w:val="15"/>
                <w:color w:val="auto"/>
              </w:rPr>
            </w:pPr>
          </w:p>
        </w:tc>
        <w:tc>
          <w:tcPr>
            <w:tcW w:w="940" w:type="dxa"/>
            <w:vAlign w:val="bottom"/>
            <w:tcBorders>
              <w:bottom w:val="single" w:sz="8" w:color="CFCFD2"/>
            </w:tcBorders>
            <w:vMerge w:val="continue"/>
          </w:tcPr>
          <w:p>
            <w:pPr>
              <w:spacing w:after="0"/>
              <w:rPr>
                <w:sz w:val="15"/>
                <w:szCs w:val="15"/>
                <w:color w:val="auto"/>
              </w:rPr>
            </w:pPr>
          </w:p>
        </w:tc>
        <w:tc>
          <w:tcPr>
            <w:tcW w:w="800" w:type="dxa"/>
            <w:vAlign w:val="bottom"/>
            <w:tcBorders>
              <w:bottom w:val="single" w:sz="8" w:color="CFCFD2"/>
            </w:tcBorders>
            <w:gridSpan w:val="2"/>
            <w:vMerge w:val="continue"/>
          </w:tcPr>
          <w:p>
            <w:pPr>
              <w:spacing w:after="0"/>
              <w:rPr>
                <w:sz w:val="15"/>
                <w:szCs w:val="15"/>
                <w:color w:val="auto"/>
              </w:rPr>
            </w:pPr>
          </w:p>
        </w:tc>
        <w:tc>
          <w:tcPr>
            <w:tcW w:w="1020" w:type="dxa"/>
            <w:vAlign w:val="bottom"/>
            <w:tcBorders>
              <w:bottom w:val="single" w:sz="8" w:color="CFCFD2"/>
            </w:tcBorders>
            <w:vMerge w:val="continue"/>
          </w:tcPr>
          <w:p>
            <w:pPr>
              <w:spacing w:after="0"/>
              <w:rPr>
                <w:sz w:val="15"/>
                <w:szCs w:val="15"/>
                <w:color w:val="auto"/>
              </w:rPr>
            </w:pPr>
          </w:p>
        </w:tc>
        <w:tc>
          <w:tcPr>
            <w:tcW w:w="960" w:type="dxa"/>
            <w:vAlign w:val="bottom"/>
            <w:tcBorders>
              <w:bottom w:val="single" w:sz="8" w:color="CFCFD2"/>
            </w:tcBorders>
            <w:vMerge w:val="continue"/>
          </w:tcPr>
          <w:p>
            <w:pPr>
              <w:spacing w:after="0"/>
              <w:rPr>
                <w:sz w:val="15"/>
                <w:szCs w:val="15"/>
                <w:color w:val="auto"/>
              </w:rPr>
            </w:pPr>
          </w:p>
        </w:tc>
        <w:tc>
          <w:tcPr>
            <w:tcW w:w="620" w:type="dxa"/>
            <w:vAlign w:val="bottom"/>
            <w:tcBorders>
              <w:bottom w:val="single" w:sz="8" w:color="CFCFD2"/>
            </w:tcBorders>
            <w:vMerge w:val="continue"/>
          </w:tcPr>
          <w:p>
            <w:pPr>
              <w:spacing w:after="0"/>
              <w:rPr>
                <w:sz w:val="15"/>
                <w:szCs w:val="15"/>
                <w:color w:val="auto"/>
              </w:rPr>
            </w:pPr>
          </w:p>
        </w:tc>
        <w:tc>
          <w:tcPr>
            <w:tcW w:w="760" w:type="dxa"/>
            <w:vAlign w:val="bottom"/>
            <w:tcBorders>
              <w:bottom w:val="single" w:sz="8" w:color="CFCFD2"/>
            </w:tcBorders>
            <w:vMerge w:val="continue"/>
          </w:tcPr>
          <w:p>
            <w:pPr>
              <w:spacing w:after="0"/>
              <w:rPr>
                <w:sz w:val="15"/>
                <w:szCs w:val="15"/>
                <w:color w:val="auto"/>
              </w:rPr>
            </w:pPr>
          </w:p>
        </w:tc>
        <w:tc>
          <w:tcPr>
            <w:tcW w:w="960" w:type="dxa"/>
            <w:vAlign w:val="bottom"/>
            <w:tcBorders>
              <w:bottom w:val="single" w:sz="8" w:color="CFCFD2"/>
            </w:tcBorders>
            <w:vMerge w:val="continue"/>
          </w:tcPr>
          <w:p>
            <w:pPr>
              <w:spacing w:after="0"/>
              <w:rPr>
                <w:sz w:val="15"/>
                <w:szCs w:val="15"/>
                <w:color w:val="auto"/>
              </w:rPr>
            </w:pPr>
          </w:p>
        </w:tc>
        <w:tc>
          <w:tcPr>
            <w:tcW w:w="720" w:type="dxa"/>
            <w:vAlign w:val="bottom"/>
            <w:tcBorders>
              <w:bottom w:val="single" w:sz="8" w:color="CFCFD2"/>
            </w:tcBorders>
            <w:vMerge w:val="continue"/>
          </w:tcPr>
          <w:p>
            <w:pPr>
              <w:spacing w:after="0"/>
              <w:rPr>
                <w:sz w:val="15"/>
                <w:szCs w:val="15"/>
                <w:color w:val="auto"/>
              </w:rPr>
            </w:pPr>
          </w:p>
        </w:tc>
        <w:tc>
          <w:tcPr>
            <w:tcW w:w="860" w:type="dxa"/>
            <w:vAlign w:val="bottom"/>
            <w:tcBorders>
              <w:bottom w:val="single" w:sz="8" w:color="CFCFD2"/>
            </w:tcBorders>
            <w:vMerge w:val="continue"/>
          </w:tcPr>
          <w:p>
            <w:pPr>
              <w:spacing w:after="0"/>
              <w:rPr>
                <w:sz w:val="15"/>
                <w:szCs w:val="15"/>
                <w:color w:val="auto"/>
              </w:rPr>
            </w:pPr>
          </w:p>
        </w:tc>
        <w:tc>
          <w:tcPr>
            <w:tcW w:w="140" w:type="dxa"/>
            <w:vAlign w:val="bottom"/>
            <w:tcBorders>
              <w:bottom w:val="single" w:sz="8" w:color="CFCFD2"/>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300" w:type="dxa"/>
            <w:vAlign w:val="bottom"/>
          </w:tcPr>
          <w:p>
            <w:pPr>
              <w:ind w:left="80"/>
              <w:spacing w:after="0"/>
              <w:rPr>
                <w:sz w:val="20"/>
                <w:szCs w:val="20"/>
                <w:color w:val="auto"/>
              </w:rPr>
            </w:pPr>
            <w:r>
              <w:rPr>
                <w:rFonts w:ascii="Arial" w:cs="Arial" w:eastAsia="Arial" w:hAnsi="Arial"/>
                <w:sz w:val="12"/>
                <w:szCs w:val="12"/>
                <w:color w:val="0E1020"/>
              </w:rPr>
              <w:t>RSUs – Time-</w:t>
            </w:r>
          </w:p>
        </w:tc>
        <w:tc>
          <w:tcPr>
            <w:tcW w:w="540" w:type="dxa"/>
            <w:vAlign w:val="bottom"/>
            <w:vMerge w:val="restart"/>
          </w:tcPr>
          <w:p>
            <w:pPr>
              <w:jc w:val="center"/>
              <w:ind w:right="62"/>
              <w:spacing w:after="0"/>
              <w:rPr>
                <w:sz w:val="20"/>
                <w:szCs w:val="20"/>
                <w:color w:val="auto"/>
              </w:rPr>
            </w:pPr>
            <w:r>
              <w:rPr>
                <w:rFonts w:ascii="Arial" w:cs="Arial" w:eastAsia="Arial" w:hAnsi="Arial"/>
                <w:sz w:val="12"/>
                <w:szCs w:val="12"/>
                <w:color w:val="0E1020"/>
                <w:w w:val="94"/>
              </w:rPr>
              <w:t>5/16/25</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E1020"/>
                <w:w w:val="99"/>
              </w:rPr>
              <w:t>5/13/25</w:t>
            </w:r>
          </w:p>
        </w:tc>
        <w:tc>
          <w:tcPr>
            <w:tcW w:w="860" w:type="dxa"/>
            <w:vAlign w:val="bottom"/>
            <w:vMerge w:val="restart"/>
          </w:tcPr>
          <w:p>
            <w:pPr>
              <w:jc w:val="right"/>
              <w:ind w:right="2"/>
              <w:spacing w:after="0"/>
              <w:rPr>
                <w:sz w:val="20"/>
                <w:szCs w:val="20"/>
                <w:color w:val="auto"/>
              </w:rPr>
            </w:pPr>
            <w:r>
              <w:rPr>
                <w:rFonts w:ascii="Arial" w:cs="Arial" w:eastAsia="Arial" w:hAnsi="Arial"/>
                <w:sz w:val="12"/>
                <w:szCs w:val="12"/>
                <w:color w:val="0E1020"/>
              </w:rPr>
              <w:t>—</w:t>
            </w:r>
          </w:p>
        </w:tc>
        <w:tc>
          <w:tcPr>
            <w:tcW w:w="940" w:type="dxa"/>
            <w:vAlign w:val="bottom"/>
            <w:vMerge w:val="restart"/>
          </w:tcPr>
          <w:p>
            <w:pPr>
              <w:jc w:val="right"/>
              <w:ind w:right="102"/>
              <w:spacing w:after="0"/>
              <w:rPr>
                <w:sz w:val="20"/>
                <w:szCs w:val="20"/>
                <w:color w:val="auto"/>
              </w:rPr>
            </w:pPr>
            <w:r>
              <w:rPr>
                <w:rFonts w:ascii="Arial" w:cs="Arial" w:eastAsia="Arial" w:hAnsi="Arial"/>
                <w:sz w:val="12"/>
                <w:szCs w:val="12"/>
                <w:color w:val="0E1020"/>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0E1020"/>
              </w:rPr>
              <w:t>—</w:t>
            </w:r>
          </w:p>
        </w:tc>
        <w:tc>
          <w:tcPr>
            <w:tcW w:w="1020" w:type="dxa"/>
            <w:vAlign w:val="bottom"/>
            <w:vMerge w:val="restart"/>
          </w:tcPr>
          <w:p>
            <w:pPr>
              <w:jc w:val="right"/>
              <w:ind w:right="122"/>
              <w:spacing w:after="0"/>
              <w:rPr>
                <w:sz w:val="20"/>
                <w:szCs w:val="20"/>
                <w:color w:val="auto"/>
              </w:rPr>
            </w:pPr>
            <w:r>
              <w:rPr>
                <w:rFonts w:ascii="Arial" w:cs="Arial" w:eastAsia="Arial" w:hAnsi="Arial"/>
                <w:sz w:val="12"/>
                <w:szCs w:val="12"/>
                <w:color w:val="0E1020"/>
              </w:rPr>
              <w:t>—</w:t>
            </w:r>
          </w:p>
        </w:tc>
        <w:tc>
          <w:tcPr>
            <w:tcW w:w="960" w:type="dxa"/>
            <w:vAlign w:val="bottom"/>
            <w:vMerge w:val="restart"/>
          </w:tcPr>
          <w:p>
            <w:pPr>
              <w:jc w:val="right"/>
              <w:ind w:right="202"/>
              <w:spacing w:after="0"/>
              <w:rPr>
                <w:sz w:val="20"/>
                <w:szCs w:val="20"/>
                <w:color w:val="auto"/>
              </w:rPr>
            </w:pPr>
            <w:r>
              <w:rPr>
                <w:rFonts w:ascii="Arial" w:cs="Arial" w:eastAsia="Arial" w:hAnsi="Arial"/>
                <w:sz w:val="12"/>
                <w:szCs w:val="12"/>
                <w:color w:val="0E1020"/>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0E1020"/>
              </w:rPr>
              <w:t>146,587</w:t>
            </w:r>
          </w:p>
        </w:tc>
        <w:tc>
          <w:tcPr>
            <w:tcW w:w="960" w:type="dxa"/>
            <w:vAlign w:val="bottom"/>
            <w:vMerge w:val="restart"/>
          </w:tcPr>
          <w:p>
            <w:pPr>
              <w:jc w:val="right"/>
              <w:ind w:right="3"/>
              <w:spacing w:after="0"/>
              <w:rPr>
                <w:sz w:val="20"/>
                <w:szCs w:val="20"/>
                <w:color w:val="auto"/>
              </w:rPr>
            </w:pPr>
            <w:r>
              <w:rPr>
                <w:rFonts w:ascii="Arial" w:cs="Arial" w:eastAsia="Arial" w:hAnsi="Arial"/>
                <w:sz w:val="12"/>
                <w:szCs w:val="12"/>
                <w:color w:val="0E1020"/>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860" w:type="dxa"/>
            <w:vAlign w:val="bottom"/>
            <w:vMerge w:val="restart"/>
          </w:tcPr>
          <w:p>
            <w:pPr>
              <w:jc w:val="right"/>
              <w:ind w:right="3"/>
              <w:spacing w:after="0"/>
              <w:rPr>
                <w:sz w:val="20"/>
                <w:szCs w:val="20"/>
                <w:color w:val="auto"/>
              </w:rPr>
            </w:pPr>
            <w:r>
              <w:rPr>
                <w:rFonts w:ascii="Arial" w:cs="Arial" w:eastAsia="Arial" w:hAnsi="Arial"/>
                <w:sz w:val="12"/>
                <w:szCs w:val="12"/>
                <w:color w:val="0E1020"/>
              </w:rPr>
              <w:t>2,238,383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CFCFD2"/>
            </w:tcBorders>
          </w:tcPr>
          <w:p>
            <w:pPr>
              <w:ind w:left="80"/>
              <w:spacing w:after="0"/>
              <w:rPr>
                <w:sz w:val="20"/>
                <w:szCs w:val="20"/>
                <w:color w:val="auto"/>
              </w:rPr>
            </w:pPr>
            <w:r>
              <w:rPr>
                <w:rFonts w:ascii="Arial" w:cs="Arial" w:eastAsia="Arial" w:hAnsi="Arial"/>
                <w:sz w:val="12"/>
                <w:szCs w:val="12"/>
                <w:color w:val="0E1020"/>
              </w:rPr>
              <w:t>Based</w:t>
            </w:r>
            <w:r>
              <w:rPr>
                <w:rFonts w:ascii="Arial" w:cs="Arial" w:eastAsia="Arial" w:hAnsi="Arial"/>
                <w:sz w:val="15"/>
                <w:szCs w:val="15"/>
                <w:color w:val="0E1020"/>
                <w:vertAlign w:val="superscript"/>
              </w:rPr>
              <w:t>(3)</w:t>
            </w:r>
          </w:p>
        </w:tc>
        <w:tc>
          <w:tcPr>
            <w:tcW w:w="540" w:type="dxa"/>
            <w:vAlign w:val="bottom"/>
            <w:tcBorders>
              <w:bottom w:val="single" w:sz="8" w:color="CFCFD2"/>
            </w:tcBorders>
            <w:vMerge w:val="continue"/>
          </w:tcPr>
          <w:p>
            <w:pPr>
              <w:spacing w:after="0"/>
              <w:rPr>
                <w:sz w:val="15"/>
                <w:szCs w:val="15"/>
                <w:color w:val="auto"/>
              </w:rPr>
            </w:pPr>
          </w:p>
        </w:tc>
        <w:tc>
          <w:tcPr>
            <w:tcW w:w="760" w:type="dxa"/>
            <w:vAlign w:val="bottom"/>
            <w:tcBorders>
              <w:bottom w:val="single" w:sz="8" w:color="CFCFD2"/>
            </w:tcBorders>
            <w:vMerge w:val="continue"/>
          </w:tcPr>
          <w:p>
            <w:pPr>
              <w:spacing w:after="0"/>
              <w:rPr>
                <w:sz w:val="15"/>
                <w:szCs w:val="15"/>
                <w:color w:val="auto"/>
              </w:rPr>
            </w:pPr>
          </w:p>
        </w:tc>
        <w:tc>
          <w:tcPr>
            <w:tcW w:w="860" w:type="dxa"/>
            <w:vAlign w:val="bottom"/>
            <w:tcBorders>
              <w:bottom w:val="single" w:sz="8" w:color="CFCFD2"/>
            </w:tcBorders>
            <w:vMerge w:val="continue"/>
          </w:tcPr>
          <w:p>
            <w:pPr>
              <w:spacing w:after="0"/>
              <w:rPr>
                <w:sz w:val="15"/>
                <w:szCs w:val="15"/>
                <w:color w:val="auto"/>
              </w:rPr>
            </w:pPr>
          </w:p>
        </w:tc>
        <w:tc>
          <w:tcPr>
            <w:tcW w:w="940" w:type="dxa"/>
            <w:vAlign w:val="bottom"/>
            <w:tcBorders>
              <w:bottom w:val="single" w:sz="8" w:color="CFCFD2"/>
            </w:tcBorders>
            <w:vMerge w:val="continue"/>
          </w:tcPr>
          <w:p>
            <w:pPr>
              <w:spacing w:after="0"/>
              <w:rPr>
                <w:sz w:val="15"/>
                <w:szCs w:val="15"/>
                <w:color w:val="auto"/>
              </w:rPr>
            </w:pPr>
          </w:p>
        </w:tc>
        <w:tc>
          <w:tcPr>
            <w:tcW w:w="800" w:type="dxa"/>
            <w:vAlign w:val="bottom"/>
            <w:tcBorders>
              <w:bottom w:val="single" w:sz="8" w:color="CFCFD2"/>
            </w:tcBorders>
            <w:gridSpan w:val="2"/>
            <w:vMerge w:val="continue"/>
          </w:tcPr>
          <w:p>
            <w:pPr>
              <w:spacing w:after="0"/>
              <w:rPr>
                <w:sz w:val="15"/>
                <w:szCs w:val="15"/>
                <w:color w:val="auto"/>
              </w:rPr>
            </w:pPr>
          </w:p>
        </w:tc>
        <w:tc>
          <w:tcPr>
            <w:tcW w:w="1020" w:type="dxa"/>
            <w:vAlign w:val="bottom"/>
            <w:tcBorders>
              <w:bottom w:val="single" w:sz="8" w:color="CFCFD2"/>
            </w:tcBorders>
            <w:vMerge w:val="continue"/>
          </w:tcPr>
          <w:p>
            <w:pPr>
              <w:spacing w:after="0"/>
              <w:rPr>
                <w:sz w:val="15"/>
                <w:szCs w:val="15"/>
                <w:color w:val="auto"/>
              </w:rPr>
            </w:pPr>
          </w:p>
        </w:tc>
        <w:tc>
          <w:tcPr>
            <w:tcW w:w="960" w:type="dxa"/>
            <w:vAlign w:val="bottom"/>
            <w:tcBorders>
              <w:bottom w:val="single" w:sz="8" w:color="CFCFD2"/>
            </w:tcBorders>
            <w:vMerge w:val="continue"/>
          </w:tcPr>
          <w:p>
            <w:pPr>
              <w:spacing w:after="0"/>
              <w:rPr>
                <w:sz w:val="15"/>
                <w:szCs w:val="15"/>
                <w:color w:val="auto"/>
              </w:rPr>
            </w:pPr>
          </w:p>
        </w:tc>
        <w:tc>
          <w:tcPr>
            <w:tcW w:w="620" w:type="dxa"/>
            <w:vAlign w:val="bottom"/>
            <w:tcBorders>
              <w:bottom w:val="single" w:sz="8" w:color="CFCFD2"/>
            </w:tcBorders>
            <w:vMerge w:val="continue"/>
          </w:tcPr>
          <w:p>
            <w:pPr>
              <w:spacing w:after="0"/>
              <w:rPr>
                <w:sz w:val="15"/>
                <w:szCs w:val="15"/>
                <w:color w:val="auto"/>
              </w:rPr>
            </w:pPr>
          </w:p>
        </w:tc>
        <w:tc>
          <w:tcPr>
            <w:tcW w:w="760" w:type="dxa"/>
            <w:vAlign w:val="bottom"/>
            <w:tcBorders>
              <w:bottom w:val="single" w:sz="8" w:color="CFCFD2"/>
            </w:tcBorders>
            <w:vMerge w:val="continue"/>
          </w:tcPr>
          <w:p>
            <w:pPr>
              <w:spacing w:after="0"/>
              <w:rPr>
                <w:sz w:val="15"/>
                <w:szCs w:val="15"/>
                <w:color w:val="auto"/>
              </w:rPr>
            </w:pPr>
          </w:p>
        </w:tc>
        <w:tc>
          <w:tcPr>
            <w:tcW w:w="960" w:type="dxa"/>
            <w:vAlign w:val="bottom"/>
            <w:tcBorders>
              <w:bottom w:val="single" w:sz="8" w:color="CFCFD2"/>
            </w:tcBorders>
            <w:vMerge w:val="continue"/>
          </w:tcPr>
          <w:p>
            <w:pPr>
              <w:spacing w:after="0"/>
              <w:rPr>
                <w:sz w:val="15"/>
                <w:szCs w:val="15"/>
                <w:color w:val="auto"/>
              </w:rPr>
            </w:pPr>
          </w:p>
        </w:tc>
        <w:tc>
          <w:tcPr>
            <w:tcW w:w="720" w:type="dxa"/>
            <w:vAlign w:val="bottom"/>
            <w:tcBorders>
              <w:bottom w:val="single" w:sz="8" w:color="CFCFD2"/>
            </w:tcBorders>
            <w:vMerge w:val="continue"/>
          </w:tcPr>
          <w:p>
            <w:pPr>
              <w:spacing w:after="0"/>
              <w:rPr>
                <w:sz w:val="15"/>
                <w:szCs w:val="15"/>
                <w:color w:val="auto"/>
              </w:rPr>
            </w:pPr>
          </w:p>
        </w:tc>
        <w:tc>
          <w:tcPr>
            <w:tcW w:w="860" w:type="dxa"/>
            <w:vAlign w:val="bottom"/>
            <w:tcBorders>
              <w:bottom w:val="single" w:sz="8" w:color="CFCFD2"/>
            </w:tcBorders>
            <w:vMerge w:val="continue"/>
          </w:tcPr>
          <w:p>
            <w:pPr>
              <w:spacing w:after="0"/>
              <w:rPr>
                <w:sz w:val="15"/>
                <w:szCs w:val="15"/>
                <w:color w:val="auto"/>
              </w:rPr>
            </w:pPr>
          </w:p>
        </w:tc>
        <w:tc>
          <w:tcPr>
            <w:tcW w:w="140" w:type="dxa"/>
            <w:vAlign w:val="bottom"/>
            <w:tcBorders>
              <w:bottom w:val="single" w:sz="8" w:color="CFCFD2"/>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00" w:type="dxa"/>
            <w:vAlign w:val="bottom"/>
          </w:tcPr>
          <w:p>
            <w:pPr>
              <w:ind w:left="80"/>
              <w:spacing w:after="0"/>
              <w:rPr>
                <w:sz w:val="20"/>
                <w:szCs w:val="20"/>
                <w:color w:val="auto"/>
              </w:rPr>
            </w:pPr>
            <w:r>
              <w:rPr>
                <w:rFonts w:ascii="Arial" w:cs="Arial" w:eastAsia="Arial" w:hAnsi="Arial"/>
                <w:sz w:val="13"/>
                <w:szCs w:val="13"/>
                <w:b w:val="1"/>
                <w:bCs w:val="1"/>
                <w:color w:val="004AAC"/>
                <w:w w:val="96"/>
              </w:rPr>
              <w:t>Raymond A. August</w:t>
            </w: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300" w:type="dxa"/>
            <w:vAlign w:val="bottom"/>
            <w:tcBorders>
              <w:bottom w:val="single" w:sz="8" w:color="CFCFD2"/>
            </w:tcBorders>
          </w:tcPr>
          <w:p>
            <w:pPr>
              <w:spacing w:after="0" w:line="20" w:lineRule="exact"/>
              <w:rPr>
                <w:sz w:val="1"/>
                <w:szCs w:val="1"/>
                <w:color w:val="auto"/>
              </w:rPr>
            </w:pPr>
          </w:p>
        </w:tc>
        <w:tc>
          <w:tcPr>
            <w:tcW w:w="540" w:type="dxa"/>
            <w:vAlign w:val="bottom"/>
            <w:tcBorders>
              <w:bottom w:val="single" w:sz="8" w:color="CFCFD2"/>
            </w:tcBorders>
          </w:tcPr>
          <w:p>
            <w:pPr>
              <w:spacing w:after="0" w:line="20" w:lineRule="exact"/>
              <w:rPr>
                <w:sz w:val="1"/>
                <w:szCs w:val="1"/>
                <w:color w:val="auto"/>
              </w:rPr>
            </w:pPr>
          </w:p>
        </w:tc>
        <w:tc>
          <w:tcPr>
            <w:tcW w:w="760" w:type="dxa"/>
            <w:vAlign w:val="bottom"/>
            <w:tcBorders>
              <w:bottom w:val="single" w:sz="8" w:color="CFCFD2"/>
            </w:tcBorders>
          </w:tcPr>
          <w:p>
            <w:pPr>
              <w:spacing w:after="0" w:line="20" w:lineRule="exact"/>
              <w:rPr>
                <w:sz w:val="1"/>
                <w:szCs w:val="1"/>
                <w:color w:val="auto"/>
              </w:rPr>
            </w:pPr>
          </w:p>
        </w:tc>
        <w:tc>
          <w:tcPr>
            <w:tcW w:w="860" w:type="dxa"/>
            <w:vAlign w:val="bottom"/>
            <w:tcBorders>
              <w:bottom w:val="single" w:sz="8" w:color="CFCFD2"/>
            </w:tcBorders>
          </w:tcPr>
          <w:p>
            <w:pPr>
              <w:spacing w:after="0" w:line="20" w:lineRule="exact"/>
              <w:rPr>
                <w:sz w:val="1"/>
                <w:szCs w:val="1"/>
                <w:color w:val="auto"/>
              </w:rPr>
            </w:pPr>
          </w:p>
        </w:tc>
        <w:tc>
          <w:tcPr>
            <w:tcW w:w="940" w:type="dxa"/>
            <w:vAlign w:val="bottom"/>
            <w:tcBorders>
              <w:bottom w:val="single" w:sz="8" w:color="CFCFD2"/>
            </w:tcBorders>
          </w:tcPr>
          <w:p>
            <w:pPr>
              <w:spacing w:after="0" w:line="20" w:lineRule="exact"/>
              <w:rPr>
                <w:sz w:val="1"/>
                <w:szCs w:val="1"/>
                <w:color w:val="auto"/>
              </w:rPr>
            </w:pPr>
          </w:p>
        </w:tc>
        <w:tc>
          <w:tcPr>
            <w:tcW w:w="720" w:type="dxa"/>
            <w:vAlign w:val="bottom"/>
            <w:tcBorders>
              <w:bottom w:val="single" w:sz="8" w:color="CFCFD2"/>
            </w:tcBorders>
          </w:tcPr>
          <w:p>
            <w:pPr>
              <w:spacing w:after="0" w:line="20" w:lineRule="exact"/>
              <w:rPr>
                <w:sz w:val="1"/>
                <w:szCs w:val="1"/>
                <w:color w:val="auto"/>
              </w:rPr>
            </w:pPr>
          </w:p>
        </w:tc>
        <w:tc>
          <w:tcPr>
            <w:tcW w:w="80" w:type="dxa"/>
            <w:vAlign w:val="bottom"/>
            <w:tcBorders>
              <w:bottom w:val="single" w:sz="8" w:color="CFCFD2"/>
            </w:tcBorders>
          </w:tcPr>
          <w:p>
            <w:pPr>
              <w:spacing w:after="0" w:line="20" w:lineRule="exact"/>
              <w:rPr>
                <w:sz w:val="1"/>
                <w:szCs w:val="1"/>
                <w:color w:val="auto"/>
              </w:rPr>
            </w:pPr>
          </w:p>
        </w:tc>
        <w:tc>
          <w:tcPr>
            <w:tcW w:w="1020" w:type="dxa"/>
            <w:vAlign w:val="bottom"/>
            <w:tcBorders>
              <w:bottom w:val="single" w:sz="8" w:color="CFCFD2"/>
            </w:tcBorders>
          </w:tcPr>
          <w:p>
            <w:pPr>
              <w:spacing w:after="0" w:line="20" w:lineRule="exact"/>
              <w:rPr>
                <w:sz w:val="1"/>
                <w:szCs w:val="1"/>
                <w:color w:val="auto"/>
              </w:rPr>
            </w:pPr>
          </w:p>
        </w:tc>
        <w:tc>
          <w:tcPr>
            <w:tcW w:w="960" w:type="dxa"/>
            <w:vAlign w:val="bottom"/>
            <w:tcBorders>
              <w:bottom w:val="single" w:sz="8" w:color="CFCFD2"/>
            </w:tcBorders>
          </w:tcPr>
          <w:p>
            <w:pPr>
              <w:spacing w:after="0" w:line="20" w:lineRule="exact"/>
              <w:rPr>
                <w:sz w:val="1"/>
                <w:szCs w:val="1"/>
                <w:color w:val="auto"/>
              </w:rPr>
            </w:pPr>
          </w:p>
        </w:tc>
        <w:tc>
          <w:tcPr>
            <w:tcW w:w="620" w:type="dxa"/>
            <w:vAlign w:val="bottom"/>
            <w:tcBorders>
              <w:bottom w:val="single" w:sz="8" w:color="CFCFD2"/>
            </w:tcBorders>
          </w:tcPr>
          <w:p>
            <w:pPr>
              <w:spacing w:after="0" w:line="20" w:lineRule="exact"/>
              <w:rPr>
                <w:sz w:val="1"/>
                <w:szCs w:val="1"/>
                <w:color w:val="auto"/>
              </w:rPr>
            </w:pPr>
          </w:p>
        </w:tc>
        <w:tc>
          <w:tcPr>
            <w:tcW w:w="760" w:type="dxa"/>
            <w:vAlign w:val="bottom"/>
            <w:tcBorders>
              <w:bottom w:val="single" w:sz="8" w:color="CFCFD2"/>
            </w:tcBorders>
          </w:tcPr>
          <w:p>
            <w:pPr>
              <w:spacing w:after="0" w:line="20" w:lineRule="exact"/>
              <w:rPr>
                <w:sz w:val="1"/>
                <w:szCs w:val="1"/>
                <w:color w:val="auto"/>
              </w:rPr>
            </w:pPr>
          </w:p>
        </w:tc>
        <w:tc>
          <w:tcPr>
            <w:tcW w:w="960" w:type="dxa"/>
            <w:vAlign w:val="bottom"/>
            <w:tcBorders>
              <w:bottom w:val="single" w:sz="8" w:color="CFCFD2"/>
            </w:tcBorders>
          </w:tcPr>
          <w:p>
            <w:pPr>
              <w:spacing w:after="0" w:line="20" w:lineRule="exact"/>
              <w:rPr>
                <w:sz w:val="1"/>
                <w:szCs w:val="1"/>
                <w:color w:val="auto"/>
              </w:rPr>
            </w:pPr>
          </w:p>
        </w:tc>
        <w:tc>
          <w:tcPr>
            <w:tcW w:w="720" w:type="dxa"/>
            <w:vAlign w:val="bottom"/>
            <w:tcBorders>
              <w:bottom w:val="single" w:sz="8" w:color="CFCFD2"/>
            </w:tcBorders>
          </w:tcPr>
          <w:p>
            <w:pPr>
              <w:spacing w:after="0" w:line="20" w:lineRule="exact"/>
              <w:rPr>
                <w:sz w:val="1"/>
                <w:szCs w:val="1"/>
                <w:color w:val="auto"/>
              </w:rPr>
            </w:pPr>
          </w:p>
        </w:tc>
        <w:tc>
          <w:tcPr>
            <w:tcW w:w="860" w:type="dxa"/>
            <w:vAlign w:val="bottom"/>
            <w:tcBorders>
              <w:bottom w:val="single" w:sz="8" w:color="CFCFD2"/>
            </w:tcBorders>
          </w:tcPr>
          <w:p>
            <w:pPr>
              <w:spacing w:after="0" w:line="20" w:lineRule="exact"/>
              <w:rPr>
                <w:sz w:val="1"/>
                <w:szCs w:val="1"/>
                <w:color w:val="auto"/>
              </w:rPr>
            </w:pPr>
          </w:p>
        </w:tc>
        <w:tc>
          <w:tcPr>
            <w:tcW w:w="140" w:type="dxa"/>
            <w:vAlign w:val="bottom"/>
            <w:tcBorders>
              <w:bottom w:val="single" w:sz="8" w:color="CFCF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1300" w:type="dxa"/>
            <w:vAlign w:val="bottom"/>
          </w:tcPr>
          <w:p>
            <w:pPr>
              <w:ind w:left="80"/>
              <w:spacing w:after="0"/>
              <w:rPr>
                <w:sz w:val="20"/>
                <w:szCs w:val="20"/>
                <w:color w:val="auto"/>
              </w:rPr>
            </w:pPr>
            <w:r>
              <w:rPr>
                <w:rFonts w:ascii="Arial" w:cs="Arial" w:eastAsia="Arial" w:hAnsi="Arial"/>
                <w:sz w:val="12"/>
                <w:szCs w:val="12"/>
                <w:color w:val="0E1020"/>
              </w:rPr>
              <w:t>Annual Cash</w:t>
            </w:r>
          </w:p>
        </w:tc>
        <w:tc>
          <w:tcPr>
            <w:tcW w:w="540" w:type="dxa"/>
            <w:vAlign w:val="bottom"/>
            <w:vMerge w:val="restart"/>
          </w:tcPr>
          <w:p>
            <w:pPr>
              <w:jc w:val="center"/>
              <w:ind w:right="42"/>
              <w:spacing w:after="0"/>
              <w:rPr>
                <w:sz w:val="20"/>
                <w:szCs w:val="20"/>
                <w:color w:val="auto"/>
              </w:rPr>
            </w:pPr>
            <w:r>
              <w:rPr>
                <w:rFonts w:ascii="Arial" w:cs="Arial" w:eastAsia="Arial" w:hAnsi="Arial"/>
                <w:sz w:val="12"/>
                <w:szCs w:val="12"/>
                <w:color w:val="0E1020"/>
                <w:w w:val="99"/>
              </w:rPr>
              <w:t>—</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E1020"/>
                <w:w w:val="99"/>
              </w:rPr>
              <w:t>—</w:t>
            </w:r>
          </w:p>
        </w:tc>
        <w:tc>
          <w:tcPr>
            <w:tcW w:w="860" w:type="dxa"/>
            <w:vAlign w:val="bottom"/>
            <w:vMerge w:val="restart"/>
          </w:tcPr>
          <w:p>
            <w:pPr>
              <w:jc w:val="right"/>
              <w:ind w:right="2"/>
              <w:spacing w:after="0"/>
              <w:rPr>
                <w:sz w:val="20"/>
                <w:szCs w:val="20"/>
                <w:color w:val="auto"/>
              </w:rPr>
            </w:pPr>
            <w:r>
              <w:rPr>
                <w:rFonts w:ascii="Arial" w:cs="Arial" w:eastAsia="Arial" w:hAnsi="Arial"/>
                <w:sz w:val="12"/>
                <w:szCs w:val="12"/>
                <w:color w:val="0E1020"/>
              </w:rPr>
              <w:t>402,500</w:t>
            </w:r>
          </w:p>
        </w:tc>
        <w:tc>
          <w:tcPr>
            <w:tcW w:w="940" w:type="dxa"/>
            <w:vAlign w:val="bottom"/>
            <w:vMerge w:val="restart"/>
          </w:tcPr>
          <w:p>
            <w:pPr>
              <w:jc w:val="right"/>
              <w:ind w:right="102"/>
              <w:spacing w:after="0"/>
              <w:rPr>
                <w:sz w:val="20"/>
                <w:szCs w:val="20"/>
                <w:color w:val="auto"/>
              </w:rPr>
            </w:pPr>
            <w:r>
              <w:rPr>
                <w:rFonts w:ascii="Arial" w:cs="Arial" w:eastAsia="Arial" w:hAnsi="Arial"/>
                <w:sz w:val="12"/>
                <w:szCs w:val="12"/>
                <w:color w:val="0E1020"/>
              </w:rPr>
              <w:t>805,000</w:t>
            </w:r>
          </w:p>
        </w:tc>
        <w:tc>
          <w:tcPr>
            <w:tcW w:w="720" w:type="dxa"/>
            <w:vAlign w:val="bottom"/>
            <w:vMerge w:val="restart"/>
          </w:tcPr>
          <w:p>
            <w:pPr>
              <w:jc w:val="right"/>
              <w:ind w:right="2"/>
              <w:spacing w:after="0"/>
              <w:rPr>
                <w:sz w:val="20"/>
                <w:szCs w:val="20"/>
                <w:color w:val="auto"/>
              </w:rPr>
            </w:pPr>
            <w:r>
              <w:rPr>
                <w:rFonts w:ascii="Arial" w:cs="Arial" w:eastAsia="Arial" w:hAnsi="Arial"/>
                <w:sz w:val="12"/>
                <w:szCs w:val="12"/>
                <w:color w:val="0E1020"/>
              </w:rPr>
              <w:t>1,610,000</w:t>
            </w:r>
          </w:p>
        </w:tc>
        <w:tc>
          <w:tcPr>
            <w:tcW w:w="80" w:type="dxa"/>
            <w:vAlign w:val="bottom"/>
          </w:tcPr>
          <w:p>
            <w:pPr>
              <w:spacing w:after="0"/>
              <w:rPr>
                <w:sz w:val="12"/>
                <w:szCs w:val="12"/>
                <w:color w:val="auto"/>
              </w:rPr>
            </w:pPr>
          </w:p>
        </w:tc>
        <w:tc>
          <w:tcPr>
            <w:tcW w:w="1020" w:type="dxa"/>
            <w:vAlign w:val="bottom"/>
            <w:vMerge w:val="restart"/>
          </w:tcPr>
          <w:p>
            <w:pPr>
              <w:jc w:val="right"/>
              <w:ind w:right="122"/>
              <w:spacing w:after="0"/>
              <w:rPr>
                <w:sz w:val="20"/>
                <w:szCs w:val="20"/>
                <w:color w:val="auto"/>
              </w:rPr>
            </w:pPr>
            <w:r>
              <w:rPr>
                <w:rFonts w:ascii="Arial" w:cs="Arial" w:eastAsia="Arial" w:hAnsi="Arial"/>
                <w:sz w:val="12"/>
                <w:szCs w:val="12"/>
                <w:color w:val="0E1020"/>
              </w:rPr>
              <w:t>—</w:t>
            </w:r>
          </w:p>
        </w:tc>
        <w:tc>
          <w:tcPr>
            <w:tcW w:w="960" w:type="dxa"/>
            <w:vAlign w:val="bottom"/>
            <w:vMerge w:val="restart"/>
          </w:tcPr>
          <w:p>
            <w:pPr>
              <w:jc w:val="right"/>
              <w:ind w:right="202"/>
              <w:spacing w:after="0"/>
              <w:rPr>
                <w:sz w:val="20"/>
                <w:szCs w:val="20"/>
                <w:color w:val="auto"/>
              </w:rPr>
            </w:pPr>
            <w:r>
              <w:rPr>
                <w:rFonts w:ascii="Arial" w:cs="Arial" w:eastAsia="Arial" w:hAnsi="Arial"/>
                <w:sz w:val="12"/>
                <w:szCs w:val="12"/>
                <w:color w:val="0E1020"/>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960" w:type="dxa"/>
            <w:vAlign w:val="bottom"/>
            <w:vMerge w:val="restart"/>
          </w:tcPr>
          <w:p>
            <w:pPr>
              <w:jc w:val="right"/>
              <w:ind w:right="3"/>
              <w:spacing w:after="0"/>
              <w:rPr>
                <w:sz w:val="20"/>
                <w:szCs w:val="20"/>
                <w:color w:val="auto"/>
              </w:rPr>
            </w:pPr>
            <w:r>
              <w:rPr>
                <w:rFonts w:ascii="Arial" w:cs="Arial" w:eastAsia="Arial" w:hAnsi="Arial"/>
                <w:sz w:val="12"/>
                <w:szCs w:val="12"/>
                <w:color w:val="0E1020"/>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0E1020"/>
              </w:rPr>
              <w:t>—</w:t>
            </w:r>
          </w:p>
        </w:tc>
        <w:tc>
          <w:tcPr>
            <w:tcW w:w="0" w:type="dxa"/>
            <w:vAlign w:val="bottom"/>
          </w:tcPr>
          <w:p>
            <w:pPr>
              <w:spacing w:after="0"/>
              <w:rPr>
                <w:sz w:val="1"/>
                <w:szCs w:val="1"/>
                <w:color w:val="auto"/>
              </w:rPr>
            </w:pPr>
          </w:p>
        </w:tc>
      </w:tr>
      <w:tr>
        <w:trPr>
          <w:trHeight w:val="84"/>
        </w:trPr>
        <w:tc>
          <w:tcPr>
            <w:tcW w:w="1300" w:type="dxa"/>
            <w:vAlign w:val="bottom"/>
            <w:vMerge w:val="restart"/>
          </w:tcPr>
          <w:p>
            <w:pPr>
              <w:ind w:left="80"/>
              <w:spacing w:after="0"/>
              <w:rPr>
                <w:sz w:val="20"/>
                <w:szCs w:val="20"/>
                <w:color w:val="auto"/>
              </w:rPr>
            </w:pPr>
            <w:r>
              <w:rPr>
                <w:rFonts w:ascii="Arial" w:cs="Arial" w:eastAsia="Arial" w:hAnsi="Arial"/>
                <w:sz w:val="12"/>
                <w:szCs w:val="12"/>
                <w:color w:val="0E1020"/>
              </w:rPr>
              <w:t>Incentive Plan</w:t>
            </w:r>
          </w:p>
        </w:tc>
        <w:tc>
          <w:tcPr>
            <w:tcW w:w="5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3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1300" w:type="dxa"/>
            <w:vAlign w:val="bottom"/>
            <w:tcBorders>
              <w:bottom w:val="single" w:sz="8" w:color="CFCFD2"/>
            </w:tcBorders>
          </w:tcPr>
          <w:p>
            <w:pPr>
              <w:spacing w:after="0"/>
              <w:rPr>
                <w:sz w:val="2"/>
                <w:szCs w:val="2"/>
                <w:color w:val="auto"/>
              </w:rPr>
            </w:pPr>
          </w:p>
        </w:tc>
        <w:tc>
          <w:tcPr>
            <w:tcW w:w="540" w:type="dxa"/>
            <w:vAlign w:val="bottom"/>
            <w:tcBorders>
              <w:bottom w:val="single" w:sz="8" w:color="CFCFD2"/>
            </w:tcBorders>
          </w:tcPr>
          <w:p>
            <w:pPr>
              <w:spacing w:after="0"/>
              <w:rPr>
                <w:sz w:val="2"/>
                <w:szCs w:val="2"/>
                <w:color w:val="auto"/>
              </w:rPr>
            </w:pPr>
          </w:p>
        </w:tc>
        <w:tc>
          <w:tcPr>
            <w:tcW w:w="760" w:type="dxa"/>
            <w:vAlign w:val="bottom"/>
            <w:tcBorders>
              <w:bottom w:val="single" w:sz="8" w:color="CFCFD2"/>
            </w:tcBorders>
          </w:tcPr>
          <w:p>
            <w:pPr>
              <w:spacing w:after="0"/>
              <w:rPr>
                <w:sz w:val="2"/>
                <w:szCs w:val="2"/>
                <w:color w:val="auto"/>
              </w:rPr>
            </w:pPr>
          </w:p>
        </w:tc>
        <w:tc>
          <w:tcPr>
            <w:tcW w:w="860" w:type="dxa"/>
            <w:vAlign w:val="bottom"/>
            <w:tcBorders>
              <w:bottom w:val="single" w:sz="8" w:color="CFCFD2"/>
            </w:tcBorders>
          </w:tcPr>
          <w:p>
            <w:pPr>
              <w:spacing w:after="0"/>
              <w:rPr>
                <w:sz w:val="2"/>
                <w:szCs w:val="2"/>
                <w:color w:val="auto"/>
              </w:rPr>
            </w:pPr>
          </w:p>
        </w:tc>
        <w:tc>
          <w:tcPr>
            <w:tcW w:w="940" w:type="dxa"/>
            <w:vAlign w:val="bottom"/>
            <w:tcBorders>
              <w:bottom w:val="single" w:sz="8" w:color="CFCFD2"/>
            </w:tcBorders>
          </w:tcPr>
          <w:p>
            <w:pPr>
              <w:spacing w:after="0"/>
              <w:rPr>
                <w:sz w:val="2"/>
                <w:szCs w:val="2"/>
                <w:color w:val="auto"/>
              </w:rPr>
            </w:pPr>
          </w:p>
        </w:tc>
        <w:tc>
          <w:tcPr>
            <w:tcW w:w="720" w:type="dxa"/>
            <w:vAlign w:val="bottom"/>
            <w:tcBorders>
              <w:bottom w:val="single" w:sz="8" w:color="CFCFD2"/>
            </w:tcBorders>
          </w:tcPr>
          <w:p>
            <w:pPr>
              <w:spacing w:after="0"/>
              <w:rPr>
                <w:sz w:val="2"/>
                <w:szCs w:val="2"/>
                <w:color w:val="auto"/>
              </w:rPr>
            </w:pPr>
          </w:p>
        </w:tc>
        <w:tc>
          <w:tcPr>
            <w:tcW w:w="80" w:type="dxa"/>
            <w:vAlign w:val="bottom"/>
            <w:tcBorders>
              <w:bottom w:val="single" w:sz="8" w:color="CFCFD2"/>
            </w:tcBorders>
          </w:tcPr>
          <w:p>
            <w:pPr>
              <w:spacing w:after="0"/>
              <w:rPr>
                <w:sz w:val="2"/>
                <w:szCs w:val="2"/>
                <w:color w:val="auto"/>
              </w:rPr>
            </w:pPr>
          </w:p>
        </w:tc>
        <w:tc>
          <w:tcPr>
            <w:tcW w:w="1020" w:type="dxa"/>
            <w:vAlign w:val="bottom"/>
            <w:tcBorders>
              <w:bottom w:val="single" w:sz="8" w:color="CFCFD2"/>
            </w:tcBorders>
          </w:tcPr>
          <w:p>
            <w:pPr>
              <w:spacing w:after="0"/>
              <w:rPr>
                <w:sz w:val="2"/>
                <w:szCs w:val="2"/>
                <w:color w:val="auto"/>
              </w:rPr>
            </w:pPr>
          </w:p>
        </w:tc>
        <w:tc>
          <w:tcPr>
            <w:tcW w:w="960" w:type="dxa"/>
            <w:vAlign w:val="bottom"/>
            <w:tcBorders>
              <w:bottom w:val="single" w:sz="8" w:color="CFCFD2"/>
            </w:tcBorders>
          </w:tcPr>
          <w:p>
            <w:pPr>
              <w:spacing w:after="0"/>
              <w:rPr>
                <w:sz w:val="2"/>
                <w:szCs w:val="2"/>
                <w:color w:val="auto"/>
              </w:rPr>
            </w:pPr>
          </w:p>
        </w:tc>
        <w:tc>
          <w:tcPr>
            <w:tcW w:w="620" w:type="dxa"/>
            <w:vAlign w:val="bottom"/>
            <w:tcBorders>
              <w:bottom w:val="single" w:sz="8" w:color="CFCFD2"/>
            </w:tcBorders>
          </w:tcPr>
          <w:p>
            <w:pPr>
              <w:spacing w:after="0"/>
              <w:rPr>
                <w:sz w:val="2"/>
                <w:szCs w:val="2"/>
                <w:color w:val="auto"/>
              </w:rPr>
            </w:pPr>
          </w:p>
        </w:tc>
        <w:tc>
          <w:tcPr>
            <w:tcW w:w="760" w:type="dxa"/>
            <w:vAlign w:val="bottom"/>
            <w:tcBorders>
              <w:bottom w:val="single" w:sz="8" w:color="CFCFD2"/>
            </w:tcBorders>
          </w:tcPr>
          <w:p>
            <w:pPr>
              <w:spacing w:after="0"/>
              <w:rPr>
                <w:sz w:val="2"/>
                <w:szCs w:val="2"/>
                <w:color w:val="auto"/>
              </w:rPr>
            </w:pPr>
          </w:p>
        </w:tc>
        <w:tc>
          <w:tcPr>
            <w:tcW w:w="960" w:type="dxa"/>
            <w:vAlign w:val="bottom"/>
            <w:tcBorders>
              <w:bottom w:val="single" w:sz="8" w:color="CFCFD2"/>
            </w:tcBorders>
          </w:tcPr>
          <w:p>
            <w:pPr>
              <w:spacing w:after="0"/>
              <w:rPr>
                <w:sz w:val="2"/>
                <w:szCs w:val="2"/>
                <w:color w:val="auto"/>
              </w:rPr>
            </w:pPr>
          </w:p>
        </w:tc>
        <w:tc>
          <w:tcPr>
            <w:tcW w:w="720" w:type="dxa"/>
            <w:vAlign w:val="bottom"/>
            <w:tcBorders>
              <w:bottom w:val="single" w:sz="8" w:color="CFCFD2"/>
            </w:tcBorders>
          </w:tcPr>
          <w:p>
            <w:pPr>
              <w:spacing w:after="0"/>
              <w:rPr>
                <w:sz w:val="2"/>
                <w:szCs w:val="2"/>
                <w:color w:val="auto"/>
              </w:rPr>
            </w:pPr>
          </w:p>
        </w:tc>
        <w:tc>
          <w:tcPr>
            <w:tcW w:w="860" w:type="dxa"/>
            <w:vAlign w:val="bottom"/>
            <w:tcBorders>
              <w:bottom w:val="single" w:sz="8" w:color="CFCFD2"/>
            </w:tcBorders>
          </w:tcPr>
          <w:p>
            <w:pPr>
              <w:spacing w:after="0"/>
              <w:rPr>
                <w:sz w:val="2"/>
                <w:szCs w:val="2"/>
                <w:color w:val="auto"/>
              </w:rPr>
            </w:pPr>
          </w:p>
        </w:tc>
        <w:tc>
          <w:tcPr>
            <w:tcW w:w="14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300" w:type="dxa"/>
            <w:vAlign w:val="bottom"/>
          </w:tcPr>
          <w:p>
            <w:pPr>
              <w:ind w:left="80"/>
              <w:spacing w:after="0"/>
              <w:rPr>
                <w:sz w:val="20"/>
                <w:szCs w:val="20"/>
                <w:color w:val="auto"/>
              </w:rPr>
            </w:pPr>
            <w:r>
              <w:rPr>
                <w:rFonts w:ascii="Arial" w:cs="Arial" w:eastAsia="Arial" w:hAnsi="Arial"/>
                <w:sz w:val="12"/>
                <w:szCs w:val="12"/>
                <w:color w:val="0E1020"/>
              </w:rPr>
              <w:t>RSUs –</w:t>
            </w:r>
          </w:p>
        </w:tc>
        <w:tc>
          <w:tcPr>
            <w:tcW w:w="540" w:type="dxa"/>
            <w:vAlign w:val="bottom"/>
            <w:vMerge w:val="restart"/>
          </w:tcPr>
          <w:p>
            <w:pPr>
              <w:jc w:val="center"/>
              <w:ind w:right="62"/>
              <w:spacing w:after="0"/>
              <w:rPr>
                <w:sz w:val="20"/>
                <w:szCs w:val="20"/>
                <w:color w:val="auto"/>
              </w:rPr>
            </w:pPr>
            <w:r>
              <w:rPr>
                <w:rFonts w:ascii="Arial" w:cs="Arial" w:eastAsia="Arial" w:hAnsi="Arial"/>
                <w:sz w:val="12"/>
                <w:szCs w:val="12"/>
                <w:color w:val="0E1020"/>
                <w:w w:val="94"/>
              </w:rPr>
              <w:t>5/16/25</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E1020"/>
                <w:w w:val="99"/>
              </w:rPr>
              <w:t>5/13/25</w:t>
            </w:r>
          </w:p>
        </w:tc>
        <w:tc>
          <w:tcPr>
            <w:tcW w:w="860" w:type="dxa"/>
            <w:vAlign w:val="bottom"/>
            <w:vMerge w:val="restart"/>
          </w:tcPr>
          <w:p>
            <w:pPr>
              <w:jc w:val="right"/>
              <w:ind w:right="2"/>
              <w:spacing w:after="0"/>
              <w:rPr>
                <w:sz w:val="20"/>
                <w:szCs w:val="20"/>
                <w:color w:val="auto"/>
              </w:rPr>
            </w:pPr>
            <w:r>
              <w:rPr>
                <w:rFonts w:ascii="Arial" w:cs="Arial" w:eastAsia="Arial" w:hAnsi="Arial"/>
                <w:sz w:val="12"/>
                <w:szCs w:val="12"/>
                <w:color w:val="0E1020"/>
              </w:rPr>
              <w:t>—</w:t>
            </w:r>
          </w:p>
        </w:tc>
        <w:tc>
          <w:tcPr>
            <w:tcW w:w="940" w:type="dxa"/>
            <w:vAlign w:val="bottom"/>
            <w:vMerge w:val="restart"/>
          </w:tcPr>
          <w:p>
            <w:pPr>
              <w:jc w:val="right"/>
              <w:ind w:right="102"/>
              <w:spacing w:after="0"/>
              <w:rPr>
                <w:sz w:val="20"/>
                <w:szCs w:val="20"/>
                <w:color w:val="auto"/>
              </w:rPr>
            </w:pPr>
            <w:r>
              <w:rPr>
                <w:rFonts w:ascii="Arial" w:cs="Arial" w:eastAsia="Arial" w:hAnsi="Arial"/>
                <w:sz w:val="12"/>
                <w:szCs w:val="12"/>
                <w:color w:val="0E1020"/>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0E1020"/>
              </w:rPr>
              <w:t>—</w:t>
            </w:r>
          </w:p>
        </w:tc>
        <w:tc>
          <w:tcPr>
            <w:tcW w:w="1020" w:type="dxa"/>
            <w:vAlign w:val="bottom"/>
            <w:vMerge w:val="restart"/>
          </w:tcPr>
          <w:p>
            <w:pPr>
              <w:jc w:val="right"/>
              <w:ind w:right="122"/>
              <w:spacing w:after="0"/>
              <w:rPr>
                <w:sz w:val="20"/>
                <w:szCs w:val="20"/>
                <w:color w:val="auto"/>
              </w:rPr>
            </w:pPr>
            <w:r>
              <w:rPr>
                <w:rFonts w:ascii="Arial" w:cs="Arial" w:eastAsia="Arial" w:hAnsi="Arial"/>
                <w:sz w:val="12"/>
                <w:szCs w:val="12"/>
                <w:color w:val="0E1020"/>
              </w:rPr>
              <w:t>56,587</w:t>
            </w:r>
          </w:p>
        </w:tc>
        <w:tc>
          <w:tcPr>
            <w:tcW w:w="960" w:type="dxa"/>
            <w:vAlign w:val="bottom"/>
            <w:vMerge w:val="restart"/>
          </w:tcPr>
          <w:p>
            <w:pPr>
              <w:jc w:val="right"/>
              <w:ind w:right="202"/>
              <w:spacing w:after="0"/>
              <w:rPr>
                <w:sz w:val="20"/>
                <w:szCs w:val="20"/>
                <w:color w:val="auto"/>
              </w:rPr>
            </w:pPr>
            <w:r>
              <w:rPr>
                <w:rFonts w:ascii="Arial" w:cs="Arial" w:eastAsia="Arial" w:hAnsi="Arial"/>
                <w:sz w:val="12"/>
                <w:szCs w:val="12"/>
                <w:color w:val="0E1020"/>
              </w:rPr>
              <w:t>113,174</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0E1020"/>
              </w:rPr>
              <w:t>226,348</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960" w:type="dxa"/>
            <w:vAlign w:val="bottom"/>
            <w:vMerge w:val="restart"/>
          </w:tcPr>
          <w:p>
            <w:pPr>
              <w:jc w:val="right"/>
              <w:ind w:right="3"/>
              <w:spacing w:after="0"/>
              <w:rPr>
                <w:sz w:val="20"/>
                <w:szCs w:val="20"/>
                <w:color w:val="auto"/>
              </w:rPr>
            </w:pPr>
            <w:r>
              <w:rPr>
                <w:rFonts w:ascii="Arial" w:cs="Arial" w:eastAsia="Arial" w:hAnsi="Arial"/>
                <w:sz w:val="12"/>
                <w:szCs w:val="12"/>
                <w:color w:val="0E1020"/>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860" w:type="dxa"/>
            <w:vAlign w:val="bottom"/>
            <w:vMerge w:val="restart"/>
          </w:tcPr>
          <w:p>
            <w:pPr>
              <w:jc w:val="right"/>
              <w:ind w:right="3"/>
              <w:spacing w:after="0"/>
              <w:rPr>
                <w:sz w:val="20"/>
                <w:szCs w:val="20"/>
                <w:color w:val="auto"/>
              </w:rPr>
            </w:pPr>
            <w:r>
              <w:rPr>
                <w:rFonts w:ascii="Arial" w:cs="Arial" w:eastAsia="Arial" w:hAnsi="Arial"/>
                <w:sz w:val="12"/>
                <w:szCs w:val="12"/>
                <w:color w:val="0E1020"/>
              </w:rPr>
              <w:t>1,797,203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CFCFD2"/>
            </w:tcBorders>
          </w:tcPr>
          <w:p>
            <w:pPr>
              <w:ind w:left="80"/>
              <w:spacing w:after="0"/>
              <w:rPr>
                <w:sz w:val="20"/>
                <w:szCs w:val="20"/>
                <w:color w:val="auto"/>
              </w:rPr>
            </w:pPr>
            <w:r>
              <w:rPr>
                <w:rFonts w:ascii="Arial" w:cs="Arial" w:eastAsia="Arial" w:hAnsi="Arial"/>
                <w:sz w:val="12"/>
                <w:szCs w:val="12"/>
                <w:color w:val="0E1020"/>
              </w:rPr>
              <w:t>Performance</w:t>
            </w:r>
            <w:r>
              <w:rPr>
                <w:rFonts w:ascii="Arial" w:cs="Arial" w:eastAsia="Arial" w:hAnsi="Arial"/>
                <w:sz w:val="15"/>
                <w:szCs w:val="15"/>
                <w:color w:val="0E1020"/>
                <w:vertAlign w:val="superscript"/>
              </w:rPr>
              <w:t>(2)</w:t>
            </w:r>
          </w:p>
        </w:tc>
        <w:tc>
          <w:tcPr>
            <w:tcW w:w="540" w:type="dxa"/>
            <w:vAlign w:val="bottom"/>
            <w:tcBorders>
              <w:bottom w:val="single" w:sz="8" w:color="CFCFD2"/>
            </w:tcBorders>
            <w:vMerge w:val="continue"/>
          </w:tcPr>
          <w:p>
            <w:pPr>
              <w:spacing w:after="0"/>
              <w:rPr>
                <w:sz w:val="15"/>
                <w:szCs w:val="15"/>
                <w:color w:val="auto"/>
              </w:rPr>
            </w:pPr>
          </w:p>
        </w:tc>
        <w:tc>
          <w:tcPr>
            <w:tcW w:w="760" w:type="dxa"/>
            <w:vAlign w:val="bottom"/>
            <w:tcBorders>
              <w:bottom w:val="single" w:sz="8" w:color="CFCFD2"/>
            </w:tcBorders>
            <w:vMerge w:val="continue"/>
          </w:tcPr>
          <w:p>
            <w:pPr>
              <w:spacing w:after="0"/>
              <w:rPr>
                <w:sz w:val="15"/>
                <w:szCs w:val="15"/>
                <w:color w:val="auto"/>
              </w:rPr>
            </w:pPr>
          </w:p>
        </w:tc>
        <w:tc>
          <w:tcPr>
            <w:tcW w:w="860" w:type="dxa"/>
            <w:vAlign w:val="bottom"/>
            <w:tcBorders>
              <w:bottom w:val="single" w:sz="8" w:color="CFCFD2"/>
            </w:tcBorders>
            <w:vMerge w:val="continue"/>
          </w:tcPr>
          <w:p>
            <w:pPr>
              <w:spacing w:after="0"/>
              <w:rPr>
                <w:sz w:val="15"/>
                <w:szCs w:val="15"/>
                <w:color w:val="auto"/>
              </w:rPr>
            </w:pPr>
          </w:p>
        </w:tc>
        <w:tc>
          <w:tcPr>
            <w:tcW w:w="940" w:type="dxa"/>
            <w:vAlign w:val="bottom"/>
            <w:tcBorders>
              <w:bottom w:val="single" w:sz="8" w:color="CFCFD2"/>
            </w:tcBorders>
            <w:vMerge w:val="continue"/>
          </w:tcPr>
          <w:p>
            <w:pPr>
              <w:spacing w:after="0"/>
              <w:rPr>
                <w:sz w:val="15"/>
                <w:szCs w:val="15"/>
                <w:color w:val="auto"/>
              </w:rPr>
            </w:pPr>
          </w:p>
        </w:tc>
        <w:tc>
          <w:tcPr>
            <w:tcW w:w="800" w:type="dxa"/>
            <w:vAlign w:val="bottom"/>
            <w:tcBorders>
              <w:bottom w:val="single" w:sz="8" w:color="CFCFD2"/>
            </w:tcBorders>
            <w:gridSpan w:val="2"/>
            <w:vMerge w:val="continue"/>
          </w:tcPr>
          <w:p>
            <w:pPr>
              <w:spacing w:after="0"/>
              <w:rPr>
                <w:sz w:val="15"/>
                <w:szCs w:val="15"/>
                <w:color w:val="auto"/>
              </w:rPr>
            </w:pPr>
          </w:p>
        </w:tc>
        <w:tc>
          <w:tcPr>
            <w:tcW w:w="1020" w:type="dxa"/>
            <w:vAlign w:val="bottom"/>
            <w:tcBorders>
              <w:bottom w:val="single" w:sz="8" w:color="CFCFD2"/>
            </w:tcBorders>
            <w:vMerge w:val="continue"/>
          </w:tcPr>
          <w:p>
            <w:pPr>
              <w:spacing w:after="0"/>
              <w:rPr>
                <w:sz w:val="15"/>
                <w:szCs w:val="15"/>
                <w:color w:val="auto"/>
              </w:rPr>
            </w:pPr>
          </w:p>
        </w:tc>
        <w:tc>
          <w:tcPr>
            <w:tcW w:w="960" w:type="dxa"/>
            <w:vAlign w:val="bottom"/>
            <w:tcBorders>
              <w:bottom w:val="single" w:sz="8" w:color="CFCFD2"/>
            </w:tcBorders>
            <w:vMerge w:val="continue"/>
          </w:tcPr>
          <w:p>
            <w:pPr>
              <w:spacing w:after="0"/>
              <w:rPr>
                <w:sz w:val="15"/>
                <w:szCs w:val="15"/>
                <w:color w:val="auto"/>
              </w:rPr>
            </w:pPr>
          </w:p>
        </w:tc>
        <w:tc>
          <w:tcPr>
            <w:tcW w:w="620" w:type="dxa"/>
            <w:vAlign w:val="bottom"/>
            <w:tcBorders>
              <w:bottom w:val="single" w:sz="8" w:color="CFCFD2"/>
            </w:tcBorders>
            <w:vMerge w:val="continue"/>
          </w:tcPr>
          <w:p>
            <w:pPr>
              <w:spacing w:after="0"/>
              <w:rPr>
                <w:sz w:val="15"/>
                <w:szCs w:val="15"/>
                <w:color w:val="auto"/>
              </w:rPr>
            </w:pPr>
          </w:p>
        </w:tc>
        <w:tc>
          <w:tcPr>
            <w:tcW w:w="760" w:type="dxa"/>
            <w:vAlign w:val="bottom"/>
            <w:tcBorders>
              <w:bottom w:val="single" w:sz="8" w:color="CFCFD2"/>
            </w:tcBorders>
            <w:vMerge w:val="continue"/>
          </w:tcPr>
          <w:p>
            <w:pPr>
              <w:spacing w:after="0"/>
              <w:rPr>
                <w:sz w:val="15"/>
                <w:szCs w:val="15"/>
                <w:color w:val="auto"/>
              </w:rPr>
            </w:pPr>
          </w:p>
        </w:tc>
        <w:tc>
          <w:tcPr>
            <w:tcW w:w="960" w:type="dxa"/>
            <w:vAlign w:val="bottom"/>
            <w:tcBorders>
              <w:bottom w:val="single" w:sz="8" w:color="CFCFD2"/>
            </w:tcBorders>
            <w:vMerge w:val="continue"/>
          </w:tcPr>
          <w:p>
            <w:pPr>
              <w:spacing w:after="0"/>
              <w:rPr>
                <w:sz w:val="15"/>
                <w:szCs w:val="15"/>
                <w:color w:val="auto"/>
              </w:rPr>
            </w:pPr>
          </w:p>
        </w:tc>
        <w:tc>
          <w:tcPr>
            <w:tcW w:w="720" w:type="dxa"/>
            <w:vAlign w:val="bottom"/>
            <w:tcBorders>
              <w:bottom w:val="single" w:sz="8" w:color="CFCFD2"/>
            </w:tcBorders>
            <w:vMerge w:val="continue"/>
          </w:tcPr>
          <w:p>
            <w:pPr>
              <w:spacing w:after="0"/>
              <w:rPr>
                <w:sz w:val="15"/>
                <w:szCs w:val="15"/>
                <w:color w:val="auto"/>
              </w:rPr>
            </w:pPr>
          </w:p>
        </w:tc>
        <w:tc>
          <w:tcPr>
            <w:tcW w:w="860" w:type="dxa"/>
            <w:vAlign w:val="bottom"/>
            <w:tcBorders>
              <w:bottom w:val="single" w:sz="8" w:color="CFCFD2"/>
            </w:tcBorders>
            <w:vMerge w:val="continue"/>
          </w:tcPr>
          <w:p>
            <w:pPr>
              <w:spacing w:after="0"/>
              <w:rPr>
                <w:sz w:val="15"/>
                <w:szCs w:val="15"/>
                <w:color w:val="auto"/>
              </w:rPr>
            </w:pPr>
          </w:p>
        </w:tc>
        <w:tc>
          <w:tcPr>
            <w:tcW w:w="140" w:type="dxa"/>
            <w:vAlign w:val="bottom"/>
            <w:tcBorders>
              <w:bottom w:val="single" w:sz="8" w:color="CFCFD2"/>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300" w:type="dxa"/>
            <w:vAlign w:val="bottom"/>
          </w:tcPr>
          <w:p>
            <w:pPr>
              <w:ind w:left="80"/>
              <w:spacing w:after="0"/>
              <w:rPr>
                <w:sz w:val="20"/>
                <w:szCs w:val="20"/>
                <w:color w:val="auto"/>
              </w:rPr>
            </w:pPr>
            <w:r>
              <w:rPr>
                <w:rFonts w:ascii="Arial" w:cs="Arial" w:eastAsia="Arial" w:hAnsi="Arial"/>
                <w:sz w:val="12"/>
                <w:szCs w:val="12"/>
                <w:color w:val="0E1020"/>
              </w:rPr>
              <w:t>RSUs – Time-</w:t>
            </w:r>
          </w:p>
        </w:tc>
        <w:tc>
          <w:tcPr>
            <w:tcW w:w="540" w:type="dxa"/>
            <w:vAlign w:val="bottom"/>
            <w:vMerge w:val="restart"/>
          </w:tcPr>
          <w:p>
            <w:pPr>
              <w:jc w:val="center"/>
              <w:ind w:right="62"/>
              <w:spacing w:after="0"/>
              <w:rPr>
                <w:sz w:val="20"/>
                <w:szCs w:val="20"/>
                <w:color w:val="auto"/>
              </w:rPr>
            </w:pPr>
            <w:r>
              <w:rPr>
                <w:rFonts w:ascii="Arial" w:cs="Arial" w:eastAsia="Arial" w:hAnsi="Arial"/>
                <w:sz w:val="12"/>
                <w:szCs w:val="12"/>
                <w:color w:val="0E1020"/>
                <w:w w:val="94"/>
              </w:rPr>
              <w:t>5/16/25</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E1020"/>
                <w:w w:val="99"/>
              </w:rPr>
              <w:t>5/13/25</w:t>
            </w:r>
          </w:p>
        </w:tc>
        <w:tc>
          <w:tcPr>
            <w:tcW w:w="860" w:type="dxa"/>
            <w:vAlign w:val="bottom"/>
            <w:vMerge w:val="restart"/>
          </w:tcPr>
          <w:p>
            <w:pPr>
              <w:jc w:val="right"/>
              <w:ind w:right="2"/>
              <w:spacing w:after="0"/>
              <w:rPr>
                <w:sz w:val="20"/>
                <w:szCs w:val="20"/>
                <w:color w:val="auto"/>
              </w:rPr>
            </w:pPr>
            <w:r>
              <w:rPr>
                <w:rFonts w:ascii="Arial" w:cs="Arial" w:eastAsia="Arial" w:hAnsi="Arial"/>
                <w:sz w:val="12"/>
                <w:szCs w:val="12"/>
                <w:color w:val="0E1020"/>
              </w:rPr>
              <w:t>—</w:t>
            </w:r>
          </w:p>
        </w:tc>
        <w:tc>
          <w:tcPr>
            <w:tcW w:w="940" w:type="dxa"/>
            <w:vAlign w:val="bottom"/>
            <w:vMerge w:val="restart"/>
          </w:tcPr>
          <w:p>
            <w:pPr>
              <w:jc w:val="right"/>
              <w:ind w:right="102"/>
              <w:spacing w:after="0"/>
              <w:rPr>
                <w:sz w:val="20"/>
                <w:szCs w:val="20"/>
                <w:color w:val="auto"/>
              </w:rPr>
            </w:pPr>
            <w:r>
              <w:rPr>
                <w:rFonts w:ascii="Arial" w:cs="Arial" w:eastAsia="Arial" w:hAnsi="Arial"/>
                <w:sz w:val="12"/>
                <w:szCs w:val="12"/>
                <w:color w:val="0E1020"/>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0E1020"/>
              </w:rPr>
              <w:t>—</w:t>
            </w:r>
          </w:p>
        </w:tc>
        <w:tc>
          <w:tcPr>
            <w:tcW w:w="1020" w:type="dxa"/>
            <w:vAlign w:val="bottom"/>
            <w:vMerge w:val="restart"/>
          </w:tcPr>
          <w:p>
            <w:pPr>
              <w:jc w:val="right"/>
              <w:ind w:right="122"/>
              <w:spacing w:after="0"/>
              <w:rPr>
                <w:sz w:val="20"/>
                <w:szCs w:val="20"/>
                <w:color w:val="auto"/>
              </w:rPr>
            </w:pPr>
            <w:r>
              <w:rPr>
                <w:rFonts w:ascii="Arial" w:cs="Arial" w:eastAsia="Arial" w:hAnsi="Arial"/>
                <w:sz w:val="12"/>
                <w:szCs w:val="12"/>
                <w:color w:val="0E1020"/>
              </w:rPr>
              <w:t>—</w:t>
            </w:r>
          </w:p>
        </w:tc>
        <w:tc>
          <w:tcPr>
            <w:tcW w:w="960" w:type="dxa"/>
            <w:vAlign w:val="bottom"/>
            <w:vMerge w:val="restart"/>
          </w:tcPr>
          <w:p>
            <w:pPr>
              <w:jc w:val="right"/>
              <w:ind w:right="202"/>
              <w:spacing w:after="0"/>
              <w:rPr>
                <w:sz w:val="20"/>
                <w:szCs w:val="20"/>
                <w:color w:val="auto"/>
              </w:rPr>
            </w:pPr>
            <w:r>
              <w:rPr>
                <w:rFonts w:ascii="Arial" w:cs="Arial" w:eastAsia="Arial" w:hAnsi="Arial"/>
                <w:sz w:val="12"/>
                <w:szCs w:val="12"/>
                <w:color w:val="0E1020"/>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0E1020"/>
              </w:rPr>
              <w:t>75,449</w:t>
            </w:r>
          </w:p>
        </w:tc>
        <w:tc>
          <w:tcPr>
            <w:tcW w:w="960" w:type="dxa"/>
            <w:vAlign w:val="bottom"/>
            <w:vMerge w:val="restart"/>
          </w:tcPr>
          <w:p>
            <w:pPr>
              <w:jc w:val="right"/>
              <w:ind w:right="3"/>
              <w:spacing w:after="0"/>
              <w:rPr>
                <w:sz w:val="20"/>
                <w:szCs w:val="20"/>
                <w:color w:val="auto"/>
              </w:rPr>
            </w:pPr>
            <w:r>
              <w:rPr>
                <w:rFonts w:ascii="Arial" w:cs="Arial" w:eastAsia="Arial" w:hAnsi="Arial"/>
                <w:sz w:val="12"/>
                <w:szCs w:val="12"/>
                <w:color w:val="0E1020"/>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860" w:type="dxa"/>
            <w:vAlign w:val="bottom"/>
            <w:vMerge w:val="restart"/>
          </w:tcPr>
          <w:p>
            <w:pPr>
              <w:jc w:val="right"/>
              <w:ind w:right="3"/>
              <w:spacing w:after="0"/>
              <w:rPr>
                <w:sz w:val="20"/>
                <w:szCs w:val="20"/>
                <w:color w:val="auto"/>
              </w:rPr>
            </w:pPr>
            <w:r>
              <w:rPr>
                <w:rFonts w:ascii="Arial" w:cs="Arial" w:eastAsia="Arial" w:hAnsi="Arial"/>
                <w:sz w:val="12"/>
                <w:szCs w:val="12"/>
                <w:color w:val="0E1020"/>
              </w:rPr>
              <w:t>1,152,106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CFCFD2"/>
            </w:tcBorders>
          </w:tcPr>
          <w:p>
            <w:pPr>
              <w:ind w:left="80"/>
              <w:spacing w:after="0"/>
              <w:rPr>
                <w:sz w:val="20"/>
                <w:szCs w:val="20"/>
                <w:color w:val="auto"/>
              </w:rPr>
            </w:pPr>
            <w:r>
              <w:rPr>
                <w:rFonts w:ascii="Arial" w:cs="Arial" w:eastAsia="Arial" w:hAnsi="Arial"/>
                <w:sz w:val="12"/>
                <w:szCs w:val="12"/>
                <w:color w:val="0E1020"/>
              </w:rPr>
              <w:t>Based</w:t>
            </w:r>
            <w:r>
              <w:rPr>
                <w:rFonts w:ascii="Arial" w:cs="Arial" w:eastAsia="Arial" w:hAnsi="Arial"/>
                <w:sz w:val="15"/>
                <w:szCs w:val="15"/>
                <w:color w:val="0E1020"/>
                <w:vertAlign w:val="superscript"/>
              </w:rPr>
              <w:t>(3)</w:t>
            </w:r>
          </w:p>
        </w:tc>
        <w:tc>
          <w:tcPr>
            <w:tcW w:w="540" w:type="dxa"/>
            <w:vAlign w:val="bottom"/>
            <w:tcBorders>
              <w:bottom w:val="single" w:sz="8" w:color="CFCFD2"/>
            </w:tcBorders>
            <w:vMerge w:val="continue"/>
          </w:tcPr>
          <w:p>
            <w:pPr>
              <w:spacing w:after="0"/>
              <w:rPr>
                <w:sz w:val="15"/>
                <w:szCs w:val="15"/>
                <w:color w:val="auto"/>
              </w:rPr>
            </w:pPr>
          </w:p>
        </w:tc>
        <w:tc>
          <w:tcPr>
            <w:tcW w:w="760" w:type="dxa"/>
            <w:vAlign w:val="bottom"/>
            <w:tcBorders>
              <w:bottom w:val="single" w:sz="8" w:color="CFCFD2"/>
            </w:tcBorders>
            <w:vMerge w:val="continue"/>
          </w:tcPr>
          <w:p>
            <w:pPr>
              <w:spacing w:after="0"/>
              <w:rPr>
                <w:sz w:val="15"/>
                <w:szCs w:val="15"/>
                <w:color w:val="auto"/>
              </w:rPr>
            </w:pPr>
          </w:p>
        </w:tc>
        <w:tc>
          <w:tcPr>
            <w:tcW w:w="860" w:type="dxa"/>
            <w:vAlign w:val="bottom"/>
            <w:tcBorders>
              <w:bottom w:val="single" w:sz="8" w:color="CFCFD2"/>
            </w:tcBorders>
            <w:vMerge w:val="continue"/>
          </w:tcPr>
          <w:p>
            <w:pPr>
              <w:spacing w:after="0"/>
              <w:rPr>
                <w:sz w:val="15"/>
                <w:szCs w:val="15"/>
                <w:color w:val="auto"/>
              </w:rPr>
            </w:pPr>
          </w:p>
        </w:tc>
        <w:tc>
          <w:tcPr>
            <w:tcW w:w="940" w:type="dxa"/>
            <w:vAlign w:val="bottom"/>
            <w:tcBorders>
              <w:bottom w:val="single" w:sz="8" w:color="CFCFD2"/>
            </w:tcBorders>
            <w:vMerge w:val="continue"/>
          </w:tcPr>
          <w:p>
            <w:pPr>
              <w:spacing w:after="0"/>
              <w:rPr>
                <w:sz w:val="15"/>
                <w:szCs w:val="15"/>
                <w:color w:val="auto"/>
              </w:rPr>
            </w:pPr>
          </w:p>
        </w:tc>
        <w:tc>
          <w:tcPr>
            <w:tcW w:w="800" w:type="dxa"/>
            <w:vAlign w:val="bottom"/>
            <w:tcBorders>
              <w:bottom w:val="single" w:sz="8" w:color="CFCFD2"/>
            </w:tcBorders>
            <w:gridSpan w:val="2"/>
            <w:vMerge w:val="continue"/>
          </w:tcPr>
          <w:p>
            <w:pPr>
              <w:spacing w:after="0"/>
              <w:rPr>
                <w:sz w:val="15"/>
                <w:szCs w:val="15"/>
                <w:color w:val="auto"/>
              </w:rPr>
            </w:pPr>
          </w:p>
        </w:tc>
        <w:tc>
          <w:tcPr>
            <w:tcW w:w="1020" w:type="dxa"/>
            <w:vAlign w:val="bottom"/>
            <w:tcBorders>
              <w:bottom w:val="single" w:sz="8" w:color="CFCFD2"/>
            </w:tcBorders>
            <w:vMerge w:val="continue"/>
          </w:tcPr>
          <w:p>
            <w:pPr>
              <w:spacing w:after="0"/>
              <w:rPr>
                <w:sz w:val="15"/>
                <w:szCs w:val="15"/>
                <w:color w:val="auto"/>
              </w:rPr>
            </w:pPr>
          </w:p>
        </w:tc>
        <w:tc>
          <w:tcPr>
            <w:tcW w:w="960" w:type="dxa"/>
            <w:vAlign w:val="bottom"/>
            <w:tcBorders>
              <w:bottom w:val="single" w:sz="8" w:color="CFCFD2"/>
            </w:tcBorders>
            <w:vMerge w:val="continue"/>
          </w:tcPr>
          <w:p>
            <w:pPr>
              <w:spacing w:after="0"/>
              <w:rPr>
                <w:sz w:val="15"/>
                <w:szCs w:val="15"/>
                <w:color w:val="auto"/>
              </w:rPr>
            </w:pPr>
          </w:p>
        </w:tc>
        <w:tc>
          <w:tcPr>
            <w:tcW w:w="620" w:type="dxa"/>
            <w:vAlign w:val="bottom"/>
            <w:tcBorders>
              <w:bottom w:val="single" w:sz="8" w:color="CFCFD2"/>
            </w:tcBorders>
            <w:vMerge w:val="continue"/>
          </w:tcPr>
          <w:p>
            <w:pPr>
              <w:spacing w:after="0"/>
              <w:rPr>
                <w:sz w:val="15"/>
                <w:szCs w:val="15"/>
                <w:color w:val="auto"/>
              </w:rPr>
            </w:pPr>
          </w:p>
        </w:tc>
        <w:tc>
          <w:tcPr>
            <w:tcW w:w="760" w:type="dxa"/>
            <w:vAlign w:val="bottom"/>
            <w:tcBorders>
              <w:bottom w:val="single" w:sz="8" w:color="CFCFD2"/>
            </w:tcBorders>
            <w:vMerge w:val="continue"/>
          </w:tcPr>
          <w:p>
            <w:pPr>
              <w:spacing w:after="0"/>
              <w:rPr>
                <w:sz w:val="15"/>
                <w:szCs w:val="15"/>
                <w:color w:val="auto"/>
              </w:rPr>
            </w:pPr>
          </w:p>
        </w:tc>
        <w:tc>
          <w:tcPr>
            <w:tcW w:w="960" w:type="dxa"/>
            <w:vAlign w:val="bottom"/>
            <w:tcBorders>
              <w:bottom w:val="single" w:sz="8" w:color="CFCFD2"/>
            </w:tcBorders>
            <w:vMerge w:val="continue"/>
          </w:tcPr>
          <w:p>
            <w:pPr>
              <w:spacing w:after="0"/>
              <w:rPr>
                <w:sz w:val="15"/>
                <w:szCs w:val="15"/>
                <w:color w:val="auto"/>
              </w:rPr>
            </w:pPr>
          </w:p>
        </w:tc>
        <w:tc>
          <w:tcPr>
            <w:tcW w:w="720" w:type="dxa"/>
            <w:vAlign w:val="bottom"/>
            <w:tcBorders>
              <w:bottom w:val="single" w:sz="8" w:color="CFCFD2"/>
            </w:tcBorders>
            <w:vMerge w:val="continue"/>
          </w:tcPr>
          <w:p>
            <w:pPr>
              <w:spacing w:after="0"/>
              <w:rPr>
                <w:sz w:val="15"/>
                <w:szCs w:val="15"/>
                <w:color w:val="auto"/>
              </w:rPr>
            </w:pPr>
          </w:p>
        </w:tc>
        <w:tc>
          <w:tcPr>
            <w:tcW w:w="860" w:type="dxa"/>
            <w:vAlign w:val="bottom"/>
            <w:tcBorders>
              <w:bottom w:val="single" w:sz="8" w:color="CFCFD2"/>
            </w:tcBorders>
            <w:vMerge w:val="continue"/>
          </w:tcPr>
          <w:p>
            <w:pPr>
              <w:spacing w:after="0"/>
              <w:rPr>
                <w:sz w:val="15"/>
                <w:szCs w:val="15"/>
                <w:color w:val="auto"/>
              </w:rPr>
            </w:pPr>
          </w:p>
        </w:tc>
        <w:tc>
          <w:tcPr>
            <w:tcW w:w="140" w:type="dxa"/>
            <w:vAlign w:val="bottom"/>
            <w:tcBorders>
              <w:bottom w:val="single" w:sz="8" w:color="CFCFD2"/>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00" w:type="dxa"/>
            <w:vAlign w:val="bottom"/>
            <w:tcBorders>
              <w:bottom w:val="single" w:sz="8" w:color="CFCFD2"/>
            </w:tcBorders>
          </w:tcPr>
          <w:p>
            <w:pPr>
              <w:ind w:left="80"/>
              <w:spacing w:after="0"/>
              <w:rPr>
                <w:sz w:val="20"/>
                <w:szCs w:val="20"/>
                <w:color w:val="auto"/>
              </w:rPr>
            </w:pPr>
            <w:r>
              <w:rPr>
                <w:rFonts w:ascii="Arial" w:cs="Arial" w:eastAsia="Arial" w:hAnsi="Arial"/>
                <w:sz w:val="12"/>
                <w:szCs w:val="12"/>
                <w:color w:val="0E1020"/>
              </w:rPr>
              <w:t>RSUs – Retention</w:t>
            </w:r>
            <w:r>
              <w:rPr>
                <w:rFonts w:ascii="Arial" w:cs="Arial" w:eastAsia="Arial" w:hAnsi="Arial"/>
                <w:sz w:val="15"/>
                <w:szCs w:val="15"/>
                <w:color w:val="0E1020"/>
                <w:vertAlign w:val="superscript"/>
              </w:rPr>
              <w:t>(3)</w:t>
            </w:r>
          </w:p>
        </w:tc>
        <w:tc>
          <w:tcPr>
            <w:tcW w:w="540" w:type="dxa"/>
            <w:vAlign w:val="bottom"/>
            <w:tcBorders>
              <w:bottom w:val="single" w:sz="8" w:color="CFCFD2"/>
            </w:tcBorders>
          </w:tcPr>
          <w:p>
            <w:pPr>
              <w:jc w:val="center"/>
              <w:ind w:right="62"/>
              <w:spacing w:after="0"/>
              <w:rPr>
                <w:sz w:val="20"/>
                <w:szCs w:val="20"/>
                <w:color w:val="auto"/>
              </w:rPr>
            </w:pPr>
            <w:r>
              <w:rPr>
                <w:rFonts w:ascii="Arial" w:cs="Arial" w:eastAsia="Arial" w:hAnsi="Arial"/>
                <w:sz w:val="12"/>
                <w:szCs w:val="12"/>
                <w:color w:val="0E1020"/>
                <w:w w:val="94"/>
              </w:rPr>
              <w:t>6/16/25</w:t>
            </w:r>
          </w:p>
        </w:tc>
        <w:tc>
          <w:tcPr>
            <w:tcW w:w="760" w:type="dxa"/>
            <w:vAlign w:val="bottom"/>
            <w:tcBorders>
              <w:bottom w:val="single" w:sz="8" w:color="CFCFD2"/>
            </w:tcBorders>
          </w:tcPr>
          <w:p>
            <w:pPr>
              <w:jc w:val="center"/>
              <w:spacing w:after="0"/>
              <w:rPr>
                <w:sz w:val="20"/>
                <w:szCs w:val="20"/>
                <w:color w:val="auto"/>
              </w:rPr>
            </w:pPr>
            <w:r>
              <w:rPr>
                <w:rFonts w:ascii="Arial" w:cs="Arial" w:eastAsia="Arial" w:hAnsi="Arial"/>
                <w:sz w:val="12"/>
                <w:szCs w:val="12"/>
                <w:color w:val="0E1020"/>
                <w:w w:val="99"/>
              </w:rPr>
              <w:t>5/13/25</w:t>
            </w:r>
          </w:p>
        </w:tc>
        <w:tc>
          <w:tcPr>
            <w:tcW w:w="860" w:type="dxa"/>
            <w:vAlign w:val="bottom"/>
            <w:tcBorders>
              <w:bottom w:val="single" w:sz="8" w:color="CFCFD2"/>
            </w:tcBorders>
          </w:tcPr>
          <w:p>
            <w:pPr>
              <w:jc w:val="right"/>
              <w:ind w:right="2"/>
              <w:spacing w:after="0"/>
              <w:rPr>
                <w:sz w:val="20"/>
                <w:szCs w:val="20"/>
                <w:color w:val="auto"/>
              </w:rPr>
            </w:pPr>
            <w:r>
              <w:rPr>
                <w:rFonts w:ascii="Arial" w:cs="Arial" w:eastAsia="Arial" w:hAnsi="Arial"/>
                <w:sz w:val="12"/>
                <w:szCs w:val="12"/>
                <w:color w:val="0E1020"/>
              </w:rPr>
              <w:t>—</w:t>
            </w:r>
          </w:p>
        </w:tc>
        <w:tc>
          <w:tcPr>
            <w:tcW w:w="940" w:type="dxa"/>
            <w:vAlign w:val="bottom"/>
            <w:tcBorders>
              <w:bottom w:val="single" w:sz="8" w:color="CFCFD2"/>
            </w:tcBorders>
          </w:tcPr>
          <w:p>
            <w:pPr>
              <w:jc w:val="right"/>
              <w:ind w:right="102"/>
              <w:spacing w:after="0"/>
              <w:rPr>
                <w:sz w:val="20"/>
                <w:szCs w:val="20"/>
                <w:color w:val="auto"/>
              </w:rPr>
            </w:pPr>
            <w:r>
              <w:rPr>
                <w:rFonts w:ascii="Arial" w:cs="Arial" w:eastAsia="Arial" w:hAnsi="Arial"/>
                <w:sz w:val="12"/>
                <w:szCs w:val="12"/>
                <w:color w:val="0E1020"/>
              </w:rPr>
              <w:t>—</w:t>
            </w:r>
          </w:p>
        </w:tc>
        <w:tc>
          <w:tcPr>
            <w:tcW w:w="800" w:type="dxa"/>
            <w:vAlign w:val="bottom"/>
            <w:tcBorders>
              <w:bottom w:val="single" w:sz="8" w:color="CFCFD2"/>
            </w:tcBorders>
            <w:gridSpan w:val="2"/>
          </w:tcPr>
          <w:p>
            <w:pPr>
              <w:jc w:val="right"/>
              <w:ind w:right="140"/>
              <w:spacing w:after="0"/>
              <w:rPr>
                <w:sz w:val="20"/>
                <w:szCs w:val="20"/>
                <w:color w:val="auto"/>
              </w:rPr>
            </w:pPr>
            <w:r>
              <w:rPr>
                <w:rFonts w:ascii="Arial" w:cs="Arial" w:eastAsia="Arial" w:hAnsi="Arial"/>
                <w:sz w:val="12"/>
                <w:szCs w:val="12"/>
                <w:color w:val="0E1020"/>
              </w:rPr>
              <w:t>—</w:t>
            </w:r>
          </w:p>
        </w:tc>
        <w:tc>
          <w:tcPr>
            <w:tcW w:w="1020" w:type="dxa"/>
            <w:vAlign w:val="bottom"/>
            <w:tcBorders>
              <w:bottom w:val="single" w:sz="8" w:color="CFCFD2"/>
            </w:tcBorders>
          </w:tcPr>
          <w:p>
            <w:pPr>
              <w:jc w:val="right"/>
              <w:ind w:right="122"/>
              <w:spacing w:after="0"/>
              <w:rPr>
                <w:sz w:val="20"/>
                <w:szCs w:val="20"/>
                <w:color w:val="auto"/>
              </w:rPr>
            </w:pPr>
            <w:r>
              <w:rPr>
                <w:rFonts w:ascii="Arial" w:cs="Arial" w:eastAsia="Arial" w:hAnsi="Arial"/>
                <w:sz w:val="12"/>
                <w:szCs w:val="12"/>
                <w:color w:val="0E1020"/>
              </w:rPr>
              <w:t>—</w:t>
            </w:r>
          </w:p>
        </w:tc>
        <w:tc>
          <w:tcPr>
            <w:tcW w:w="960" w:type="dxa"/>
            <w:vAlign w:val="bottom"/>
            <w:tcBorders>
              <w:bottom w:val="single" w:sz="8" w:color="CFCFD2"/>
            </w:tcBorders>
          </w:tcPr>
          <w:p>
            <w:pPr>
              <w:jc w:val="right"/>
              <w:ind w:right="202"/>
              <w:spacing w:after="0"/>
              <w:rPr>
                <w:sz w:val="20"/>
                <w:szCs w:val="20"/>
                <w:color w:val="auto"/>
              </w:rPr>
            </w:pPr>
            <w:r>
              <w:rPr>
                <w:rFonts w:ascii="Arial" w:cs="Arial" w:eastAsia="Arial" w:hAnsi="Arial"/>
                <w:sz w:val="12"/>
                <w:szCs w:val="12"/>
                <w:color w:val="0E1020"/>
              </w:rPr>
              <w:t>—</w:t>
            </w:r>
          </w:p>
        </w:tc>
        <w:tc>
          <w:tcPr>
            <w:tcW w:w="620" w:type="dxa"/>
            <w:vAlign w:val="bottom"/>
            <w:tcBorders>
              <w:bottom w:val="single" w:sz="8" w:color="CFCFD2"/>
            </w:tcBorders>
          </w:tcPr>
          <w:p>
            <w:pPr>
              <w:jc w:val="right"/>
              <w:spacing w:after="0"/>
              <w:rPr>
                <w:sz w:val="20"/>
                <w:szCs w:val="20"/>
                <w:color w:val="auto"/>
              </w:rPr>
            </w:pPr>
            <w:r>
              <w:rPr>
                <w:rFonts w:ascii="Arial" w:cs="Arial" w:eastAsia="Arial" w:hAnsi="Arial"/>
                <w:sz w:val="12"/>
                <w:szCs w:val="12"/>
                <w:color w:val="0E1020"/>
              </w:rPr>
              <w:t>—</w:t>
            </w:r>
          </w:p>
        </w:tc>
        <w:tc>
          <w:tcPr>
            <w:tcW w:w="760" w:type="dxa"/>
            <w:vAlign w:val="bottom"/>
            <w:tcBorders>
              <w:bottom w:val="single" w:sz="8" w:color="CFCFD2"/>
            </w:tcBorders>
          </w:tcPr>
          <w:p>
            <w:pPr>
              <w:jc w:val="right"/>
              <w:spacing w:after="0"/>
              <w:rPr>
                <w:sz w:val="20"/>
                <w:szCs w:val="20"/>
                <w:color w:val="auto"/>
              </w:rPr>
            </w:pPr>
            <w:r>
              <w:rPr>
                <w:rFonts w:ascii="Arial" w:cs="Arial" w:eastAsia="Arial" w:hAnsi="Arial"/>
                <w:sz w:val="12"/>
                <w:szCs w:val="12"/>
                <w:color w:val="0E1020"/>
              </w:rPr>
              <w:t>95,238</w:t>
            </w:r>
          </w:p>
        </w:tc>
        <w:tc>
          <w:tcPr>
            <w:tcW w:w="960" w:type="dxa"/>
            <w:vAlign w:val="bottom"/>
            <w:tcBorders>
              <w:bottom w:val="single" w:sz="8" w:color="CFCFD2"/>
            </w:tcBorders>
          </w:tcPr>
          <w:p>
            <w:pPr>
              <w:jc w:val="right"/>
              <w:ind w:right="3"/>
              <w:spacing w:after="0"/>
              <w:rPr>
                <w:sz w:val="20"/>
                <w:szCs w:val="20"/>
                <w:color w:val="auto"/>
              </w:rPr>
            </w:pPr>
            <w:r>
              <w:rPr>
                <w:rFonts w:ascii="Arial" w:cs="Arial" w:eastAsia="Arial" w:hAnsi="Arial"/>
                <w:sz w:val="12"/>
                <w:szCs w:val="12"/>
                <w:color w:val="0E1020"/>
              </w:rPr>
              <w:t>—</w:t>
            </w:r>
          </w:p>
        </w:tc>
        <w:tc>
          <w:tcPr>
            <w:tcW w:w="720" w:type="dxa"/>
            <w:vAlign w:val="bottom"/>
            <w:tcBorders>
              <w:bottom w:val="single" w:sz="8" w:color="CFCFD2"/>
            </w:tcBorders>
          </w:tcPr>
          <w:p>
            <w:pPr>
              <w:jc w:val="right"/>
              <w:spacing w:after="0"/>
              <w:rPr>
                <w:sz w:val="20"/>
                <w:szCs w:val="20"/>
                <w:color w:val="auto"/>
              </w:rPr>
            </w:pPr>
            <w:r>
              <w:rPr>
                <w:rFonts w:ascii="Arial" w:cs="Arial" w:eastAsia="Arial" w:hAnsi="Arial"/>
                <w:sz w:val="12"/>
                <w:szCs w:val="12"/>
                <w:color w:val="0E1020"/>
              </w:rPr>
              <w:t>—</w:t>
            </w:r>
          </w:p>
        </w:tc>
        <w:tc>
          <w:tcPr>
            <w:tcW w:w="860" w:type="dxa"/>
            <w:vAlign w:val="bottom"/>
            <w:tcBorders>
              <w:bottom w:val="single" w:sz="8" w:color="CFCFD2"/>
            </w:tcBorders>
          </w:tcPr>
          <w:p>
            <w:pPr>
              <w:jc w:val="right"/>
              <w:ind w:right="3"/>
              <w:spacing w:after="0"/>
              <w:rPr>
                <w:sz w:val="20"/>
                <w:szCs w:val="20"/>
                <w:color w:val="auto"/>
              </w:rPr>
            </w:pPr>
            <w:r>
              <w:rPr>
                <w:rFonts w:ascii="Arial" w:cs="Arial" w:eastAsia="Arial" w:hAnsi="Arial"/>
                <w:sz w:val="12"/>
                <w:szCs w:val="12"/>
                <w:color w:val="0E1020"/>
              </w:rPr>
              <w:t>1,512,379</w:t>
            </w:r>
          </w:p>
        </w:tc>
        <w:tc>
          <w:tcPr>
            <w:tcW w:w="140" w:type="dxa"/>
            <w:vAlign w:val="bottom"/>
            <w:tcBorders>
              <w:bottom w:val="single" w:sz="8" w:color="CFCFD2"/>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00" w:type="dxa"/>
            <w:vAlign w:val="bottom"/>
            <w:tcBorders>
              <w:bottom w:val="single" w:sz="8" w:color="CFCFD2"/>
            </w:tcBorders>
          </w:tcPr>
          <w:p>
            <w:pPr>
              <w:ind w:left="80"/>
              <w:spacing w:after="0"/>
              <w:rPr>
                <w:sz w:val="20"/>
                <w:szCs w:val="20"/>
                <w:color w:val="auto"/>
              </w:rPr>
            </w:pPr>
            <w:r>
              <w:rPr>
                <w:rFonts w:ascii="Arial" w:cs="Arial" w:eastAsia="Arial" w:hAnsi="Arial"/>
                <w:sz w:val="12"/>
                <w:szCs w:val="12"/>
                <w:b w:val="1"/>
                <w:bCs w:val="1"/>
                <w:color w:val="004AAC"/>
              </w:rPr>
              <w:t>Matthew K. Fawcett</w:t>
            </w:r>
          </w:p>
        </w:tc>
        <w:tc>
          <w:tcPr>
            <w:tcW w:w="540" w:type="dxa"/>
            <w:vAlign w:val="bottom"/>
            <w:tcBorders>
              <w:bottom w:val="single" w:sz="8" w:color="CFCFD2"/>
            </w:tcBorders>
          </w:tcPr>
          <w:p>
            <w:pPr>
              <w:spacing w:after="0"/>
              <w:rPr>
                <w:sz w:val="15"/>
                <w:szCs w:val="15"/>
                <w:color w:val="auto"/>
              </w:rPr>
            </w:pPr>
          </w:p>
        </w:tc>
        <w:tc>
          <w:tcPr>
            <w:tcW w:w="760" w:type="dxa"/>
            <w:vAlign w:val="bottom"/>
            <w:tcBorders>
              <w:bottom w:val="single" w:sz="8" w:color="CFCFD2"/>
            </w:tcBorders>
          </w:tcPr>
          <w:p>
            <w:pPr>
              <w:spacing w:after="0"/>
              <w:rPr>
                <w:sz w:val="15"/>
                <w:szCs w:val="15"/>
                <w:color w:val="auto"/>
              </w:rPr>
            </w:pPr>
          </w:p>
        </w:tc>
        <w:tc>
          <w:tcPr>
            <w:tcW w:w="860" w:type="dxa"/>
            <w:vAlign w:val="bottom"/>
            <w:tcBorders>
              <w:bottom w:val="single" w:sz="8" w:color="CFCFD2"/>
            </w:tcBorders>
          </w:tcPr>
          <w:p>
            <w:pPr>
              <w:spacing w:after="0"/>
              <w:rPr>
                <w:sz w:val="15"/>
                <w:szCs w:val="15"/>
                <w:color w:val="auto"/>
              </w:rPr>
            </w:pPr>
          </w:p>
        </w:tc>
        <w:tc>
          <w:tcPr>
            <w:tcW w:w="940" w:type="dxa"/>
            <w:vAlign w:val="bottom"/>
            <w:tcBorders>
              <w:bottom w:val="single" w:sz="8" w:color="CFCFD2"/>
            </w:tcBorders>
          </w:tcPr>
          <w:p>
            <w:pPr>
              <w:spacing w:after="0"/>
              <w:rPr>
                <w:sz w:val="15"/>
                <w:szCs w:val="15"/>
                <w:color w:val="auto"/>
              </w:rPr>
            </w:pPr>
          </w:p>
        </w:tc>
        <w:tc>
          <w:tcPr>
            <w:tcW w:w="720" w:type="dxa"/>
            <w:vAlign w:val="bottom"/>
            <w:tcBorders>
              <w:bottom w:val="single" w:sz="8" w:color="CFCFD2"/>
            </w:tcBorders>
          </w:tcPr>
          <w:p>
            <w:pPr>
              <w:spacing w:after="0"/>
              <w:rPr>
                <w:sz w:val="15"/>
                <w:szCs w:val="15"/>
                <w:color w:val="auto"/>
              </w:rPr>
            </w:pPr>
          </w:p>
        </w:tc>
        <w:tc>
          <w:tcPr>
            <w:tcW w:w="80" w:type="dxa"/>
            <w:vAlign w:val="bottom"/>
            <w:tcBorders>
              <w:bottom w:val="single" w:sz="8" w:color="CFCFD2"/>
            </w:tcBorders>
          </w:tcPr>
          <w:p>
            <w:pPr>
              <w:spacing w:after="0"/>
              <w:rPr>
                <w:sz w:val="15"/>
                <w:szCs w:val="15"/>
                <w:color w:val="auto"/>
              </w:rPr>
            </w:pPr>
          </w:p>
        </w:tc>
        <w:tc>
          <w:tcPr>
            <w:tcW w:w="1020" w:type="dxa"/>
            <w:vAlign w:val="bottom"/>
            <w:tcBorders>
              <w:bottom w:val="single" w:sz="8" w:color="CFCFD2"/>
            </w:tcBorders>
          </w:tcPr>
          <w:p>
            <w:pPr>
              <w:spacing w:after="0"/>
              <w:rPr>
                <w:sz w:val="15"/>
                <w:szCs w:val="15"/>
                <w:color w:val="auto"/>
              </w:rPr>
            </w:pPr>
          </w:p>
        </w:tc>
        <w:tc>
          <w:tcPr>
            <w:tcW w:w="960" w:type="dxa"/>
            <w:vAlign w:val="bottom"/>
            <w:tcBorders>
              <w:bottom w:val="single" w:sz="8" w:color="CFCFD2"/>
            </w:tcBorders>
          </w:tcPr>
          <w:p>
            <w:pPr>
              <w:spacing w:after="0"/>
              <w:rPr>
                <w:sz w:val="15"/>
                <w:szCs w:val="15"/>
                <w:color w:val="auto"/>
              </w:rPr>
            </w:pPr>
          </w:p>
        </w:tc>
        <w:tc>
          <w:tcPr>
            <w:tcW w:w="620" w:type="dxa"/>
            <w:vAlign w:val="bottom"/>
            <w:tcBorders>
              <w:bottom w:val="single" w:sz="8" w:color="CFCFD2"/>
            </w:tcBorders>
          </w:tcPr>
          <w:p>
            <w:pPr>
              <w:spacing w:after="0"/>
              <w:rPr>
                <w:sz w:val="15"/>
                <w:szCs w:val="15"/>
                <w:color w:val="auto"/>
              </w:rPr>
            </w:pPr>
          </w:p>
        </w:tc>
        <w:tc>
          <w:tcPr>
            <w:tcW w:w="760" w:type="dxa"/>
            <w:vAlign w:val="bottom"/>
            <w:tcBorders>
              <w:bottom w:val="single" w:sz="8" w:color="CFCFD2"/>
            </w:tcBorders>
          </w:tcPr>
          <w:p>
            <w:pPr>
              <w:spacing w:after="0"/>
              <w:rPr>
                <w:sz w:val="15"/>
                <w:szCs w:val="15"/>
                <w:color w:val="auto"/>
              </w:rPr>
            </w:pPr>
          </w:p>
        </w:tc>
        <w:tc>
          <w:tcPr>
            <w:tcW w:w="960" w:type="dxa"/>
            <w:vAlign w:val="bottom"/>
            <w:tcBorders>
              <w:bottom w:val="single" w:sz="8" w:color="CFCFD2"/>
            </w:tcBorders>
          </w:tcPr>
          <w:p>
            <w:pPr>
              <w:spacing w:after="0"/>
              <w:rPr>
                <w:sz w:val="15"/>
                <w:szCs w:val="15"/>
                <w:color w:val="auto"/>
              </w:rPr>
            </w:pPr>
          </w:p>
        </w:tc>
        <w:tc>
          <w:tcPr>
            <w:tcW w:w="720" w:type="dxa"/>
            <w:vAlign w:val="bottom"/>
            <w:tcBorders>
              <w:bottom w:val="single" w:sz="8" w:color="CFCFD2"/>
            </w:tcBorders>
          </w:tcPr>
          <w:p>
            <w:pPr>
              <w:spacing w:after="0"/>
              <w:rPr>
                <w:sz w:val="15"/>
                <w:szCs w:val="15"/>
                <w:color w:val="auto"/>
              </w:rPr>
            </w:pPr>
          </w:p>
        </w:tc>
        <w:tc>
          <w:tcPr>
            <w:tcW w:w="860" w:type="dxa"/>
            <w:vAlign w:val="bottom"/>
            <w:tcBorders>
              <w:bottom w:val="single" w:sz="8" w:color="CFCFD2"/>
            </w:tcBorders>
          </w:tcPr>
          <w:p>
            <w:pPr>
              <w:spacing w:after="0"/>
              <w:rPr>
                <w:sz w:val="15"/>
                <w:szCs w:val="15"/>
                <w:color w:val="auto"/>
              </w:rPr>
            </w:pPr>
          </w:p>
        </w:tc>
        <w:tc>
          <w:tcPr>
            <w:tcW w:w="140" w:type="dxa"/>
            <w:vAlign w:val="bottom"/>
            <w:tcBorders>
              <w:bottom w:val="single" w:sz="8" w:color="CFCFD2"/>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300" w:type="dxa"/>
            <w:vAlign w:val="bottom"/>
          </w:tcPr>
          <w:p>
            <w:pPr>
              <w:ind w:left="80"/>
              <w:spacing w:after="0"/>
              <w:rPr>
                <w:sz w:val="20"/>
                <w:szCs w:val="20"/>
                <w:color w:val="auto"/>
              </w:rPr>
            </w:pPr>
            <w:r>
              <w:rPr>
                <w:rFonts w:ascii="Arial" w:cs="Arial" w:eastAsia="Arial" w:hAnsi="Arial"/>
                <w:sz w:val="12"/>
                <w:szCs w:val="12"/>
                <w:color w:val="0E1020"/>
              </w:rPr>
              <w:t>Annual Cash</w:t>
            </w:r>
          </w:p>
        </w:tc>
        <w:tc>
          <w:tcPr>
            <w:tcW w:w="540" w:type="dxa"/>
            <w:vAlign w:val="bottom"/>
            <w:vMerge w:val="restart"/>
          </w:tcPr>
          <w:p>
            <w:pPr>
              <w:jc w:val="center"/>
              <w:ind w:right="42"/>
              <w:spacing w:after="0"/>
              <w:rPr>
                <w:sz w:val="20"/>
                <w:szCs w:val="20"/>
                <w:color w:val="auto"/>
              </w:rPr>
            </w:pPr>
            <w:r>
              <w:rPr>
                <w:rFonts w:ascii="Arial" w:cs="Arial" w:eastAsia="Arial" w:hAnsi="Arial"/>
                <w:sz w:val="12"/>
                <w:szCs w:val="12"/>
                <w:color w:val="0E1020"/>
                <w:w w:val="99"/>
              </w:rPr>
              <w:t>—</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E1020"/>
                <w:w w:val="99"/>
              </w:rPr>
              <w:t>—</w:t>
            </w:r>
          </w:p>
        </w:tc>
        <w:tc>
          <w:tcPr>
            <w:tcW w:w="860" w:type="dxa"/>
            <w:vAlign w:val="bottom"/>
            <w:vMerge w:val="restart"/>
          </w:tcPr>
          <w:p>
            <w:pPr>
              <w:jc w:val="right"/>
              <w:ind w:right="2"/>
              <w:spacing w:after="0"/>
              <w:rPr>
                <w:sz w:val="20"/>
                <w:szCs w:val="20"/>
                <w:color w:val="auto"/>
              </w:rPr>
            </w:pPr>
            <w:r>
              <w:rPr>
                <w:rFonts w:ascii="Arial" w:cs="Arial" w:eastAsia="Arial" w:hAnsi="Arial"/>
                <w:sz w:val="12"/>
                <w:szCs w:val="12"/>
                <w:color w:val="0E1020"/>
              </w:rPr>
              <w:t>371,250</w:t>
            </w:r>
          </w:p>
        </w:tc>
        <w:tc>
          <w:tcPr>
            <w:tcW w:w="940" w:type="dxa"/>
            <w:vAlign w:val="bottom"/>
            <w:vMerge w:val="restart"/>
          </w:tcPr>
          <w:p>
            <w:pPr>
              <w:jc w:val="right"/>
              <w:ind w:right="102"/>
              <w:spacing w:after="0"/>
              <w:rPr>
                <w:sz w:val="20"/>
                <w:szCs w:val="20"/>
                <w:color w:val="auto"/>
              </w:rPr>
            </w:pPr>
            <w:r>
              <w:rPr>
                <w:rFonts w:ascii="Arial" w:cs="Arial" w:eastAsia="Arial" w:hAnsi="Arial"/>
                <w:sz w:val="12"/>
                <w:szCs w:val="12"/>
                <w:color w:val="0E1020"/>
              </w:rPr>
              <w:t>742,500</w:t>
            </w:r>
          </w:p>
        </w:tc>
        <w:tc>
          <w:tcPr>
            <w:tcW w:w="720" w:type="dxa"/>
            <w:vAlign w:val="bottom"/>
            <w:vMerge w:val="restart"/>
          </w:tcPr>
          <w:p>
            <w:pPr>
              <w:jc w:val="right"/>
              <w:ind w:right="2"/>
              <w:spacing w:after="0"/>
              <w:rPr>
                <w:sz w:val="20"/>
                <w:szCs w:val="20"/>
                <w:color w:val="auto"/>
              </w:rPr>
            </w:pPr>
            <w:r>
              <w:rPr>
                <w:rFonts w:ascii="Arial" w:cs="Arial" w:eastAsia="Arial" w:hAnsi="Arial"/>
                <w:sz w:val="12"/>
                <w:szCs w:val="12"/>
                <w:color w:val="0E1020"/>
              </w:rPr>
              <w:t>1,485,000</w:t>
            </w:r>
          </w:p>
        </w:tc>
        <w:tc>
          <w:tcPr>
            <w:tcW w:w="80" w:type="dxa"/>
            <w:vAlign w:val="bottom"/>
          </w:tcPr>
          <w:p>
            <w:pPr>
              <w:spacing w:after="0"/>
              <w:rPr>
                <w:sz w:val="13"/>
                <w:szCs w:val="13"/>
                <w:color w:val="auto"/>
              </w:rPr>
            </w:pPr>
          </w:p>
        </w:tc>
        <w:tc>
          <w:tcPr>
            <w:tcW w:w="1020" w:type="dxa"/>
            <w:vAlign w:val="bottom"/>
            <w:vMerge w:val="restart"/>
          </w:tcPr>
          <w:p>
            <w:pPr>
              <w:jc w:val="right"/>
              <w:ind w:right="122"/>
              <w:spacing w:after="0"/>
              <w:rPr>
                <w:sz w:val="20"/>
                <w:szCs w:val="20"/>
                <w:color w:val="auto"/>
              </w:rPr>
            </w:pPr>
            <w:r>
              <w:rPr>
                <w:rFonts w:ascii="Arial" w:cs="Arial" w:eastAsia="Arial" w:hAnsi="Arial"/>
                <w:sz w:val="12"/>
                <w:szCs w:val="12"/>
                <w:color w:val="0E1020"/>
              </w:rPr>
              <w:t>—</w:t>
            </w:r>
          </w:p>
        </w:tc>
        <w:tc>
          <w:tcPr>
            <w:tcW w:w="960" w:type="dxa"/>
            <w:vAlign w:val="bottom"/>
            <w:vMerge w:val="restart"/>
          </w:tcPr>
          <w:p>
            <w:pPr>
              <w:jc w:val="right"/>
              <w:ind w:right="202"/>
              <w:spacing w:after="0"/>
              <w:rPr>
                <w:sz w:val="20"/>
                <w:szCs w:val="20"/>
                <w:color w:val="auto"/>
              </w:rPr>
            </w:pPr>
            <w:r>
              <w:rPr>
                <w:rFonts w:ascii="Arial" w:cs="Arial" w:eastAsia="Arial" w:hAnsi="Arial"/>
                <w:sz w:val="12"/>
                <w:szCs w:val="12"/>
                <w:color w:val="0E1020"/>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960" w:type="dxa"/>
            <w:vAlign w:val="bottom"/>
            <w:vMerge w:val="restart"/>
          </w:tcPr>
          <w:p>
            <w:pPr>
              <w:jc w:val="right"/>
              <w:ind w:right="3"/>
              <w:spacing w:after="0"/>
              <w:rPr>
                <w:sz w:val="20"/>
                <w:szCs w:val="20"/>
                <w:color w:val="auto"/>
              </w:rPr>
            </w:pPr>
            <w:r>
              <w:rPr>
                <w:rFonts w:ascii="Arial" w:cs="Arial" w:eastAsia="Arial" w:hAnsi="Arial"/>
                <w:sz w:val="12"/>
                <w:szCs w:val="12"/>
                <w:color w:val="0E1020"/>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0E1020"/>
              </w:rPr>
              <w:t>—</w:t>
            </w:r>
          </w:p>
        </w:tc>
        <w:tc>
          <w:tcPr>
            <w:tcW w:w="0" w:type="dxa"/>
            <w:vAlign w:val="bottom"/>
          </w:tcPr>
          <w:p>
            <w:pPr>
              <w:spacing w:after="0"/>
              <w:rPr>
                <w:sz w:val="1"/>
                <w:szCs w:val="1"/>
                <w:color w:val="auto"/>
              </w:rPr>
            </w:pPr>
          </w:p>
        </w:tc>
      </w:tr>
      <w:tr>
        <w:trPr>
          <w:trHeight w:val="84"/>
        </w:trPr>
        <w:tc>
          <w:tcPr>
            <w:tcW w:w="1300" w:type="dxa"/>
            <w:vAlign w:val="bottom"/>
            <w:vMerge w:val="restart"/>
          </w:tcPr>
          <w:p>
            <w:pPr>
              <w:ind w:left="80"/>
              <w:spacing w:after="0"/>
              <w:rPr>
                <w:sz w:val="20"/>
                <w:szCs w:val="20"/>
                <w:color w:val="auto"/>
              </w:rPr>
            </w:pPr>
            <w:r>
              <w:rPr>
                <w:rFonts w:ascii="Arial" w:cs="Arial" w:eastAsia="Arial" w:hAnsi="Arial"/>
                <w:sz w:val="12"/>
                <w:szCs w:val="12"/>
                <w:color w:val="0E1020"/>
              </w:rPr>
              <w:t>Incentive Plan</w:t>
            </w:r>
          </w:p>
        </w:tc>
        <w:tc>
          <w:tcPr>
            <w:tcW w:w="5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3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1300" w:type="dxa"/>
            <w:vAlign w:val="bottom"/>
            <w:tcBorders>
              <w:bottom w:val="single" w:sz="8" w:color="CFCFD2"/>
            </w:tcBorders>
          </w:tcPr>
          <w:p>
            <w:pPr>
              <w:spacing w:after="0"/>
              <w:rPr>
                <w:sz w:val="2"/>
                <w:szCs w:val="2"/>
                <w:color w:val="auto"/>
              </w:rPr>
            </w:pPr>
          </w:p>
        </w:tc>
        <w:tc>
          <w:tcPr>
            <w:tcW w:w="540" w:type="dxa"/>
            <w:vAlign w:val="bottom"/>
            <w:tcBorders>
              <w:bottom w:val="single" w:sz="8" w:color="CFCFD2"/>
            </w:tcBorders>
          </w:tcPr>
          <w:p>
            <w:pPr>
              <w:spacing w:after="0"/>
              <w:rPr>
                <w:sz w:val="2"/>
                <w:szCs w:val="2"/>
                <w:color w:val="auto"/>
              </w:rPr>
            </w:pPr>
          </w:p>
        </w:tc>
        <w:tc>
          <w:tcPr>
            <w:tcW w:w="760" w:type="dxa"/>
            <w:vAlign w:val="bottom"/>
            <w:tcBorders>
              <w:bottom w:val="single" w:sz="8" w:color="CFCFD2"/>
            </w:tcBorders>
          </w:tcPr>
          <w:p>
            <w:pPr>
              <w:spacing w:after="0"/>
              <w:rPr>
                <w:sz w:val="2"/>
                <w:szCs w:val="2"/>
                <w:color w:val="auto"/>
              </w:rPr>
            </w:pPr>
          </w:p>
        </w:tc>
        <w:tc>
          <w:tcPr>
            <w:tcW w:w="860" w:type="dxa"/>
            <w:vAlign w:val="bottom"/>
            <w:tcBorders>
              <w:bottom w:val="single" w:sz="8" w:color="CFCFD2"/>
            </w:tcBorders>
          </w:tcPr>
          <w:p>
            <w:pPr>
              <w:spacing w:after="0"/>
              <w:rPr>
                <w:sz w:val="2"/>
                <w:szCs w:val="2"/>
                <w:color w:val="auto"/>
              </w:rPr>
            </w:pPr>
          </w:p>
        </w:tc>
        <w:tc>
          <w:tcPr>
            <w:tcW w:w="940" w:type="dxa"/>
            <w:vAlign w:val="bottom"/>
            <w:tcBorders>
              <w:bottom w:val="single" w:sz="8" w:color="CFCFD2"/>
            </w:tcBorders>
          </w:tcPr>
          <w:p>
            <w:pPr>
              <w:spacing w:after="0"/>
              <w:rPr>
                <w:sz w:val="2"/>
                <w:szCs w:val="2"/>
                <w:color w:val="auto"/>
              </w:rPr>
            </w:pPr>
          </w:p>
        </w:tc>
        <w:tc>
          <w:tcPr>
            <w:tcW w:w="720" w:type="dxa"/>
            <w:vAlign w:val="bottom"/>
            <w:tcBorders>
              <w:bottom w:val="single" w:sz="8" w:color="CFCFD2"/>
            </w:tcBorders>
          </w:tcPr>
          <w:p>
            <w:pPr>
              <w:spacing w:after="0"/>
              <w:rPr>
                <w:sz w:val="2"/>
                <w:szCs w:val="2"/>
                <w:color w:val="auto"/>
              </w:rPr>
            </w:pPr>
          </w:p>
        </w:tc>
        <w:tc>
          <w:tcPr>
            <w:tcW w:w="80" w:type="dxa"/>
            <w:vAlign w:val="bottom"/>
            <w:tcBorders>
              <w:bottom w:val="single" w:sz="8" w:color="CFCFD2"/>
            </w:tcBorders>
          </w:tcPr>
          <w:p>
            <w:pPr>
              <w:spacing w:after="0"/>
              <w:rPr>
                <w:sz w:val="2"/>
                <w:szCs w:val="2"/>
                <w:color w:val="auto"/>
              </w:rPr>
            </w:pPr>
          </w:p>
        </w:tc>
        <w:tc>
          <w:tcPr>
            <w:tcW w:w="1020" w:type="dxa"/>
            <w:vAlign w:val="bottom"/>
            <w:tcBorders>
              <w:bottom w:val="single" w:sz="8" w:color="CFCFD2"/>
            </w:tcBorders>
          </w:tcPr>
          <w:p>
            <w:pPr>
              <w:spacing w:after="0"/>
              <w:rPr>
                <w:sz w:val="2"/>
                <w:szCs w:val="2"/>
                <w:color w:val="auto"/>
              </w:rPr>
            </w:pPr>
          </w:p>
        </w:tc>
        <w:tc>
          <w:tcPr>
            <w:tcW w:w="960" w:type="dxa"/>
            <w:vAlign w:val="bottom"/>
            <w:tcBorders>
              <w:bottom w:val="single" w:sz="8" w:color="CFCFD2"/>
            </w:tcBorders>
          </w:tcPr>
          <w:p>
            <w:pPr>
              <w:spacing w:after="0"/>
              <w:rPr>
                <w:sz w:val="2"/>
                <w:szCs w:val="2"/>
                <w:color w:val="auto"/>
              </w:rPr>
            </w:pPr>
          </w:p>
        </w:tc>
        <w:tc>
          <w:tcPr>
            <w:tcW w:w="620" w:type="dxa"/>
            <w:vAlign w:val="bottom"/>
            <w:tcBorders>
              <w:bottom w:val="single" w:sz="8" w:color="CFCFD2"/>
            </w:tcBorders>
          </w:tcPr>
          <w:p>
            <w:pPr>
              <w:spacing w:after="0"/>
              <w:rPr>
                <w:sz w:val="2"/>
                <w:szCs w:val="2"/>
                <w:color w:val="auto"/>
              </w:rPr>
            </w:pPr>
          </w:p>
        </w:tc>
        <w:tc>
          <w:tcPr>
            <w:tcW w:w="760" w:type="dxa"/>
            <w:vAlign w:val="bottom"/>
            <w:tcBorders>
              <w:bottom w:val="single" w:sz="8" w:color="CFCFD2"/>
            </w:tcBorders>
          </w:tcPr>
          <w:p>
            <w:pPr>
              <w:spacing w:after="0"/>
              <w:rPr>
                <w:sz w:val="2"/>
                <w:szCs w:val="2"/>
                <w:color w:val="auto"/>
              </w:rPr>
            </w:pPr>
          </w:p>
        </w:tc>
        <w:tc>
          <w:tcPr>
            <w:tcW w:w="960" w:type="dxa"/>
            <w:vAlign w:val="bottom"/>
            <w:tcBorders>
              <w:bottom w:val="single" w:sz="8" w:color="CFCFD2"/>
            </w:tcBorders>
          </w:tcPr>
          <w:p>
            <w:pPr>
              <w:spacing w:after="0"/>
              <w:rPr>
                <w:sz w:val="2"/>
                <w:szCs w:val="2"/>
                <w:color w:val="auto"/>
              </w:rPr>
            </w:pPr>
          </w:p>
        </w:tc>
        <w:tc>
          <w:tcPr>
            <w:tcW w:w="720" w:type="dxa"/>
            <w:vAlign w:val="bottom"/>
            <w:tcBorders>
              <w:bottom w:val="single" w:sz="8" w:color="CFCFD2"/>
            </w:tcBorders>
          </w:tcPr>
          <w:p>
            <w:pPr>
              <w:spacing w:after="0"/>
              <w:rPr>
                <w:sz w:val="2"/>
                <w:szCs w:val="2"/>
                <w:color w:val="auto"/>
              </w:rPr>
            </w:pPr>
          </w:p>
        </w:tc>
        <w:tc>
          <w:tcPr>
            <w:tcW w:w="860" w:type="dxa"/>
            <w:vAlign w:val="bottom"/>
            <w:tcBorders>
              <w:bottom w:val="single" w:sz="8" w:color="CFCFD2"/>
            </w:tcBorders>
          </w:tcPr>
          <w:p>
            <w:pPr>
              <w:spacing w:after="0"/>
              <w:rPr>
                <w:sz w:val="2"/>
                <w:szCs w:val="2"/>
                <w:color w:val="auto"/>
              </w:rPr>
            </w:pPr>
          </w:p>
        </w:tc>
        <w:tc>
          <w:tcPr>
            <w:tcW w:w="14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300" w:type="dxa"/>
            <w:vAlign w:val="bottom"/>
          </w:tcPr>
          <w:p>
            <w:pPr>
              <w:ind w:left="80"/>
              <w:spacing w:after="0"/>
              <w:rPr>
                <w:sz w:val="20"/>
                <w:szCs w:val="20"/>
                <w:color w:val="auto"/>
              </w:rPr>
            </w:pPr>
            <w:r>
              <w:rPr>
                <w:rFonts w:ascii="Arial" w:cs="Arial" w:eastAsia="Arial" w:hAnsi="Arial"/>
                <w:sz w:val="12"/>
                <w:szCs w:val="12"/>
                <w:color w:val="0E1020"/>
              </w:rPr>
              <w:t>RSUs –</w:t>
            </w:r>
          </w:p>
        </w:tc>
        <w:tc>
          <w:tcPr>
            <w:tcW w:w="540" w:type="dxa"/>
            <w:vAlign w:val="bottom"/>
            <w:vMerge w:val="restart"/>
          </w:tcPr>
          <w:p>
            <w:pPr>
              <w:jc w:val="center"/>
              <w:ind w:right="62"/>
              <w:spacing w:after="0"/>
              <w:rPr>
                <w:sz w:val="20"/>
                <w:szCs w:val="20"/>
                <w:color w:val="auto"/>
              </w:rPr>
            </w:pPr>
            <w:r>
              <w:rPr>
                <w:rFonts w:ascii="Arial" w:cs="Arial" w:eastAsia="Arial" w:hAnsi="Arial"/>
                <w:sz w:val="12"/>
                <w:szCs w:val="12"/>
                <w:color w:val="0E1020"/>
                <w:w w:val="94"/>
              </w:rPr>
              <w:t>5/16/25</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E1020"/>
                <w:w w:val="99"/>
              </w:rPr>
              <w:t>5/13/25</w:t>
            </w:r>
          </w:p>
        </w:tc>
        <w:tc>
          <w:tcPr>
            <w:tcW w:w="860" w:type="dxa"/>
            <w:vAlign w:val="bottom"/>
            <w:vMerge w:val="restart"/>
          </w:tcPr>
          <w:p>
            <w:pPr>
              <w:jc w:val="right"/>
              <w:ind w:right="2"/>
              <w:spacing w:after="0"/>
              <w:rPr>
                <w:sz w:val="20"/>
                <w:szCs w:val="20"/>
                <w:color w:val="auto"/>
              </w:rPr>
            </w:pPr>
            <w:r>
              <w:rPr>
                <w:rFonts w:ascii="Arial" w:cs="Arial" w:eastAsia="Arial" w:hAnsi="Arial"/>
                <w:sz w:val="12"/>
                <w:szCs w:val="12"/>
                <w:color w:val="0E1020"/>
              </w:rPr>
              <w:t>—</w:t>
            </w:r>
          </w:p>
        </w:tc>
        <w:tc>
          <w:tcPr>
            <w:tcW w:w="940" w:type="dxa"/>
            <w:vAlign w:val="bottom"/>
            <w:vMerge w:val="restart"/>
          </w:tcPr>
          <w:p>
            <w:pPr>
              <w:jc w:val="right"/>
              <w:ind w:right="102"/>
              <w:spacing w:after="0"/>
              <w:rPr>
                <w:sz w:val="20"/>
                <w:szCs w:val="20"/>
                <w:color w:val="auto"/>
              </w:rPr>
            </w:pPr>
            <w:r>
              <w:rPr>
                <w:rFonts w:ascii="Arial" w:cs="Arial" w:eastAsia="Arial" w:hAnsi="Arial"/>
                <w:sz w:val="12"/>
                <w:szCs w:val="12"/>
                <w:color w:val="0E1020"/>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0E1020"/>
              </w:rPr>
              <w:t>—</w:t>
            </w:r>
          </w:p>
        </w:tc>
        <w:tc>
          <w:tcPr>
            <w:tcW w:w="1020" w:type="dxa"/>
            <w:vAlign w:val="bottom"/>
            <w:vMerge w:val="restart"/>
          </w:tcPr>
          <w:p>
            <w:pPr>
              <w:jc w:val="right"/>
              <w:ind w:right="122"/>
              <w:spacing w:after="0"/>
              <w:rPr>
                <w:sz w:val="20"/>
                <w:szCs w:val="20"/>
                <w:color w:val="auto"/>
              </w:rPr>
            </w:pPr>
            <w:r>
              <w:rPr>
                <w:rFonts w:ascii="Arial" w:cs="Arial" w:eastAsia="Arial" w:hAnsi="Arial"/>
                <w:sz w:val="12"/>
                <w:szCs w:val="12"/>
                <w:color w:val="0E1020"/>
              </w:rPr>
              <w:t>66,692</w:t>
            </w:r>
          </w:p>
        </w:tc>
        <w:tc>
          <w:tcPr>
            <w:tcW w:w="960" w:type="dxa"/>
            <w:vAlign w:val="bottom"/>
            <w:vMerge w:val="restart"/>
          </w:tcPr>
          <w:p>
            <w:pPr>
              <w:jc w:val="right"/>
              <w:ind w:right="202"/>
              <w:spacing w:after="0"/>
              <w:rPr>
                <w:sz w:val="20"/>
                <w:szCs w:val="20"/>
                <w:color w:val="auto"/>
              </w:rPr>
            </w:pPr>
            <w:r>
              <w:rPr>
                <w:rFonts w:ascii="Arial" w:cs="Arial" w:eastAsia="Arial" w:hAnsi="Arial"/>
                <w:sz w:val="12"/>
                <w:szCs w:val="12"/>
                <w:color w:val="0E1020"/>
              </w:rPr>
              <w:t>133,383</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0E1020"/>
              </w:rPr>
              <w:t>266,766</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960" w:type="dxa"/>
            <w:vAlign w:val="bottom"/>
            <w:vMerge w:val="restart"/>
          </w:tcPr>
          <w:p>
            <w:pPr>
              <w:jc w:val="right"/>
              <w:ind w:right="3"/>
              <w:spacing w:after="0"/>
              <w:rPr>
                <w:sz w:val="20"/>
                <w:szCs w:val="20"/>
                <w:color w:val="auto"/>
              </w:rPr>
            </w:pPr>
            <w:r>
              <w:rPr>
                <w:rFonts w:ascii="Arial" w:cs="Arial" w:eastAsia="Arial" w:hAnsi="Arial"/>
                <w:sz w:val="12"/>
                <w:szCs w:val="12"/>
                <w:color w:val="0E1020"/>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860" w:type="dxa"/>
            <w:vAlign w:val="bottom"/>
            <w:vMerge w:val="restart"/>
          </w:tcPr>
          <w:p>
            <w:pPr>
              <w:jc w:val="right"/>
              <w:ind w:right="3"/>
              <w:spacing w:after="0"/>
              <w:rPr>
                <w:sz w:val="20"/>
                <w:szCs w:val="20"/>
                <w:color w:val="auto"/>
              </w:rPr>
            </w:pPr>
            <w:r>
              <w:rPr>
                <w:rFonts w:ascii="Arial" w:cs="Arial" w:eastAsia="Arial" w:hAnsi="Arial"/>
                <w:sz w:val="12"/>
                <w:szCs w:val="12"/>
                <w:color w:val="0E1020"/>
              </w:rPr>
              <w:t>2,118,122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CFCFD2"/>
            </w:tcBorders>
          </w:tcPr>
          <w:p>
            <w:pPr>
              <w:ind w:left="80"/>
              <w:spacing w:after="0"/>
              <w:rPr>
                <w:sz w:val="20"/>
                <w:szCs w:val="20"/>
                <w:color w:val="auto"/>
              </w:rPr>
            </w:pPr>
            <w:r>
              <w:rPr>
                <w:rFonts w:ascii="Arial" w:cs="Arial" w:eastAsia="Arial" w:hAnsi="Arial"/>
                <w:sz w:val="12"/>
                <w:szCs w:val="12"/>
                <w:color w:val="0E1020"/>
              </w:rPr>
              <w:t>Performance</w:t>
            </w:r>
            <w:r>
              <w:rPr>
                <w:rFonts w:ascii="Arial" w:cs="Arial" w:eastAsia="Arial" w:hAnsi="Arial"/>
                <w:sz w:val="15"/>
                <w:szCs w:val="15"/>
                <w:color w:val="0E1020"/>
                <w:vertAlign w:val="superscript"/>
              </w:rPr>
              <w:t>(2)</w:t>
            </w:r>
          </w:p>
        </w:tc>
        <w:tc>
          <w:tcPr>
            <w:tcW w:w="540" w:type="dxa"/>
            <w:vAlign w:val="bottom"/>
            <w:tcBorders>
              <w:bottom w:val="single" w:sz="8" w:color="CFCFD2"/>
            </w:tcBorders>
            <w:vMerge w:val="continue"/>
          </w:tcPr>
          <w:p>
            <w:pPr>
              <w:spacing w:after="0"/>
              <w:rPr>
                <w:sz w:val="15"/>
                <w:szCs w:val="15"/>
                <w:color w:val="auto"/>
              </w:rPr>
            </w:pPr>
          </w:p>
        </w:tc>
        <w:tc>
          <w:tcPr>
            <w:tcW w:w="760" w:type="dxa"/>
            <w:vAlign w:val="bottom"/>
            <w:tcBorders>
              <w:bottom w:val="single" w:sz="8" w:color="CFCFD2"/>
            </w:tcBorders>
            <w:vMerge w:val="continue"/>
          </w:tcPr>
          <w:p>
            <w:pPr>
              <w:spacing w:after="0"/>
              <w:rPr>
                <w:sz w:val="15"/>
                <w:szCs w:val="15"/>
                <w:color w:val="auto"/>
              </w:rPr>
            </w:pPr>
          </w:p>
        </w:tc>
        <w:tc>
          <w:tcPr>
            <w:tcW w:w="860" w:type="dxa"/>
            <w:vAlign w:val="bottom"/>
            <w:tcBorders>
              <w:bottom w:val="single" w:sz="8" w:color="CFCFD2"/>
            </w:tcBorders>
            <w:vMerge w:val="continue"/>
          </w:tcPr>
          <w:p>
            <w:pPr>
              <w:spacing w:after="0"/>
              <w:rPr>
                <w:sz w:val="15"/>
                <w:szCs w:val="15"/>
                <w:color w:val="auto"/>
              </w:rPr>
            </w:pPr>
          </w:p>
        </w:tc>
        <w:tc>
          <w:tcPr>
            <w:tcW w:w="940" w:type="dxa"/>
            <w:vAlign w:val="bottom"/>
            <w:tcBorders>
              <w:bottom w:val="single" w:sz="8" w:color="CFCFD2"/>
            </w:tcBorders>
            <w:vMerge w:val="continue"/>
          </w:tcPr>
          <w:p>
            <w:pPr>
              <w:spacing w:after="0"/>
              <w:rPr>
                <w:sz w:val="15"/>
                <w:szCs w:val="15"/>
                <w:color w:val="auto"/>
              </w:rPr>
            </w:pPr>
          </w:p>
        </w:tc>
        <w:tc>
          <w:tcPr>
            <w:tcW w:w="800" w:type="dxa"/>
            <w:vAlign w:val="bottom"/>
            <w:tcBorders>
              <w:bottom w:val="single" w:sz="8" w:color="CFCFD2"/>
            </w:tcBorders>
            <w:gridSpan w:val="2"/>
            <w:vMerge w:val="continue"/>
          </w:tcPr>
          <w:p>
            <w:pPr>
              <w:spacing w:after="0"/>
              <w:rPr>
                <w:sz w:val="15"/>
                <w:szCs w:val="15"/>
                <w:color w:val="auto"/>
              </w:rPr>
            </w:pPr>
          </w:p>
        </w:tc>
        <w:tc>
          <w:tcPr>
            <w:tcW w:w="1020" w:type="dxa"/>
            <w:vAlign w:val="bottom"/>
            <w:tcBorders>
              <w:bottom w:val="single" w:sz="8" w:color="CFCFD2"/>
            </w:tcBorders>
            <w:vMerge w:val="continue"/>
          </w:tcPr>
          <w:p>
            <w:pPr>
              <w:spacing w:after="0"/>
              <w:rPr>
                <w:sz w:val="15"/>
                <w:szCs w:val="15"/>
                <w:color w:val="auto"/>
              </w:rPr>
            </w:pPr>
          </w:p>
        </w:tc>
        <w:tc>
          <w:tcPr>
            <w:tcW w:w="960" w:type="dxa"/>
            <w:vAlign w:val="bottom"/>
            <w:tcBorders>
              <w:bottom w:val="single" w:sz="8" w:color="CFCFD2"/>
            </w:tcBorders>
            <w:vMerge w:val="continue"/>
          </w:tcPr>
          <w:p>
            <w:pPr>
              <w:spacing w:after="0"/>
              <w:rPr>
                <w:sz w:val="15"/>
                <w:szCs w:val="15"/>
                <w:color w:val="auto"/>
              </w:rPr>
            </w:pPr>
          </w:p>
        </w:tc>
        <w:tc>
          <w:tcPr>
            <w:tcW w:w="620" w:type="dxa"/>
            <w:vAlign w:val="bottom"/>
            <w:tcBorders>
              <w:bottom w:val="single" w:sz="8" w:color="CFCFD2"/>
            </w:tcBorders>
            <w:vMerge w:val="continue"/>
          </w:tcPr>
          <w:p>
            <w:pPr>
              <w:spacing w:after="0"/>
              <w:rPr>
                <w:sz w:val="15"/>
                <w:szCs w:val="15"/>
                <w:color w:val="auto"/>
              </w:rPr>
            </w:pPr>
          </w:p>
        </w:tc>
        <w:tc>
          <w:tcPr>
            <w:tcW w:w="760" w:type="dxa"/>
            <w:vAlign w:val="bottom"/>
            <w:tcBorders>
              <w:bottom w:val="single" w:sz="8" w:color="CFCFD2"/>
            </w:tcBorders>
            <w:vMerge w:val="continue"/>
          </w:tcPr>
          <w:p>
            <w:pPr>
              <w:spacing w:after="0"/>
              <w:rPr>
                <w:sz w:val="15"/>
                <w:szCs w:val="15"/>
                <w:color w:val="auto"/>
              </w:rPr>
            </w:pPr>
          </w:p>
        </w:tc>
        <w:tc>
          <w:tcPr>
            <w:tcW w:w="960" w:type="dxa"/>
            <w:vAlign w:val="bottom"/>
            <w:tcBorders>
              <w:bottom w:val="single" w:sz="8" w:color="CFCFD2"/>
            </w:tcBorders>
            <w:vMerge w:val="continue"/>
          </w:tcPr>
          <w:p>
            <w:pPr>
              <w:spacing w:after="0"/>
              <w:rPr>
                <w:sz w:val="15"/>
                <w:szCs w:val="15"/>
                <w:color w:val="auto"/>
              </w:rPr>
            </w:pPr>
          </w:p>
        </w:tc>
        <w:tc>
          <w:tcPr>
            <w:tcW w:w="720" w:type="dxa"/>
            <w:vAlign w:val="bottom"/>
            <w:tcBorders>
              <w:bottom w:val="single" w:sz="8" w:color="CFCFD2"/>
            </w:tcBorders>
            <w:vMerge w:val="continue"/>
          </w:tcPr>
          <w:p>
            <w:pPr>
              <w:spacing w:after="0"/>
              <w:rPr>
                <w:sz w:val="15"/>
                <w:szCs w:val="15"/>
                <w:color w:val="auto"/>
              </w:rPr>
            </w:pPr>
          </w:p>
        </w:tc>
        <w:tc>
          <w:tcPr>
            <w:tcW w:w="860" w:type="dxa"/>
            <w:vAlign w:val="bottom"/>
            <w:tcBorders>
              <w:bottom w:val="single" w:sz="8" w:color="CFCFD2"/>
            </w:tcBorders>
            <w:vMerge w:val="continue"/>
          </w:tcPr>
          <w:p>
            <w:pPr>
              <w:spacing w:after="0"/>
              <w:rPr>
                <w:sz w:val="15"/>
                <w:szCs w:val="15"/>
                <w:color w:val="auto"/>
              </w:rPr>
            </w:pPr>
          </w:p>
        </w:tc>
        <w:tc>
          <w:tcPr>
            <w:tcW w:w="140" w:type="dxa"/>
            <w:vAlign w:val="bottom"/>
            <w:tcBorders>
              <w:bottom w:val="single" w:sz="8" w:color="CFCFD2"/>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300" w:type="dxa"/>
            <w:vAlign w:val="bottom"/>
          </w:tcPr>
          <w:p>
            <w:pPr>
              <w:ind w:left="80"/>
              <w:spacing w:after="0"/>
              <w:rPr>
                <w:sz w:val="20"/>
                <w:szCs w:val="20"/>
                <w:color w:val="auto"/>
              </w:rPr>
            </w:pPr>
            <w:r>
              <w:rPr>
                <w:rFonts w:ascii="Arial" w:cs="Arial" w:eastAsia="Arial" w:hAnsi="Arial"/>
                <w:sz w:val="12"/>
                <w:szCs w:val="12"/>
                <w:color w:val="0E1020"/>
              </w:rPr>
              <w:t>RSUs – Time-</w:t>
            </w:r>
          </w:p>
        </w:tc>
        <w:tc>
          <w:tcPr>
            <w:tcW w:w="540" w:type="dxa"/>
            <w:vAlign w:val="bottom"/>
            <w:vMerge w:val="restart"/>
          </w:tcPr>
          <w:p>
            <w:pPr>
              <w:jc w:val="center"/>
              <w:ind w:right="62"/>
              <w:spacing w:after="0"/>
              <w:rPr>
                <w:sz w:val="20"/>
                <w:szCs w:val="20"/>
                <w:color w:val="auto"/>
              </w:rPr>
            </w:pPr>
            <w:r>
              <w:rPr>
                <w:rFonts w:ascii="Arial" w:cs="Arial" w:eastAsia="Arial" w:hAnsi="Arial"/>
                <w:sz w:val="12"/>
                <w:szCs w:val="12"/>
                <w:color w:val="0E1020"/>
                <w:w w:val="94"/>
              </w:rPr>
              <w:t>5/16/25</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E1020"/>
                <w:w w:val="99"/>
              </w:rPr>
              <w:t>5/13/25</w:t>
            </w:r>
          </w:p>
        </w:tc>
        <w:tc>
          <w:tcPr>
            <w:tcW w:w="860" w:type="dxa"/>
            <w:vAlign w:val="bottom"/>
            <w:vMerge w:val="restart"/>
          </w:tcPr>
          <w:p>
            <w:pPr>
              <w:jc w:val="right"/>
              <w:ind w:right="2"/>
              <w:spacing w:after="0"/>
              <w:rPr>
                <w:sz w:val="20"/>
                <w:szCs w:val="20"/>
                <w:color w:val="auto"/>
              </w:rPr>
            </w:pPr>
            <w:r>
              <w:rPr>
                <w:rFonts w:ascii="Arial" w:cs="Arial" w:eastAsia="Arial" w:hAnsi="Arial"/>
                <w:sz w:val="12"/>
                <w:szCs w:val="12"/>
                <w:color w:val="0E1020"/>
              </w:rPr>
              <w:t>—</w:t>
            </w:r>
          </w:p>
        </w:tc>
        <w:tc>
          <w:tcPr>
            <w:tcW w:w="940" w:type="dxa"/>
            <w:vAlign w:val="bottom"/>
            <w:vMerge w:val="restart"/>
          </w:tcPr>
          <w:p>
            <w:pPr>
              <w:jc w:val="right"/>
              <w:ind w:right="102"/>
              <w:spacing w:after="0"/>
              <w:rPr>
                <w:sz w:val="20"/>
                <w:szCs w:val="20"/>
                <w:color w:val="auto"/>
              </w:rPr>
            </w:pPr>
            <w:r>
              <w:rPr>
                <w:rFonts w:ascii="Arial" w:cs="Arial" w:eastAsia="Arial" w:hAnsi="Arial"/>
                <w:sz w:val="12"/>
                <w:szCs w:val="12"/>
                <w:color w:val="0E1020"/>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0E1020"/>
              </w:rPr>
              <w:t>—</w:t>
            </w:r>
          </w:p>
        </w:tc>
        <w:tc>
          <w:tcPr>
            <w:tcW w:w="1020" w:type="dxa"/>
            <w:vAlign w:val="bottom"/>
            <w:vMerge w:val="restart"/>
          </w:tcPr>
          <w:p>
            <w:pPr>
              <w:jc w:val="right"/>
              <w:ind w:right="122"/>
              <w:spacing w:after="0"/>
              <w:rPr>
                <w:sz w:val="20"/>
                <w:szCs w:val="20"/>
                <w:color w:val="auto"/>
              </w:rPr>
            </w:pPr>
            <w:r>
              <w:rPr>
                <w:rFonts w:ascii="Arial" w:cs="Arial" w:eastAsia="Arial" w:hAnsi="Arial"/>
                <w:sz w:val="12"/>
                <w:szCs w:val="12"/>
                <w:color w:val="0E1020"/>
              </w:rPr>
              <w:t>—</w:t>
            </w:r>
          </w:p>
        </w:tc>
        <w:tc>
          <w:tcPr>
            <w:tcW w:w="960" w:type="dxa"/>
            <w:vAlign w:val="bottom"/>
            <w:vMerge w:val="restart"/>
          </w:tcPr>
          <w:p>
            <w:pPr>
              <w:jc w:val="right"/>
              <w:ind w:right="202"/>
              <w:spacing w:after="0"/>
              <w:rPr>
                <w:sz w:val="20"/>
                <w:szCs w:val="20"/>
                <w:color w:val="auto"/>
              </w:rPr>
            </w:pPr>
            <w:r>
              <w:rPr>
                <w:rFonts w:ascii="Arial" w:cs="Arial" w:eastAsia="Arial" w:hAnsi="Arial"/>
                <w:sz w:val="12"/>
                <w:szCs w:val="12"/>
                <w:color w:val="0E1020"/>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0E1020"/>
              </w:rPr>
              <w:t>88,922</w:t>
            </w:r>
          </w:p>
        </w:tc>
        <w:tc>
          <w:tcPr>
            <w:tcW w:w="960" w:type="dxa"/>
            <w:vAlign w:val="bottom"/>
            <w:vMerge w:val="restart"/>
          </w:tcPr>
          <w:p>
            <w:pPr>
              <w:jc w:val="right"/>
              <w:ind w:right="3"/>
              <w:spacing w:after="0"/>
              <w:rPr>
                <w:sz w:val="20"/>
                <w:szCs w:val="20"/>
                <w:color w:val="auto"/>
              </w:rPr>
            </w:pPr>
            <w:r>
              <w:rPr>
                <w:rFonts w:ascii="Arial" w:cs="Arial" w:eastAsia="Arial" w:hAnsi="Arial"/>
                <w:sz w:val="12"/>
                <w:szCs w:val="12"/>
                <w:color w:val="0E1020"/>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860" w:type="dxa"/>
            <w:vAlign w:val="bottom"/>
            <w:vMerge w:val="restart"/>
          </w:tcPr>
          <w:p>
            <w:pPr>
              <w:jc w:val="right"/>
              <w:ind w:right="3"/>
              <w:spacing w:after="0"/>
              <w:rPr>
                <w:sz w:val="20"/>
                <w:szCs w:val="20"/>
                <w:color w:val="auto"/>
              </w:rPr>
            </w:pPr>
            <w:r>
              <w:rPr>
                <w:rFonts w:ascii="Arial" w:cs="Arial" w:eastAsia="Arial" w:hAnsi="Arial"/>
                <w:sz w:val="12"/>
                <w:szCs w:val="12"/>
                <w:color w:val="0E1020"/>
              </w:rPr>
              <w:t>1,357,839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CFCFD2"/>
            </w:tcBorders>
          </w:tcPr>
          <w:p>
            <w:pPr>
              <w:ind w:left="80"/>
              <w:spacing w:after="0"/>
              <w:rPr>
                <w:sz w:val="20"/>
                <w:szCs w:val="20"/>
                <w:color w:val="auto"/>
              </w:rPr>
            </w:pPr>
            <w:r>
              <w:rPr>
                <w:rFonts w:ascii="Arial" w:cs="Arial" w:eastAsia="Arial" w:hAnsi="Arial"/>
                <w:sz w:val="12"/>
                <w:szCs w:val="12"/>
                <w:color w:val="0E1020"/>
              </w:rPr>
              <w:t>Based</w:t>
            </w:r>
            <w:r>
              <w:rPr>
                <w:rFonts w:ascii="Arial" w:cs="Arial" w:eastAsia="Arial" w:hAnsi="Arial"/>
                <w:sz w:val="15"/>
                <w:szCs w:val="15"/>
                <w:color w:val="0E1020"/>
                <w:vertAlign w:val="superscript"/>
              </w:rPr>
              <w:t>(3)</w:t>
            </w:r>
          </w:p>
        </w:tc>
        <w:tc>
          <w:tcPr>
            <w:tcW w:w="540" w:type="dxa"/>
            <w:vAlign w:val="bottom"/>
            <w:tcBorders>
              <w:bottom w:val="single" w:sz="8" w:color="CFCFD2"/>
            </w:tcBorders>
            <w:vMerge w:val="continue"/>
          </w:tcPr>
          <w:p>
            <w:pPr>
              <w:spacing w:after="0"/>
              <w:rPr>
                <w:sz w:val="15"/>
                <w:szCs w:val="15"/>
                <w:color w:val="auto"/>
              </w:rPr>
            </w:pPr>
          </w:p>
        </w:tc>
        <w:tc>
          <w:tcPr>
            <w:tcW w:w="760" w:type="dxa"/>
            <w:vAlign w:val="bottom"/>
            <w:tcBorders>
              <w:bottom w:val="single" w:sz="8" w:color="CFCFD2"/>
            </w:tcBorders>
            <w:vMerge w:val="continue"/>
          </w:tcPr>
          <w:p>
            <w:pPr>
              <w:spacing w:after="0"/>
              <w:rPr>
                <w:sz w:val="15"/>
                <w:szCs w:val="15"/>
                <w:color w:val="auto"/>
              </w:rPr>
            </w:pPr>
          </w:p>
        </w:tc>
        <w:tc>
          <w:tcPr>
            <w:tcW w:w="860" w:type="dxa"/>
            <w:vAlign w:val="bottom"/>
            <w:tcBorders>
              <w:bottom w:val="single" w:sz="8" w:color="CFCFD2"/>
            </w:tcBorders>
            <w:vMerge w:val="continue"/>
          </w:tcPr>
          <w:p>
            <w:pPr>
              <w:spacing w:after="0"/>
              <w:rPr>
                <w:sz w:val="15"/>
                <w:szCs w:val="15"/>
                <w:color w:val="auto"/>
              </w:rPr>
            </w:pPr>
          </w:p>
        </w:tc>
        <w:tc>
          <w:tcPr>
            <w:tcW w:w="940" w:type="dxa"/>
            <w:vAlign w:val="bottom"/>
            <w:tcBorders>
              <w:bottom w:val="single" w:sz="8" w:color="CFCFD2"/>
            </w:tcBorders>
            <w:vMerge w:val="continue"/>
          </w:tcPr>
          <w:p>
            <w:pPr>
              <w:spacing w:after="0"/>
              <w:rPr>
                <w:sz w:val="15"/>
                <w:szCs w:val="15"/>
                <w:color w:val="auto"/>
              </w:rPr>
            </w:pPr>
          </w:p>
        </w:tc>
        <w:tc>
          <w:tcPr>
            <w:tcW w:w="800" w:type="dxa"/>
            <w:vAlign w:val="bottom"/>
            <w:tcBorders>
              <w:bottom w:val="single" w:sz="8" w:color="CFCFD2"/>
            </w:tcBorders>
            <w:gridSpan w:val="2"/>
            <w:vMerge w:val="continue"/>
          </w:tcPr>
          <w:p>
            <w:pPr>
              <w:spacing w:after="0"/>
              <w:rPr>
                <w:sz w:val="15"/>
                <w:szCs w:val="15"/>
                <w:color w:val="auto"/>
              </w:rPr>
            </w:pPr>
          </w:p>
        </w:tc>
        <w:tc>
          <w:tcPr>
            <w:tcW w:w="1020" w:type="dxa"/>
            <w:vAlign w:val="bottom"/>
            <w:tcBorders>
              <w:bottom w:val="single" w:sz="8" w:color="CFCFD2"/>
            </w:tcBorders>
            <w:vMerge w:val="continue"/>
          </w:tcPr>
          <w:p>
            <w:pPr>
              <w:spacing w:after="0"/>
              <w:rPr>
                <w:sz w:val="15"/>
                <w:szCs w:val="15"/>
                <w:color w:val="auto"/>
              </w:rPr>
            </w:pPr>
          </w:p>
        </w:tc>
        <w:tc>
          <w:tcPr>
            <w:tcW w:w="960" w:type="dxa"/>
            <w:vAlign w:val="bottom"/>
            <w:tcBorders>
              <w:bottom w:val="single" w:sz="8" w:color="CFCFD2"/>
            </w:tcBorders>
            <w:vMerge w:val="continue"/>
          </w:tcPr>
          <w:p>
            <w:pPr>
              <w:spacing w:after="0"/>
              <w:rPr>
                <w:sz w:val="15"/>
                <w:szCs w:val="15"/>
                <w:color w:val="auto"/>
              </w:rPr>
            </w:pPr>
          </w:p>
        </w:tc>
        <w:tc>
          <w:tcPr>
            <w:tcW w:w="620" w:type="dxa"/>
            <w:vAlign w:val="bottom"/>
            <w:tcBorders>
              <w:bottom w:val="single" w:sz="8" w:color="CFCFD2"/>
            </w:tcBorders>
            <w:vMerge w:val="continue"/>
          </w:tcPr>
          <w:p>
            <w:pPr>
              <w:spacing w:after="0"/>
              <w:rPr>
                <w:sz w:val="15"/>
                <w:szCs w:val="15"/>
                <w:color w:val="auto"/>
              </w:rPr>
            </w:pPr>
          </w:p>
        </w:tc>
        <w:tc>
          <w:tcPr>
            <w:tcW w:w="760" w:type="dxa"/>
            <w:vAlign w:val="bottom"/>
            <w:tcBorders>
              <w:bottom w:val="single" w:sz="8" w:color="CFCFD2"/>
            </w:tcBorders>
            <w:vMerge w:val="continue"/>
          </w:tcPr>
          <w:p>
            <w:pPr>
              <w:spacing w:after="0"/>
              <w:rPr>
                <w:sz w:val="15"/>
                <w:szCs w:val="15"/>
                <w:color w:val="auto"/>
              </w:rPr>
            </w:pPr>
          </w:p>
        </w:tc>
        <w:tc>
          <w:tcPr>
            <w:tcW w:w="960" w:type="dxa"/>
            <w:vAlign w:val="bottom"/>
            <w:tcBorders>
              <w:bottom w:val="single" w:sz="8" w:color="CFCFD2"/>
            </w:tcBorders>
            <w:vMerge w:val="continue"/>
          </w:tcPr>
          <w:p>
            <w:pPr>
              <w:spacing w:after="0"/>
              <w:rPr>
                <w:sz w:val="15"/>
                <w:szCs w:val="15"/>
                <w:color w:val="auto"/>
              </w:rPr>
            </w:pPr>
          </w:p>
        </w:tc>
        <w:tc>
          <w:tcPr>
            <w:tcW w:w="720" w:type="dxa"/>
            <w:vAlign w:val="bottom"/>
            <w:tcBorders>
              <w:bottom w:val="single" w:sz="8" w:color="CFCFD2"/>
            </w:tcBorders>
            <w:vMerge w:val="continue"/>
          </w:tcPr>
          <w:p>
            <w:pPr>
              <w:spacing w:after="0"/>
              <w:rPr>
                <w:sz w:val="15"/>
                <w:szCs w:val="15"/>
                <w:color w:val="auto"/>
              </w:rPr>
            </w:pPr>
          </w:p>
        </w:tc>
        <w:tc>
          <w:tcPr>
            <w:tcW w:w="860" w:type="dxa"/>
            <w:vAlign w:val="bottom"/>
            <w:tcBorders>
              <w:bottom w:val="single" w:sz="8" w:color="CFCFD2"/>
            </w:tcBorders>
            <w:vMerge w:val="continue"/>
          </w:tcPr>
          <w:p>
            <w:pPr>
              <w:spacing w:after="0"/>
              <w:rPr>
                <w:sz w:val="15"/>
                <w:szCs w:val="15"/>
                <w:color w:val="auto"/>
              </w:rPr>
            </w:pPr>
          </w:p>
        </w:tc>
        <w:tc>
          <w:tcPr>
            <w:tcW w:w="140" w:type="dxa"/>
            <w:vAlign w:val="bottom"/>
            <w:tcBorders>
              <w:bottom w:val="single" w:sz="8" w:color="CFCFD2"/>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87</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95" w:name="page96"/>
    <w:bookmarkEnd w:id="95"/>
    <w:p>
      <w:pPr>
        <w:ind w:left="20"/>
        <w:spacing w:after="0"/>
        <w:tabs>
          <w:tab w:leader="none" w:pos="10100" w:val="left"/>
        </w:tabs>
        <w:rPr>
          <w:sz w:val="20"/>
          <w:szCs w:val="20"/>
          <w:color w:val="auto"/>
        </w:rPr>
      </w:pPr>
      <w:r>
        <w:rPr>
          <w:rFonts w:ascii="Arial" w:cs="Arial" w:eastAsia="Arial" w:hAnsi="Arial"/>
          <w:sz w:val="14"/>
          <w:szCs w:val="14"/>
          <w:color w:val="0E1020"/>
        </w:rPr>
        <w:t>Executive Compensation Tables</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526"/>
        </w:trPr>
        <w:tc>
          <w:tcPr>
            <w:tcW w:w="1180" w:type="dxa"/>
            <w:vAlign w:val="bottom"/>
            <w:shd w:val="clear" w:color="auto" w:fill="F6F3F0"/>
          </w:tcPr>
          <w:p>
            <w:pPr>
              <w:spacing w:after="0"/>
              <w:rPr>
                <w:sz w:val="24"/>
                <w:szCs w:val="24"/>
                <w:color w:val="auto"/>
              </w:rPr>
            </w:pPr>
          </w:p>
        </w:tc>
        <w:tc>
          <w:tcPr>
            <w:tcW w:w="660" w:type="dxa"/>
            <w:vAlign w:val="bottom"/>
            <w:shd w:val="clear" w:color="auto" w:fill="F6F3F0"/>
          </w:tcPr>
          <w:p>
            <w:pPr>
              <w:spacing w:after="0"/>
              <w:rPr>
                <w:sz w:val="24"/>
                <w:szCs w:val="24"/>
                <w:color w:val="auto"/>
              </w:rPr>
            </w:pPr>
          </w:p>
        </w:tc>
        <w:tc>
          <w:tcPr>
            <w:tcW w:w="760" w:type="dxa"/>
            <w:vAlign w:val="bottom"/>
            <w:shd w:val="clear" w:color="auto" w:fill="F6F3F0"/>
          </w:tcPr>
          <w:p>
            <w:pPr>
              <w:spacing w:after="0"/>
              <w:rPr>
                <w:sz w:val="24"/>
                <w:szCs w:val="24"/>
                <w:color w:val="auto"/>
              </w:rPr>
            </w:pPr>
          </w:p>
        </w:tc>
        <w:tc>
          <w:tcPr>
            <w:tcW w:w="860" w:type="dxa"/>
            <w:vAlign w:val="bottom"/>
            <w:shd w:val="clear" w:color="auto" w:fill="F6F3F0"/>
          </w:tcPr>
          <w:p>
            <w:pPr>
              <w:spacing w:after="0"/>
              <w:rPr>
                <w:sz w:val="24"/>
                <w:szCs w:val="24"/>
                <w:color w:val="auto"/>
              </w:rPr>
            </w:pPr>
          </w:p>
        </w:tc>
        <w:tc>
          <w:tcPr>
            <w:tcW w:w="960" w:type="dxa"/>
            <w:vAlign w:val="bottom"/>
            <w:shd w:val="clear" w:color="auto" w:fill="F6F3F0"/>
          </w:tcPr>
          <w:p>
            <w:pPr>
              <w:spacing w:after="0"/>
              <w:rPr>
                <w:sz w:val="24"/>
                <w:szCs w:val="24"/>
                <w:color w:val="auto"/>
              </w:rPr>
            </w:pPr>
          </w:p>
        </w:tc>
        <w:tc>
          <w:tcPr>
            <w:tcW w:w="700" w:type="dxa"/>
            <w:vAlign w:val="bottom"/>
            <w:shd w:val="clear" w:color="auto" w:fill="F6F3F0"/>
          </w:tcPr>
          <w:p>
            <w:pPr>
              <w:spacing w:after="0"/>
              <w:rPr>
                <w:sz w:val="24"/>
                <w:szCs w:val="24"/>
                <w:color w:val="auto"/>
              </w:rPr>
            </w:pPr>
          </w:p>
        </w:tc>
        <w:tc>
          <w:tcPr>
            <w:tcW w:w="100" w:type="dxa"/>
            <w:vAlign w:val="bottom"/>
            <w:shd w:val="clear" w:color="auto" w:fill="F6F3F0"/>
          </w:tcPr>
          <w:p>
            <w:pPr>
              <w:spacing w:after="0"/>
              <w:rPr>
                <w:sz w:val="24"/>
                <w:szCs w:val="24"/>
                <w:color w:val="auto"/>
              </w:rPr>
            </w:pPr>
          </w:p>
        </w:tc>
        <w:tc>
          <w:tcPr>
            <w:tcW w:w="1060" w:type="dxa"/>
            <w:vAlign w:val="bottom"/>
            <w:shd w:val="clear" w:color="auto" w:fill="F6F3F0"/>
          </w:tcPr>
          <w:p>
            <w:pPr>
              <w:spacing w:after="0"/>
              <w:rPr>
                <w:sz w:val="24"/>
                <w:szCs w:val="24"/>
                <w:color w:val="auto"/>
              </w:rPr>
            </w:pPr>
          </w:p>
        </w:tc>
        <w:tc>
          <w:tcPr>
            <w:tcW w:w="920" w:type="dxa"/>
            <w:vAlign w:val="bottom"/>
            <w:shd w:val="clear" w:color="auto" w:fill="F6F3F0"/>
          </w:tcPr>
          <w:p>
            <w:pPr>
              <w:spacing w:after="0"/>
              <w:rPr>
                <w:sz w:val="24"/>
                <w:szCs w:val="24"/>
                <w:color w:val="auto"/>
              </w:rPr>
            </w:pPr>
          </w:p>
        </w:tc>
        <w:tc>
          <w:tcPr>
            <w:tcW w:w="600" w:type="dxa"/>
            <w:vAlign w:val="bottom"/>
            <w:shd w:val="clear" w:color="auto" w:fill="F6F3F0"/>
          </w:tcPr>
          <w:p>
            <w:pPr>
              <w:spacing w:after="0"/>
              <w:rPr>
                <w:sz w:val="24"/>
                <w:szCs w:val="24"/>
                <w:color w:val="auto"/>
              </w:rPr>
            </w:pPr>
          </w:p>
        </w:tc>
        <w:tc>
          <w:tcPr>
            <w:tcW w:w="760" w:type="dxa"/>
            <w:vAlign w:val="bottom"/>
            <w:shd w:val="clear" w:color="auto" w:fill="F6F3F0"/>
          </w:tcPr>
          <w:p>
            <w:pPr>
              <w:jc w:val="right"/>
              <w:spacing w:after="0"/>
              <w:rPr>
                <w:sz w:val="20"/>
                <w:szCs w:val="20"/>
                <w:color w:val="auto"/>
              </w:rPr>
            </w:pPr>
            <w:r>
              <w:rPr>
                <w:rFonts w:ascii="Arial" w:cs="Arial" w:eastAsia="Arial" w:hAnsi="Arial"/>
                <w:sz w:val="12"/>
                <w:szCs w:val="12"/>
                <w:b w:val="1"/>
                <w:bCs w:val="1"/>
                <w:color w:val="0E1020"/>
              </w:rPr>
              <w:t>All Other</w:t>
            </w:r>
          </w:p>
        </w:tc>
        <w:tc>
          <w:tcPr>
            <w:tcW w:w="960" w:type="dxa"/>
            <w:vAlign w:val="bottom"/>
            <w:shd w:val="clear" w:color="auto" w:fill="F6F3F0"/>
          </w:tcPr>
          <w:p>
            <w:pPr>
              <w:jc w:val="right"/>
              <w:ind w:right="4"/>
              <w:spacing w:after="0"/>
              <w:rPr>
                <w:sz w:val="20"/>
                <w:szCs w:val="20"/>
                <w:color w:val="auto"/>
              </w:rPr>
            </w:pPr>
            <w:r>
              <w:rPr>
                <w:rFonts w:ascii="Arial" w:cs="Arial" w:eastAsia="Arial" w:hAnsi="Arial"/>
                <w:sz w:val="12"/>
                <w:szCs w:val="12"/>
                <w:b w:val="1"/>
                <w:bCs w:val="1"/>
                <w:color w:val="0E1020"/>
              </w:rPr>
              <w:t>All Other</w:t>
            </w:r>
          </w:p>
        </w:tc>
        <w:tc>
          <w:tcPr>
            <w:tcW w:w="720" w:type="dxa"/>
            <w:vAlign w:val="bottom"/>
            <w:shd w:val="clear" w:color="auto" w:fill="F6F3F0"/>
          </w:tcPr>
          <w:p>
            <w:pPr>
              <w:spacing w:after="0"/>
              <w:rPr>
                <w:sz w:val="24"/>
                <w:szCs w:val="24"/>
                <w:color w:val="auto"/>
              </w:rPr>
            </w:pPr>
          </w:p>
        </w:tc>
        <w:tc>
          <w:tcPr>
            <w:tcW w:w="860" w:type="dxa"/>
            <w:vAlign w:val="bottom"/>
            <w:shd w:val="clear" w:color="auto" w:fill="F6F3F0"/>
          </w:tcPr>
          <w:p>
            <w:pPr>
              <w:spacing w:after="0"/>
              <w:rPr>
                <w:sz w:val="24"/>
                <w:szCs w:val="24"/>
                <w:color w:val="auto"/>
              </w:rPr>
            </w:pPr>
          </w:p>
        </w:tc>
        <w:tc>
          <w:tcPr>
            <w:tcW w:w="140" w:type="dxa"/>
            <w:vAlign w:val="bottom"/>
            <w:shd w:val="clear" w:color="auto" w:fill="F6F3F0"/>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180" w:type="dxa"/>
            <w:vAlign w:val="bottom"/>
            <w:shd w:val="clear" w:color="auto" w:fill="F6F3F0"/>
          </w:tcPr>
          <w:p>
            <w:pPr>
              <w:spacing w:after="0"/>
              <w:rPr>
                <w:sz w:val="12"/>
                <w:szCs w:val="12"/>
                <w:color w:val="auto"/>
              </w:rPr>
            </w:pPr>
          </w:p>
        </w:tc>
        <w:tc>
          <w:tcPr>
            <w:tcW w:w="660" w:type="dxa"/>
            <w:vAlign w:val="bottom"/>
            <w:shd w:val="clear" w:color="auto" w:fill="F6F3F0"/>
          </w:tcPr>
          <w:p>
            <w:pPr>
              <w:spacing w:after="0"/>
              <w:rPr>
                <w:sz w:val="12"/>
                <w:szCs w:val="12"/>
                <w:color w:val="auto"/>
              </w:rPr>
            </w:pPr>
          </w:p>
        </w:tc>
        <w:tc>
          <w:tcPr>
            <w:tcW w:w="760" w:type="dxa"/>
            <w:vAlign w:val="bottom"/>
            <w:shd w:val="clear" w:color="auto" w:fill="F6F3F0"/>
          </w:tcPr>
          <w:p>
            <w:pPr>
              <w:spacing w:after="0"/>
              <w:rPr>
                <w:sz w:val="12"/>
                <w:szCs w:val="12"/>
                <w:color w:val="auto"/>
              </w:rPr>
            </w:pPr>
          </w:p>
        </w:tc>
        <w:tc>
          <w:tcPr>
            <w:tcW w:w="2620" w:type="dxa"/>
            <w:vAlign w:val="bottom"/>
            <w:gridSpan w:val="4"/>
            <w:vMerge w:val="restart"/>
            <w:shd w:val="clear" w:color="auto" w:fill="F6F3F0"/>
          </w:tcPr>
          <w:p>
            <w:pPr>
              <w:jc w:val="center"/>
              <w:ind w:right="80"/>
              <w:spacing w:after="0"/>
              <w:rPr>
                <w:sz w:val="20"/>
                <w:szCs w:val="20"/>
                <w:color w:val="auto"/>
              </w:rPr>
            </w:pPr>
            <w:r>
              <w:rPr>
                <w:rFonts w:ascii="Arial" w:cs="Arial" w:eastAsia="Arial" w:hAnsi="Arial"/>
                <w:sz w:val="12"/>
                <w:szCs w:val="12"/>
                <w:b w:val="1"/>
                <w:bCs w:val="1"/>
                <w:color w:val="0E1020"/>
                <w:w w:val="96"/>
              </w:rPr>
              <w:t>Estimated Future Payments Under Non-</w:t>
            </w:r>
          </w:p>
        </w:tc>
        <w:tc>
          <w:tcPr>
            <w:tcW w:w="2580" w:type="dxa"/>
            <w:vAlign w:val="bottom"/>
            <w:gridSpan w:val="3"/>
            <w:vMerge w:val="restart"/>
            <w:shd w:val="clear" w:color="auto" w:fill="F6F3F0"/>
          </w:tcPr>
          <w:p>
            <w:pPr>
              <w:jc w:val="right"/>
              <w:ind w:right="82"/>
              <w:spacing w:after="0"/>
              <w:rPr>
                <w:sz w:val="20"/>
                <w:szCs w:val="20"/>
                <w:color w:val="auto"/>
              </w:rPr>
            </w:pPr>
            <w:r>
              <w:rPr>
                <w:rFonts w:ascii="Arial" w:cs="Arial" w:eastAsia="Arial" w:hAnsi="Arial"/>
                <w:sz w:val="12"/>
                <w:szCs w:val="12"/>
                <w:b w:val="1"/>
                <w:bCs w:val="1"/>
                <w:color w:val="0E1020"/>
              </w:rPr>
              <w:t>Estimated Future Payments Under Equity</w:t>
            </w:r>
          </w:p>
        </w:tc>
        <w:tc>
          <w:tcPr>
            <w:tcW w:w="760" w:type="dxa"/>
            <w:vAlign w:val="bottom"/>
            <w:shd w:val="clear" w:color="auto" w:fill="F6F3F0"/>
          </w:tcPr>
          <w:p>
            <w:pPr>
              <w:jc w:val="right"/>
              <w:spacing w:after="0"/>
              <w:rPr>
                <w:sz w:val="20"/>
                <w:szCs w:val="20"/>
                <w:color w:val="auto"/>
              </w:rPr>
            </w:pPr>
            <w:r>
              <w:rPr>
                <w:rFonts w:ascii="Arial" w:cs="Arial" w:eastAsia="Arial" w:hAnsi="Arial"/>
                <w:sz w:val="12"/>
                <w:szCs w:val="12"/>
                <w:b w:val="1"/>
                <w:bCs w:val="1"/>
                <w:color w:val="0E1020"/>
              </w:rPr>
              <w:t>Stock</w:t>
            </w:r>
          </w:p>
        </w:tc>
        <w:tc>
          <w:tcPr>
            <w:tcW w:w="960" w:type="dxa"/>
            <w:vAlign w:val="bottom"/>
            <w:shd w:val="clear" w:color="auto" w:fill="F6F3F0"/>
          </w:tcPr>
          <w:p>
            <w:pPr>
              <w:jc w:val="right"/>
              <w:ind w:right="4"/>
              <w:spacing w:after="0"/>
              <w:rPr>
                <w:sz w:val="20"/>
                <w:szCs w:val="20"/>
                <w:color w:val="auto"/>
              </w:rPr>
            </w:pPr>
            <w:r>
              <w:rPr>
                <w:rFonts w:ascii="Arial" w:cs="Arial" w:eastAsia="Arial" w:hAnsi="Arial"/>
                <w:sz w:val="12"/>
                <w:szCs w:val="12"/>
                <w:b w:val="1"/>
                <w:bCs w:val="1"/>
                <w:color w:val="0E1020"/>
                <w:w w:val="98"/>
              </w:rPr>
              <w:t>Option Awards:</w:t>
            </w:r>
          </w:p>
        </w:tc>
        <w:tc>
          <w:tcPr>
            <w:tcW w:w="720" w:type="dxa"/>
            <w:vAlign w:val="bottom"/>
            <w:shd w:val="clear" w:color="auto" w:fill="F6F3F0"/>
          </w:tcPr>
          <w:p>
            <w:pPr>
              <w:spacing w:after="0"/>
              <w:rPr>
                <w:sz w:val="12"/>
                <w:szCs w:val="12"/>
                <w:color w:val="auto"/>
              </w:rPr>
            </w:pPr>
          </w:p>
        </w:tc>
        <w:tc>
          <w:tcPr>
            <w:tcW w:w="860" w:type="dxa"/>
            <w:vAlign w:val="bottom"/>
            <w:shd w:val="clear" w:color="auto" w:fill="F6F3F0"/>
          </w:tcPr>
          <w:p>
            <w:pPr>
              <w:spacing w:after="0"/>
              <w:rPr>
                <w:sz w:val="12"/>
                <w:szCs w:val="12"/>
                <w:color w:val="auto"/>
              </w:rPr>
            </w:pPr>
          </w:p>
        </w:tc>
        <w:tc>
          <w:tcPr>
            <w:tcW w:w="140" w:type="dxa"/>
            <w:vAlign w:val="bottom"/>
            <w:shd w:val="clear" w:color="auto" w:fill="F6F3F0"/>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180" w:type="dxa"/>
            <w:vAlign w:val="bottom"/>
            <w:shd w:val="clear" w:color="auto" w:fill="F6F3F0"/>
          </w:tcPr>
          <w:p>
            <w:pPr>
              <w:spacing w:after="0"/>
              <w:rPr>
                <w:sz w:val="8"/>
                <w:szCs w:val="8"/>
                <w:color w:val="auto"/>
              </w:rPr>
            </w:pPr>
          </w:p>
        </w:tc>
        <w:tc>
          <w:tcPr>
            <w:tcW w:w="660" w:type="dxa"/>
            <w:vAlign w:val="bottom"/>
            <w:shd w:val="clear" w:color="auto" w:fill="F6F3F0"/>
          </w:tcPr>
          <w:p>
            <w:pPr>
              <w:spacing w:after="0"/>
              <w:rPr>
                <w:sz w:val="8"/>
                <w:szCs w:val="8"/>
                <w:color w:val="auto"/>
              </w:rPr>
            </w:pPr>
          </w:p>
        </w:tc>
        <w:tc>
          <w:tcPr>
            <w:tcW w:w="760" w:type="dxa"/>
            <w:vAlign w:val="bottom"/>
            <w:shd w:val="clear" w:color="auto" w:fill="F6F3F0"/>
          </w:tcPr>
          <w:p>
            <w:pPr>
              <w:spacing w:after="0"/>
              <w:rPr>
                <w:sz w:val="8"/>
                <w:szCs w:val="8"/>
                <w:color w:val="auto"/>
              </w:rPr>
            </w:pPr>
          </w:p>
        </w:tc>
        <w:tc>
          <w:tcPr>
            <w:tcW w:w="2620" w:type="dxa"/>
            <w:vAlign w:val="bottom"/>
            <w:gridSpan w:val="4"/>
            <w:vMerge w:val="continue"/>
            <w:shd w:val="clear" w:color="auto" w:fill="F6F3F0"/>
          </w:tcPr>
          <w:p>
            <w:pPr>
              <w:spacing w:after="0"/>
              <w:rPr>
                <w:sz w:val="8"/>
                <w:szCs w:val="8"/>
                <w:color w:val="auto"/>
              </w:rPr>
            </w:pPr>
          </w:p>
        </w:tc>
        <w:tc>
          <w:tcPr>
            <w:tcW w:w="2580" w:type="dxa"/>
            <w:vAlign w:val="bottom"/>
            <w:gridSpan w:val="3"/>
            <w:vMerge w:val="continue"/>
            <w:shd w:val="clear" w:color="auto" w:fill="F6F3F0"/>
          </w:tcPr>
          <w:p>
            <w:pPr>
              <w:spacing w:after="0"/>
              <w:rPr>
                <w:sz w:val="8"/>
                <w:szCs w:val="8"/>
                <w:color w:val="auto"/>
              </w:rPr>
            </w:pPr>
          </w:p>
        </w:tc>
        <w:tc>
          <w:tcPr>
            <w:tcW w:w="760" w:type="dxa"/>
            <w:vAlign w:val="bottom"/>
            <w:vMerge w:val="restart"/>
            <w:shd w:val="clear" w:color="auto" w:fill="F6F3F0"/>
          </w:tcPr>
          <w:p>
            <w:pPr>
              <w:jc w:val="right"/>
              <w:spacing w:after="0" w:line="134" w:lineRule="exact"/>
              <w:rPr>
                <w:sz w:val="20"/>
                <w:szCs w:val="20"/>
                <w:color w:val="auto"/>
              </w:rPr>
            </w:pPr>
            <w:r>
              <w:rPr>
                <w:rFonts w:ascii="Arial" w:cs="Arial" w:eastAsia="Arial" w:hAnsi="Arial"/>
                <w:sz w:val="12"/>
                <w:szCs w:val="12"/>
                <w:b w:val="1"/>
                <w:bCs w:val="1"/>
                <w:color w:val="0E1020"/>
              </w:rPr>
              <w:t>Awards:</w:t>
            </w:r>
          </w:p>
        </w:tc>
        <w:tc>
          <w:tcPr>
            <w:tcW w:w="960" w:type="dxa"/>
            <w:vAlign w:val="bottom"/>
            <w:vMerge w:val="restart"/>
            <w:shd w:val="clear" w:color="auto" w:fill="F6F3F0"/>
          </w:tcPr>
          <w:p>
            <w:pPr>
              <w:jc w:val="right"/>
              <w:ind w:right="4"/>
              <w:spacing w:after="0" w:line="134" w:lineRule="exact"/>
              <w:rPr>
                <w:sz w:val="20"/>
                <w:szCs w:val="20"/>
                <w:color w:val="auto"/>
              </w:rPr>
            </w:pPr>
            <w:r>
              <w:rPr>
                <w:rFonts w:ascii="Arial" w:cs="Arial" w:eastAsia="Arial" w:hAnsi="Arial"/>
                <w:sz w:val="12"/>
                <w:szCs w:val="12"/>
                <w:b w:val="1"/>
                <w:bCs w:val="1"/>
                <w:color w:val="0E1020"/>
              </w:rPr>
              <w:t>Number of</w:t>
            </w:r>
          </w:p>
        </w:tc>
        <w:tc>
          <w:tcPr>
            <w:tcW w:w="1580" w:type="dxa"/>
            <w:vAlign w:val="bottom"/>
            <w:gridSpan w:val="2"/>
            <w:vMerge w:val="restart"/>
            <w:shd w:val="clear" w:color="auto" w:fill="F6F3F0"/>
          </w:tcPr>
          <w:p>
            <w:pPr>
              <w:jc w:val="right"/>
              <w:spacing w:after="0" w:line="134" w:lineRule="exact"/>
              <w:rPr>
                <w:sz w:val="20"/>
                <w:szCs w:val="20"/>
                <w:color w:val="auto"/>
              </w:rPr>
            </w:pPr>
            <w:r>
              <w:rPr>
                <w:rFonts w:ascii="Arial" w:cs="Arial" w:eastAsia="Arial" w:hAnsi="Arial"/>
                <w:sz w:val="12"/>
                <w:szCs w:val="12"/>
                <w:b w:val="1"/>
                <w:bCs w:val="1"/>
                <w:color w:val="0E1020"/>
                <w:w w:val="99"/>
              </w:rPr>
              <w:t>Exercise of Grant Date Fair</w:t>
            </w:r>
          </w:p>
        </w:tc>
        <w:tc>
          <w:tcPr>
            <w:tcW w:w="140" w:type="dxa"/>
            <w:vAlign w:val="bottom"/>
            <w:shd w:val="clear" w:color="auto" w:fill="F6F3F0"/>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F6F3F0"/>
          </w:tcPr>
          <w:p>
            <w:pPr>
              <w:spacing w:after="0"/>
              <w:rPr>
                <w:sz w:val="3"/>
                <w:szCs w:val="3"/>
                <w:color w:val="auto"/>
              </w:rPr>
            </w:pPr>
          </w:p>
        </w:tc>
        <w:tc>
          <w:tcPr>
            <w:tcW w:w="660" w:type="dxa"/>
            <w:vAlign w:val="bottom"/>
            <w:shd w:val="clear" w:color="auto" w:fill="F6F3F0"/>
          </w:tcPr>
          <w:p>
            <w:pPr>
              <w:spacing w:after="0"/>
              <w:rPr>
                <w:sz w:val="3"/>
                <w:szCs w:val="3"/>
                <w:color w:val="auto"/>
              </w:rPr>
            </w:pPr>
          </w:p>
        </w:tc>
        <w:tc>
          <w:tcPr>
            <w:tcW w:w="760" w:type="dxa"/>
            <w:vAlign w:val="bottom"/>
            <w:shd w:val="clear" w:color="auto" w:fill="F6F3F0"/>
          </w:tcPr>
          <w:p>
            <w:pPr>
              <w:spacing w:after="0"/>
              <w:rPr>
                <w:sz w:val="3"/>
                <w:szCs w:val="3"/>
                <w:color w:val="auto"/>
              </w:rPr>
            </w:pPr>
          </w:p>
        </w:tc>
        <w:tc>
          <w:tcPr>
            <w:tcW w:w="2620" w:type="dxa"/>
            <w:vAlign w:val="bottom"/>
            <w:gridSpan w:val="4"/>
            <w:vMerge w:val="restart"/>
            <w:shd w:val="clear" w:color="auto" w:fill="F6F3F0"/>
          </w:tcPr>
          <w:p>
            <w:pPr>
              <w:jc w:val="center"/>
              <w:ind w:right="80"/>
              <w:spacing w:after="0"/>
              <w:rPr>
                <w:sz w:val="20"/>
                <w:szCs w:val="20"/>
                <w:color w:val="auto"/>
              </w:rPr>
            </w:pPr>
            <w:r>
              <w:rPr>
                <w:rFonts w:ascii="Arial" w:cs="Arial" w:eastAsia="Arial" w:hAnsi="Arial"/>
                <w:sz w:val="12"/>
                <w:szCs w:val="12"/>
                <w:b w:val="1"/>
                <w:bCs w:val="1"/>
                <w:color w:val="0E1020"/>
                <w:w w:val="94"/>
              </w:rPr>
              <w:t>Equity Incentive Plan Awards</w:t>
            </w:r>
            <w:r>
              <w:rPr>
                <w:rFonts w:ascii="Arial" w:cs="Arial" w:eastAsia="Arial" w:hAnsi="Arial"/>
                <w:sz w:val="15"/>
                <w:szCs w:val="15"/>
                <w:b w:val="1"/>
                <w:bCs w:val="1"/>
                <w:color w:val="0E1020"/>
                <w:w w:val="94"/>
                <w:vertAlign w:val="superscript"/>
              </w:rPr>
              <w:t>(1)</w:t>
            </w:r>
          </w:p>
        </w:tc>
        <w:tc>
          <w:tcPr>
            <w:tcW w:w="1980" w:type="dxa"/>
            <w:vAlign w:val="bottom"/>
            <w:gridSpan w:val="2"/>
            <w:vMerge w:val="restart"/>
            <w:shd w:val="clear" w:color="auto" w:fill="F6F3F0"/>
          </w:tcPr>
          <w:p>
            <w:pPr>
              <w:jc w:val="right"/>
              <w:ind w:right="2"/>
              <w:spacing w:after="0"/>
              <w:rPr>
                <w:sz w:val="20"/>
                <w:szCs w:val="20"/>
                <w:color w:val="auto"/>
              </w:rPr>
            </w:pPr>
            <w:r>
              <w:rPr>
                <w:rFonts w:ascii="Arial" w:cs="Arial" w:eastAsia="Arial" w:hAnsi="Arial"/>
                <w:sz w:val="12"/>
                <w:szCs w:val="12"/>
                <w:b w:val="1"/>
                <w:bCs w:val="1"/>
                <w:color w:val="0E1020"/>
              </w:rPr>
              <w:t>Incentive Plan Awards</w:t>
            </w:r>
          </w:p>
        </w:tc>
        <w:tc>
          <w:tcPr>
            <w:tcW w:w="600" w:type="dxa"/>
            <w:vAlign w:val="bottom"/>
            <w:shd w:val="clear" w:color="auto" w:fill="F6F3F0"/>
          </w:tcPr>
          <w:p>
            <w:pPr>
              <w:spacing w:after="0"/>
              <w:rPr>
                <w:sz w:val="3"/>
                <w:szCs w:val="3"/>
                <w:color w:val="auto"/>
              </w:rPr>
            </w:pPr>
          </w:p>
        </w:tc>
        <w:tc>
          <w:tcPr>
            <w:tcW w:w="760" w:type="dxa"/>
            <w:vAlign w:val="bottom"/>
            <w:vMerge w:val="continue"/>
            <w:shd w:val="clear" w:color="auto" w:fill="F6F3F0"/>
          </w:tcPr>
          <w:p>
            <w:pPr>
              <w:spacing w:after="0"/>
              <w:rPr>
                <w:sz w:val="3"/>
                <w:szCs w:val="3"/>
                <w:color w:val="auto"/>
              </w:rPr>
            </w:pPr>
          </w:p>
        </w:tc>
        <w:tc>
          <w:tcPr>
            <w:tcW w:w="960" w:type="dxa"/>
            <w:vAlign w:val="bottom"/>
            <w:vMerge w:val="continue"/>
            <w:shd w:val="clear" w:color="auto" w:fill="F6F3F0"/>
          </w:tcPr>
          <w:p>
            <w:pPr>
              <w:spacing w:after="0"/>
              <w:rPr>
                <w:sz w:val="3"/>
                <w:szCs w:val="3"/>
                <w:color w:val="auto"/>
              </w:rPr>
            </w:pPr>
          </w:p>
        </w:tc>
        <w:tc>
          <w:tcPr>
            <w:tcW w:w="1580" w:type="dxa"/>
            <w:vAlign w:val="bottom"/>
            <w:gridSpan w:val="2"/>
            <w:vMerge w:val="continue"/>
            <w:shd w:val="clear" w:color="auto" w:fill="F6F3F0"/>
          </w:tcPr>
          <w:p>
            <w:pPr>
              <w:spacing w:after="0"/>
              <w:rPr>
                <w:sz w:val="3"/>
                <w:szCs w:val="3"/>
                <w:color w:val="auto"/>
              </w:rPr>
            </w:pPr>
          </w:p>
        </w:tc>
        <w:tc>
          <w:tcPr>
            <w:tcW w:w="140" w:type="dxa"/>
            <w:vAlign w:val="bottom"/>
            <w:shd w:val="clear" w:color="auto" w:fill="F6F3F0"/>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1180" w:type="dxa"/>
            <w:vAlign w:val="bottom"/>
            <w:tcBorders>
              <w:bottom w:val="single" w:sz="8" w:color="F6F3F0"/>
            </w:tcBorders>
            <w:shd w:val="clear" w:color="auto" w:fill="F6F3F0"/>
          </w:tcPr>
          <w:p>
            <w:pPr>
              <w:spacing w:after="0"/>
              <w:rPr>
                <w:sz w:val="17"/>
                <w:szCs w:val="17"/>
                <w:color w:val="auto"/>
              </w:rPr>
            </w:pPr>
          </w:p>
        </w:tc>
        <w:tc>
          <w:tcPr>
            <w:tcW w:w="660" w:type="dxa"/>
            <w:vAlign w:val="bottom"/>
            <w:tcBorders>
              <w:bottom w:val="single" w:sz="8" w:color="F6F3F0"/>
            </w:tcBorders>
            <w:shd w:val="clear" w:color="auto" w:fill="F6F3F0"/>
          </w:tcPr>
          <w:p>
            <w:pPr>
              <w:spacing w:after="0"/>
              <w:rPr>
                <w:sz w:val="17"/>
                <w:szCs w:val="17"/>
                <w:color w:val="auto"/>
              </w:rPr>
            </w:pPr>
          </w:p>
        </w:tc>
        <w:tc>
          <w:tcPr>
            <w:tcW w:w="760" w:type="dxa"/>
            <w:vAlign w:val="bottom"/>
            <w:tcBorders>
              <w:bottom w:val="single" w:sz="8" w:color="F6F3F0"/>
            </w:tcBorders>
            <w:shd w:val="clear" w:color="auto" w:fill="F6F3F0"/>
          </w:tcPr>
          <w:p>
            <w:pPr>
              <w:spacing w:after="0"/>
              <w:rPr>
                <w:sz w:val="17"/>
                <w:szCs w:val="17"/>
                <w:color w:val="auto"/>
              </w:rPr>
            </w:pPr>
          </w:p>
        </w:tc>
        <w:tc>
          <w:tcPr>
            <w:tcW w:w="2620" w:type="dxa"/>
            <w:vAlign w:val="bottom"/>
            <w:tcBorders>
              <w:bottom w:val="single" w:sz="8" w:color="F6F3F0"/>
            </w:tcBorders>
            <w:gridSpan w:val="4"/>
            <w:vMerge w:val="continue"/>
            <w:shd w:val="clear" w:color="auto" w:fill="F6F3F0"/>
          </w:tcPr>
          <w:p>
            <w:pPr>
              <w:spacing w:after="0"/>
              <w:rPr>
                <w:sz w:val="17"/>
                <w:szCs w:val="17"/>
                <w:color w:val="auto"/>
              </w:rPr>
            </w:pPr>
          </w:p>
        </w:tc>
        <w:tc>
          <w:tcPr>
            <w:tcW w:w="1980" w:type="dxa"/>
            <w:vAlign w:val="bottom"/>
            <w:tcBorders>
              <w:bottom w:val="single" w:sz="8" w:color="F6F3F0"/>
            </w:tcBorders>
            <w:gridSpan w:val="2"/>
            <w:vMerge w:val="continue"/>
            <w:shd w:val="clear" w:color="auto" w:fill="F6F3F0"/>
          </w:tcPr>
          <w:p>
            <w:pPr>
              <w:spacing w:after="0"/>
              <w:rPr>
                <w:sz w:val="17"/>
                <w:szCs w:val="17"/>
                <w:color w:val="auto"/>
              </w:rPr>
            </w:pPr>
          </w:p>
        </w:tc>
        <w:tc>
          <w:tcPr>
            <w:tcW w:w="600" w:type="dxa"/>
            <w:vAlign w:val="bottom"/>
            <w:tcBorders>
              <w:bottom w:val="single" w:sz="8" w:color="F6F3F0"/>
            </w:tcBorders>
            <w:shd w:val="clear" w:color="auto" w:fill="F6F3F0"/>
          </w:tcPr>
          <w:p>
            <w:pPr>
              <w:spacing w:after="0"/>
              <w:rPr>
                <w:sz w:val="17"/>
                <w:szCs w:val="17"/>
                <w:color w:val="auto"/>
              </w:rPr>
            </w:pPr>
          </w:p>
        </w:tc>
        <w:tc>
          <w:tcPr>
            <w:tcW w:w="76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2"/>
                <w:szCs w:val="12"/>
                <w:b w:val="1"/>
                <w:bCs w:val="1"/>
                <w:color w:val="0E1020"/>
              </w:rPr>
              <w:t>Number of</w:t>
            </w:r>
          </w:p>
        </w:tc>
        <w:tc>
          <w:tcPr>
            <w:tcW w:w="960" w:type="dxa"/>
            <w:vAlign w:val="bottom"/>
            <w:tcBorders>
              <w:bottom w:val="single" w:sz="8" w:color="F6F3F0"/>
            </w:tcBorders>
            <w:shd w:val="clear" w:color="auto" w:fill="F6F3F0"/>
          </w:tcPr>
          <w:p>
            <w:pPr>
              <w:jc w:val="right"/>
              <w:ind w:right="4"/>
              <w:spacing w:after="0"/>
              <w:rPr>
                <w:sz w:val="20"/>
                <w:szCs w:val="20"/>
                <w:color w:val="auto"/>
              </w:rPr>
            </w:pPr>
            <w:r>
              <w:rPr>
                <w:rFonts w:ascii="Arial" w:cs="Arial" w:eastAsia="Arial" w:hAnsi="Arial"/>
                <w:sz w:val="12"/>
                <w:szCs w:val="12"/>
                <w:b w:val="1"/>
                <w:bCs w:val="1"/>
                <w:color w:val="0E1020"/>
              </w:rPr>
              <w:t>Securities</w:t>
            </w:r>
          </w:p>
        </w:tc>
        <w:tc>
          <w:tcPr>
            <w:tcW w:w="72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2"/>
                <w:szCs w:val="12"/>
                <w:b w:val="1"/>
                <w:bCs w:val="1"/>
                <w:color w:val="0E1020"/>
              </w:rPr>
              <w:t>Base Price</w:t>
            </w:r>
          </w:p>
        </w:tc>
        <w:tc>
          <w:tcPr>
            <w:tcW w:w="86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2"/>
                <w:szCs w:val="12"/>
                <w:b w:val="1"/>
                <w:bCs w:val="1"/>
                <w:color w:val="0E1020"/>
                <w:w w:val="99"/>
              </w:rPr>
              <w:t>Value of Stock</w:t>
            </w:r>
          </w:p>
        </w:tc>
        <w:tc>
          <w:tcPr>
            <w:tcW w:w="140" w:type="dxa"/>
            <w:vAlign w:val="bottom"/>
            <w:tcBorders>
              <w:bottom w:val="single" w:sz="8" w:color="F6F3F0"/>
            </w:tcBorders>
            <w:shd w:val="clear" w:color="auto" w:fill="F6F3F0"/>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1180" w:type="dxa"/>
            <w:vAlign w:val="bottom"/>
            <w:tcBorders>
              <w:top w:val="single" w:sz="8" w:color="F6F3F0"/>
            </w:tcBorders>
            <w:shd w:val="clear" w:color="auto" w:fill="F6F3F0"/>
          </w:tcPr>
          <w:p>
            <w:pPr>
              <w:spacing w:after="0"/>
              <w:rPr>
                <w:sz w:val="5"/>
                <w:szCs w:val="5"/>
                <w:color w:val="auto"/>
              </w:rPr>
            </w:pPr>
          </w:p>
        </w:tc>
        <w:tc>
          <w:tcPr>
            <w:tcW w:w="660" w:type="dxa"/>
            <w:vAlign w:val="bottom"/>
            <w:tcBorders>
              <w:top w:val="single" w:sz="8" w:color="F6F3F0"/>
            </w:tcBorders>
            <w:shd w:val="clear" w:color="auto" w:fill="F6F3F0"/>
          </w:tcPr>
          <w:p>
            <w:pPr>
              <w:spacing w:after="0"/>
              <w:rPr>
                <w:sz w:val="5"/>
                <w:szCs w:val="5"/>
                <w:color w:val="auto"/>
              </w:rPr>
            </w:pPr>
          </w:p>
        </w:tc>
        <w:tc>
          <w:tcPr>
            <w:tcW w:w="760" w:type="dxa"/>
            <w:vAlign w:val="bottom"/>
            <w:tcBorders>
              <w:top w:val="single" w:sz="8" w:color="F6F3F0"/>
            </w:tcBorders>
            <w:shd w:val="clear" w:color="auto" w:fill="F6F3F0"/>
          </w:tcPr>
          <w:p>
            <w:pPr>
              <w:spacing w:after="0"/>
              <w:rPr>
                <w:sz w:val="5"/>
                <w:szCs w:val="5"/>
                <w:color w:val="auto"/>
              </w:rPr>
            </w:pPr>
          </w:p>
        </w:tc>
        <w:tc>
          <w:tcPr>
            <w:tcW w:w="860" w:type="dxa"/>
            <w:vAlign w:val="bottom"/>
            <w:tcBorders>
              <w:top w:val="single" w:sz="8" w:color="CFCFD2"/>
            </w:tcBorders>
            <w:shd w:val="clear" w:color="auto" w:fill="F6F3F0"/>
          </w:tcPr>
          <w:p>
            <w:pPr>
              <w:spacing w:after="0"/>
              <w:rPr>
                <w:sz w:val="5"/>
                <w:szCs w:val="5"/>
                <w:color w:val="auto"/>
              </w:rPr>
            </w:pPr>
          </w:p>
        </w:tc>
        <w:tc>
          <w:tcPr>
            <w:tcW w:w="960" w:type="dxa"/>
            <w:vAlign w:val="bottom"/>
            <w:tcBorders>
              <w:top w:val="single" w:sz="8" w:color="CFCFD2"/>
            </w:tcBorders>
            <w:shd w:val="clear" w:color="auto" w:fill="F6F3F0"/>
          </w:tcPr>
          <w:p>
            <w:pPr>
              <w:spacing w:after="0"/>
              <w:rPr>
                <w:sz w:val="5"/>
                <w:szCs w:val="5"/>
                <w:color w:val="auto"/>
              </w:rPr>
            </w:pPr>
          </w:p>
        </w:tc>
        <w:tc>
          <w:tcPr>
            <w:tcW w:w="700" w:type="dxa"/>
            <w:vAlign w:val="bottom"/>
            <w:tcBorders>
              <w:top w:val="single" w:sz="8" w:color="CFCFD2"/>
            </w:tcBorders>
            <w:shd w:val="clear" w:color="auto" w:fill="F6F3F0"/>
          </w:tcPr>
          <w:p>
            <w:pPr>
              <w:spacing w:after="0"/>
              <w:rPr>
                <w:sz w:val="5"/>
                <w:szCs w:val="5"/>
                <w:color w:val="auto"/>
              </w:rPr>
            </w:pPr>
          </w:p>
        </w:tc>
        <w:tc>
          <w:tcPr>
            <w:tcW w:w="100" w:type="dxa"/>
            <w:vAlign w:val="bottom"/>
            <w:tcBorders>
              <w:top w:val="single" w:sz="8" w:color="F6F3F0"/>
            </w:tcBorders>
            <w:shd w:val="clear" w:color="auto" w:fill="F6F3F0"/>
          </w:tcPr>
          <w:p>
            <w:pPr>
              <w:spacing w:after="0"/>
              <w:rPr>
                <w:sz w:val="5"/>
                <w:szCs w:val="5"/>
                <w:color w:val="auto"/>
              </w:rPr>
            </w:pPr>
          </w:p>
        </w:tc>
        <w:tc>
          <w:tcPr>
            <w:tcW w:w="1060" w:type="dxa"/>
            <w:vAlign w:val="bottom"/>
            <w:tcBorders>
              <w:top w:val="single" w:sz="8" w:color="CFCFD2"/>
            </w:tcBorders>
            <w:shd w:val="clear" w:color="auto" w:fill="F6F3F0"/>
          </w:tcPr>
          <w:p>
            <w:pPr>
              <w:spacing w:after="0"/>
              <w:rPr>
                <w:sz w:val="5"/>
                <w:szCs w:val="5"/>
                <w:color w:val="auto"/>
              </w:rPr>
            </w:pPr>
          </w:p>
        </w:tc>
        <w:tc>
          <w:tcPr>
            <w:tcW w:w="920" w:type="dxa"/>
            <w:vAlign w:val="bottom"/>
            <w:tcBorders>
              <w:top w:val="single" w:sz="8" w:color="CFCFD2"/>
            </w:tcBorders>
            <w:shd w:val="clear" w:color="auto" w:fill="F6F3F0"/>
          </w:tcPr>
          <w:p>
            <w:pPr>
              <w:spacing w:after="0"/>
              <w:rPr>
                <w:sz w:val="5"/>
                <w:szCs w:val="5"/>
                <w:color w:val="auto"/>
              </w:rPr>
            </w:pPr>
          </w:p>
        </w:tc>
        <w:tc>
          <w:tcPr>
            <w:tcW w:w="600" w:type="dxa"/>
            <w:vAlign w:val="bottom"/>
            <w:tcBorders>
              <w:top w:val="single" w:sz="8" w:color="CFCFD2"/>
            </w:tcBorders>
            <w:shd w:val="clear" w:color="auto" w:fill="F6F3F0"/>
          </w:tcPr>
          <w:p>
            <w:pPr>
              <w:spacing w:after="0"/>
              <w:rPr>
                <w:sz w:val="5"/>
                <w:szCs w:val="5"/>
                <w:color w:val="auto"/>
              </w:rPr>
            </w:pPr>
          </w:p>
        </w:tc>
        <w:tc>
          <w:tcPr>
            <w:tcW w:w="760" w:type="dxa"/>
            <w:vAlign w:val="bottom"/>
            <w:tcBorders>
              <w:top w:val="single" w:sz="8" w:color="F6F3F0"/>
            </w:tcBorders>
            <w:shd w:val="clear" w:color="auto" w:fill="F6F3F0"/>
          </w:tcPr>
          <w:p>
            <w:pPr>
              <w:jc w:val="right"/>
              <w:spacing w:after="0" w:line="64" w:lineRule="exact"/>
              <w:rPr>
                <w:sz w:val="20"/>
                <w:szCs w:val="20"/>
                <w:color w:val="auto"/>
              </w:rPr>
            </w:pPr>
            <w:r>
              <w:rPr>
                <w:rFonts w:ascii="Arial" w:cs="Arial" w:eastAsia="Arial" w:hAnsi="Arial"/>
                <w:sz w:val="7"/>
                <w:szCs w:val="7"/>
                <w:b w:val="1"/>
                <w:bCs w:val="1"/>
                <w:color w:val="0E1020"/>
              </w:rPr>
              <w:t>Shares of</w:t>
            </w:r>
          </w:p>
        </w:tc>
        <w:tc>
          <w:tcPr>
            <w:tcW w:w="960" w:type="dxa"/>
            <w:vAlign w:val="bottom"/>
            <w:tcBorders>
              <w:top w:val="single" w:sz="8" w:color="F6F3F0"/>
            </w:tcBorders>
            <w:shd w:val="clear" w:color="auto" w:fill="F6F3F0"/>
          </w:tcPr>
          <w:p>
            <w:pPr>
              <w:jc w:val="right"/>
              <w:ind w:right="4"/>
              <w:spacing w:after="0" w:line="64" w:lineRule="exact"/>
              <w:rPr>
                <w:sz w:val="20"/>
                <w:szCs w:val="20"/>
                <w:color w:val="auto"/>
              </w:rPr>
            </w:pPr>
            <w:r>
              <w:rPr>
                <w:rFonts w:ascii="Arial" w:cs="Arial" w:eastAsia="Arial" w:hAnsi="Arial"/>
                <w:sz w:val="7"/>
                <w:szCs w:val="7"/>
                <w:b w:val="1"/>
                <w:bCs w:val="1"/>
                <w:color w:val="0E1020"/>
              </w:rPr>
              <w:t>Underlying</w:t>
            </w:r>
          </w:p>
        </w:tc>
        <w:tc>
          <w:tcPr>
            <w:tcW w:w="720" w:type="dxa"/>
            <w:vAlign w:val="bottom"/>
            <w:tcBorders>
              <w:top w:val="single" w:sz="8" w:color="F6F3F0"/>
            </w:tcBorders>
            <w:shd w:val="clear" w:color="auto" w:fill="F6F3F0"/>
          </w:tcPr>
          <w:p>
            <w:pPr>
              <w:jc w:val="right"/>
              <w:spacing w:after="0" w:line="64" w:lineRule="exact"/>
              <w:rPr>
                <w:sz w:val="20"/>
                <w:szCs w:val="20"/>
                <w:color w:val="auto"/>
              </w:rPr>
            </w:pPr>
            <w:r>
              <w:rPr>
                <w:rFonts w:ascii="Arial" w:cs="Arial" w:eastAsia="Arial" w:hAnsi="Arial"/>
                <w:sz w:val="7"/>
                <w:szCs w:val="7"/>
                <w:b w:val="1"/>
                <w:bCs w:val="1"/>
                <w:color w:val="0E1020"/>
              </w:rPr>
              <w:t>of Option</w:t>
            </w:r>
          </w:p>
        </w:tc>
        <w:tc>
          <w:tcPr>
            <w:tcW w:w="860" w:type="dxa"/>
            <w:vAlign w:val="bottom"/>
            <w:tcBorders>
              <w:top w:val="single" w:sz="8" w:color="F6F3F0"/>
            </w:tcBorders>
            <w:shd w:val="clear" w:color="auto" w:fill="F6F3F0"/>
          </w:tcPr>
          <w:p>
            <w:pPr>
              <w:jc w:val="right"/>
              <w:spacing w:after="0" w:line="64" w:lineRule="exact"/>
              <w:rPr>
                <w:sz w:val="20"/>
                <w:szCs w:val="20"/>
                <w:color w:val="auto"/>
              </w:rPr>
            </w:pPr>
            <w:r>
              <w:rPr>
                <w:rFonts w:ascii="Arial" w:cs="Arial" w:eastAsia="Arial" w:hAnsi="Arial"/>
                <w:sz w:val="7"/>
                <w:szCs w:val="7"/>
                <w:b w:val="1"/>
                <w:bCs w:val="1"/>
                <w:color w:val="0E1020"/>
              </w:rPr>
              <w:t>and Options</w:t>
            </w:r>
          </w:p>
        </w:tc>
        <w:tc>
          <w:tcPr>
            <w:tcW w:w="140" w:type="dxa"/>
            <w:vAlign w:val="bottom"/>
            <w:tcBorders>
              <w:top w:val="single" w:sz="8" w:color="F6F3F0"/>
            </w:tcBorders>
            <w:shd w:val="clear" w:color="auto" w:fill="F6F3F0"/>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180" w:type="dxa"/>
            <w:vAlign w:val="bottom"/>
            <w:shd w:val="clear" w:color="auto" w:fill="F6F3F0"/>
          </w:tcPr>
          <w:p>
            <w:pPr>
              <w:spacing w:after="0"/>
              <w:rPr>
                <w:sz w:val="11"/>
                <w:szCs w:val="11"/>
                <w:color w:val="auto"/>
              </w:rPr>
            </w:pPr>
          </w:p>
        </w:tc>
        <w:tc>
          <w:tcPr>
            <w:tcW w:w="660" w:type="dxa"/>
            <w:vAlign w:val="bottom"/>
            <w:shd w:val="clear" w:color="auto" w:fill="F6F3F0"/>
          </w:tcPr>
          <w:p>
            <w:pPr>
              <w:jc w:val="center"/>
              <w:spacing w:after="0" w:line="134" w:lineRule="exact"/>
              <w:rPr>
                <w:sz w:val="20"/>
                <w:szCs w:val="20"/>
                <w:color w:val="auto"/>
              </w:rPr>
            </w:pPr>
            <w:r>
              <w:rPr>
                <w:rFonts w:ascii="Arial" w:cs="Arial" w:eastAsia="Arial" w:hAnsi="Arial"/>
                <w:sz w:val="12"/>
                <w:szCs w:val="12"/>
                <w:b w:val="1"/>
                <w:bCs w:val="1"/>
                <w:color w:val="0E1020"/>
                <w:w w:val="93"/>
              </w:rPr>
              <w:t>Grant</w:t>
            </w:r>
          </w:p>
        </w:tc>
        <w:tc>
          <w:tcPr>
            <w:tcW w:w="760" w:type="dxa"/>
            <w:vAlign w:val="bottom"/>
            <w:shd w:val="clear" w:color="auto" w:fill="F6F3F0"/>
          </w:tcPr>
          <w:p>
            <w:pPr>
              <w:jc w:val="center"/>
              <w:spacing w:after="0" w:line="134" w:lineRule="exact"/>
              <w:rPr>
                <w:sz w:val="20"/>
                <w:szCs w:val="20"/>
                <w:color w:val="auto"/>
              </w:rPr>
            </w:pPr>
            <w:r>
              <w:rPr>
                <w:rFonts w:ascii="Arial" w:cs="Arial" w:eastAsia="Arial" w:hAnsi="Arial"/>
                <w:sz w:val="12"/>
                <w:szCs w:val="12"/>
                <w:b w:val="1"/>
                <w:bCs w:val="1"/>
                <w:color w:val="0E1020"/>
                <w:w w:val="99"/>
              </w:rPr>
              <w:t>Approval</w:t>
            </w:r>
          </w:p>
        </w:tc>
        <w:tc>
          <w:tcPr>
            <w:tcW w:w="860" w:type="dxa"/>
            <w:vAlign w:val="bottom"/>
            <w:shd w:val="clear" w:color="auto" w:fill="F6F3F0"/>
          </w:tcPr>
          <w:p>
            <w:pPr>
              <w:jc w:val="right"/>
              <w:spacing w:after="0" w:line="134" w:lineRule="exact"/>
              <w:rPr>
                <w:sz w:val="20"/>
                <w:szCs w:val="20"/>
                <w:color w:val="auto"/>
              </w:rPr>
            </w:pPr>
            <w:r>
              <w:rPr>
                <w:rFonts w:ascii="Arial" w:cs="Arial" w:eastAsia="Arial" w:hAnsi="Arial"/>
                <w:sz w:val="12"/>
                <w:szCs w:val="12"/>
                <w:b w:val="1"/>
                <w:bCs w:val="1"/>
                <w:color w:val="0E1020"/>
              </w:rPr>
              <w:t>Threshold</w:t>
            </w:r>
          </w:p>
        </w:tc>
        <w:tc>
          <w:tcPr>
            <w:tcW w:w="960" w:type="dxa"/>
            <w:vAlign w:val="bottom"/>
            <w:shd w:val="clear" w:color="auto" w:fill="F6F3F0"/>
          </w:tcPr>
          <w:p>
            <w:pPr>
              <w:jc w:val="right"/>
              <w:ind w:right="62"/>
              <w:spacing w:after="0" w:line="134" w:lineRule="exact"/>
              <w:rPr>
                <w:sz w:val="20"/>
                <w:szCs w:val="20"/>
                <w:color w:val="auto"/>
              </w:rPr>
            </w:pPr>
            <w:r>
              <w:rPr>
                <w:rFonts w:ascii="Arial" w:cs="Arial" w:eastAsia="Arial" w:hAnsi="Arial"/>
                <w:sz w:val="12"/>
                <w:szCs w:val="12"/>
                <w:b w:val="1"/>
                <w:bCs w:val="1"/>
                <w:color w:val="0E1020"/>
              </w:rPr>
              <w:t>Target</w:t>
            </w:r>
          </w:p>
        </w:tc>
        <w:tc>
          <w:tcPr>
            <w:tcW w:w="800" w:type="dxa"/>
            <w:vAlign w:val="bottom"/>
            <w:gridSpan w:val="2"/>
            <w:shd w:val="clear" w:color="auto" w:fill="F6F3F0"/>
          </w:tcPr>
          <w:p>
            <w:pPr>
              <w:jc w:val="right"/>
              <w:ind w:right="100"/>
              <w:spacing w:after="0" w:line="134" w:lineRule="exact"/>
              <w:rPr>
                <w:sz w:val="20"/>
                <w:szCs w:val="20"/>
                <w:color w:val="auto"/>
              </w:rPr>
            </w:pPr>
            <w:r>
              <w:rPr>
                <w:rFonts w:ascii="Arial" w:cs="Arial" w:eastAsia="Arial" w:hAnsi="Arial"/>
                <w:sz w:val="12"/>
                <w:szCs w:val="12"/>
                <w:b w:val="1"/>
                <w:bCs w:val="1"/>
                <w:color w:val="0E1020"/>
              </w:rPr>
              <w:t>Maximum</w:t>
            </w:r>
          </w:p>
        </w:tc>
        <w:tc>
          <w:tcPr>
            <w:tcW w:w="1060" w:type="dxa"/>
            <w:vAlign w:val="bottom"/>
            <w:shd w:val="clear" w:color="auto" w:fill="F6F3F0"/>
          </w:tcPr>
          <w:p>
            <w:pPr>
              <w:jc w:val="right"/>
              <w:ind w:right="162"/>
              <w:spacing w:after="0" w:line="134" w:lineRule="exact"/>
              <w:rPr>
                <w:sz w:val="20"/>
                <w:szCs w:val="20"/>
                <w:color w:val="auto"/>
              </w:rPr>
            </w:pPr>
            <w:r>
              <w:rPr>
                <w:rFonts w:ascii="Arial" w:cs="Arial" w:eastAsia="Arial" w:hAnsi="Arial"/>
                <w:sz w:val="12"/>
                <w:szCs w:val="12"/>
                <w:b w:val="1"/>
                <w:bCs w:val="1"/>
                <w:color w:val="0E1020"/>
              </w:rPr>
              <w:t>Threshold</w:t>
            </w:r>
          </w:p>
        </w:tc>
        <w:tc>
          <w:tcPr>
            <w:tcW w:w="920" w:type="dxa"/>
            <w:vAlign w:val="bottom"/>
            <w:shd w:val="clear" w:color="auto" w:fill="F6F3F0"/>
          </w:tcPr>
          <w:p>
            <w:pPr>
              <w:jc w:val="right"/>
              <w:ind w:right="222"/>
              <w:spacing w:after="0" w:line="134" w:lineRule="exact"/>
              <w:rPr>
                <w:sz w:val="20"/>
                <w:szCs w:val="20"/>
                <w:color w:val="auto"/>
              </w:rPr>
            </w:pPr>
            <w:r>
              <w:rPr>
                <w:rFonts w:ascii="Arial" w:cs="Arial" w:eastAsia="Arial" w:hAnsi="Arial"/>
                <w:sz w:val="12"/>
                <w:szCs w:val="12"/>
                <w:b w:val="1"/>
                <w:bCs w:val="1"/>
                <w:color w:val="0E1020"/>
              </w:rPr>
              <w:t>Target</w:t>
            </w:r>
          </w:p>
        </w:tc>
        <w:tc>
          <w:tcPr>
            <w:tcW w:w="600" w:type="dxa"/>
            <w:vAlign w:val="bottom"/>
            <w:shd w:val="clear" w:color="auto" w:fill="F6F3F0"/>
          </w:tcPr>
          <w:p>
            <w:pPr>
              <w:jc w:val="right"/>
              <w:spacing w:after="0" w:line="134" w:lineRule="exact"/>
              <w:rPr>
                <w:sz w:val="20"/>
                <w:szCs w:val="20"/>
                <w:color w:val="auto"/>
              </w:rPr>
            </w:pPr>
            <w:r>
              <w:rPr>
                <w:rFonts w:ascii="Arial" w:cs="Arial" w:eastAsia="Arial" w:hAnsi="Arial"/>
                <w:sz w:val="12"/>
                <w:szCs w:val="12"/>
                <w:b w:val="1"/>
                <w:bCs w:val="1"/>
                <w:color w:val="0E1020"/>
              </w:rPr>
              <w:t>Maximum</w:t>
            </w:r>
          </w:p>
        </w:tc>
        <w:tc>
          <w:tcPr>
            <w:tcW w:w="760" w:type="dxa"/>
            <w:vAlign w:val="bottom"/>
            <w:shd w:val="clear" w:color="auto" w:fill="F6F3F0"/>
          </w:tcPr>
          <w:p>
            <w:pPr>
              <w:jc w:val="right"/>
              <w:spacing w:after="0" w:line="134" w:lineRule="exact"/>
              <w:rPr>
                <w:sz w:val="20"/>
                <w:szCs w:val="20"/>
                <w:color w:val="auto"/>
              </w:rPr>
            </w:pPr>
            <w:r>
              <w:rPr>
                <w:rFonts w:ascii="Arial" w:cs="Arial" w:eastAsia="Arial" w:hAnsi="Arial"/>
                <w:sz w:val="12"/>
                <w:szCs w:val="12"/>
                <w:b w:val="1"/>
                <w:bCs w:val="1"/>
                <w:color w:val="0E1020"/>
              </w:rPr>
              <w:t>Stock Units</w:t>
            </w:r>
          </w:p>
        </w:tc>
        <w:tc>
          <w:tcPr>
            <w:tcW w:w="960" w:type="dxa"/>
            <w:vAlign w:val="bottom"/>
            <w:shd w:val="clear" w:color="auto" w:fill="F6F3F0"/>
          </w:tcPr>
          <w:p>
            <w:pPr>
              <w:jc w:val="right"/>
              <w:ind w:right="4"/>
              <w:spacing w:after="0" w:line="134" w:lineRule="exact"/>
              <w:rPr>
                <w:sz w:val="20"/>
                <w:szCs w:val="20"/>
                <w:color w:val="auto"/>
              </w:rPr>
            </w:pPr>
            <w:r>
              <w:rPr>
                <w:rFonts w:ascii="Arial" w:cs="Arial" w:eastAsia="Arial" w:hAnsi="Arial"/>
                <w:sz w:val="12"/>
                <w:szCs w:val="12"/>
                <w:b w:val="1"/>
                <w:bCs w:val="1"/>
                <w:color w:val="0E1020"/>
              </w:rPr>
              <w:t>Options</w:t>
            </w:r>
          </w:p>
        </w:tc>
        <w:tc>
          <w:tcPr>
            <w:tcW w:w="720" w:type="dxa"/>
            <w:vAlign w:val="bottom"/>
            <w:shd w:val="clear" w:color="auto" w:fill="F6F3F0"/>
          </w:tcPr>
          <w:p>
            <w:pPr>
              <w:jc w:val="right"/>
              <w:spacing w:after="0" w:line="134" w:lineRule="exact"/>
              <w:rPr>
                <w:sz w:val="20"/>
                <w:szCs w:val="20"/>
                <w:color w:val="auto"/>
              </w:rPr>
            </w:pPr>
            <w:r>
              <w:rPr>
                <w:rFonts w:ascii="Arial" w:cs="Arial" w:eastAsia="Arial" w:hAnsi="Arial"/>
                <w:sz w:val="12"/>
                <w:szCs w:val="12"/>
                <w:b w:val="1"/>
                <w:bCs w:val="1"/>
                <w:color w:val="0E1020"/>
              </w:rPr>
              <w:t>Awards</w:t>
            </w:r>
          </w:p>
        </w:tc>
        <w:tc>
          <w:tcPr>
            <w:tcW w:w="860" w:type="dxa"/>
            <w:vAlign w:val="bottom"/>
            <w:shd w:val="clear" w:color="auto" w:fill="F6F3F0"/>
          </w:tcPr>
          <w:p>
            <w:pPr>
              <w:jc w:val="right"/>
              <w:spacing w:after="0" w:line="134" w:lineRule="exact"/>
              <w:rPr>
                <w:sz w:val="20"/>
                <w:szCs w:val="20"/>
                <w:color w:val="auto"/>
              </w:rPr>
            </w:pPr>
            <w:r>
              <w:rPr>
                <w:rFonts w:ascii="Arial" w:cs="Arial" w:eastAsia="Arial" w:hAnsi="Arial"/>
                <w:sz w:val="12"/>
                <w:szCs w:val="12"/>
                <w:b w:val="1"/>
                <w:bCs w:val="1"/>
                <w:color w:val="0E1020"/>
              </w:rPr>
              <w:t>Awards</w:t>
            </w:r>
          </w:p>
        </w:tc>
        <w:tc>
          <w:tcPr>
            <w:tcW w:w="140" w:type="dxa"/>
            <w:vAlign w:val="bottom"/>
            <w:shd w:val="clear" w:color="auto" w:fill="F6F3F0"/>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80" w:type="dxa"/>
            <w:vAlign w:val="bottom"/>
            <w:shd w:val="clear" w:color="auto" w:fill="F6F3F0"/>
          </w:tcPr>
          <w:p>
            <w:pPr>
              <w:ind w:left="80"/>
              <w:spacing w:after="0" w:line="134" w:lineRule="exact"/>
              <w:rPr>
                <w:sz w:val="20"/>
                <w:szCs w:val="20"/>
                <w:color w:val="auto"/>
              </w:rPr>
            </w:pPr>
            <w:r>
              <w:rPr>
                <w:rFonts w:ascii="Arial" w:cs="Arial" w:eastAsia="Arial" w:hAnsi="Arial"/>
                <w:sz w:val="12"/>
                <w:szCs w:val="12"/>
                <w:b w:val="1"/>
                <w:bCs w:val="1"/>
                <w:color w:val="0E1020"/>
              </w:rPr>
              <w:t>Name</w:t>
            </w:r>
          </w:p>
        </w:tc>
        <w:tc>
          <w:tcPr>
            <w:tcW w:w="660" w:type="dxa"/>
            <w:vAlign w:val="bottom"/>
            <w:shd w:val="clear" w:color="auto" w:fill="F6F3F0"/>
          </w:tcPr>
          <w:p>
            <w:pPr>
              <w:jc w:val="center"/>
              <w:spacing w:after="0" w:line="134" w:lineRule="exact"/>
              <w:rPr>
                <w:sz w:val="20"/>
                <w:szCs w:val="20"/>
                <w:color w:val="auto"/>
              </w:rPr>
            </w:pPr>
            <w:r>
              <w:rPr>
                <w:rFonts w:ascii="Arial" w:cs="Arial" w:eastAsia="Arial" w:hAnsi="Arial"/>
                <w:sz w:val="12"/>
                <w:szCs w:val="12"/>
                <w:b w:val="1"/>
                <w:bCs w:val="1"/>
                <w:color w:val="0E1020"/>
                <w:w w:val="99"/>
              </w:rPr>
              <w:t>Date</w:t>
            </w:r>
          </w:p>
        </w:tc>
        <w:tc>
          <w:tcPr>
            <w:tcW w:w="760" w:type="dxa"/>
            <w:vAlign w:val="bottom"/>
            <w:shd w:val="clear" w:color="auto" w:fill="F6F3F0"/>
          </w:tcPr>
          <w:p>
            <w:pPr>
              <w:jc w:val="center"/>
              <w:spacing w:after="0" w:line="134" w:lineRule="exact"/>
              <w:rPr>
                <w:sz w:val="20"/>
                <w:szCs w:val="20"/>
                <w:color w:val="auto"/>
              </w:rPr>
            </w:pPr>
            <w:r>
              <w:rPr>
                <w:rFonts w:ascii="Arial" w:cs="Arial" w:eastAsia="Arial" w:hAnsi="Arial"/>
                <w:sz w:val="12"/>
                <w:szCs w:val="12"/>
                <w:b w:val="1"/>
                <w:bCs w:val="1"/>
                <w:color w:val="0E1020"/>
                <w:w w:val="92"/>
              </w:rPr>
              <w:t>Date</w:t>
            </w:r>
          </w:p>
        </w:tc>
        <w:tc>
          <w:tcPr>
            <w:tcW w:w="860" w:type="dxa"/>
            <w:vAlign w:val="bottom"/>
            <w:shd w:val="clear" w:color="auto" w:fill="F6F3F0"/>
          </w:tcPr>
          <w:p>
            <w:pPr>
              <w:jc w:val="right"/>
              <w:spacing w:after="0" w:line="134" w:lineRule="exact"/>
              <w:rPr>
                <w:sz w:val="20"/>
                <w:szCs w:val="20"/>
                <w:color w:val="auto"/>
              </w:rPr>
            </w:pPr>
            <w:r>
              <w:rPr>
                <w:rFonts w:ascii="Arial" w:cs="Arial" w:eastAsia="Arial" w:hAnsi="Arial"/>
                <w:sz w:val="12"/>
                <w:szCs w:val="12"/>
                <w:b w:val="1"/>
                <w:bCs w:val="1"/>
                <w:color w:val="0E1020"/>
              </w:rPr>
              <w:t>($)</w:t>
            </w:r>
          </w:p>
        </w:tc>
        <w:tc>
          <w:tcPr>
            <w:tcW w:w="960" w:type="dxa"/>
            <w:vAlign w:val="bottom"/>
            <w:shd w:val="clear" w:color="auto" w:fill="F6F3F0"/>
          </w:tcPr>
          <w:p>
            <w:pPr>
              <w:jc w:val="right"/>
              <w:ind w:right="62"/>
              <w:spacing w:after="0" w:line="134" w:lineRule="exact"/>
              <w:rPr>
                <w:sz w:val="20"/>
                <w:szCs w:val="20"/>
                <w:color w:val="auto"/>
              </w:rPr>
            </w:pPr>
            <w:r>
              <w:rPr>
                <w:rFonts w:ascii="Arial" w:cs="Arial" w:eastAsia="Arial" w:hAnsi="Arial"/>
                <w:sz w:val="12"/>
                <w:szCs w:val="12"/>
                <w:b w:val="1"/>
                <w:bCs w:val="1"/>
                <w:color w:val="0E1020"/>
              </w:rPr>
              <w:t>($)</w:t>
            </w:r>
          </w:p>
        </w:tc>
        <w:tc>
          <w:tcPr>
            <w:tcW w:w="700" w:type="dxa"/>
            <w:vAlign w:val="bottom"/>
            <w:shd w:val="clear" w:color="auto" w:fill="F6F3F0"/>
          </w:tcPr>
          <w:p>
            <w:pPr>
              <w:jc w:val="right"/>
              <w:spacing w:after="0" w:line="134" w:lineRule="exact"/>
              <w:rPr>
                <w:sz w:val="20"/>
                <w:szCs w:val="20"/>
                <w:color w:val="auto"/>
              </w:rPr>
            </w:pPr>
            <w:r>
              <w:rPr>
                <w:rFonts w:ascii="Arial" w:cs="Arial" w:eastAsia="Arial" w:hAnsi="Arial"/>
                <w:sz w:val="12"/>
                <w:szCs w:val="12"/>
                <w:b w:val="1"/>
                <w:bCs w:val="1"/>
                <w:color w:val="0E1020"/>
              </w:rPr>
              <w:t>($)</w:t>
            </w:r>
          </w:p>
        </w:tc>
        <w:tc>
          <w:tcPr>
            <w:tcW w:w="100" w:type="dxa"/>
            <w:vAlign w:val="bottom"/>
            <w:shd w:val="clear" w:color="auto" w:fill="F6F3F0"/>
          </w:tcPr>
          <w:p>
            <w:pPr>
              <w:spacing w:after="0"/>
              <w:rPr>
                <w:sz w:val="11"/>
                <w:szCs w:val="11"/>
                <w:color w:val="auto"/>
              </w:rPr>
            </w:pPr>
          </w:p>
        </w:tc>
        <w:tc>
          <w:tcPr>
            <w:tcW w:w="1060" w:type="dxa"/>
            <w:vAlign w:val="bottom"/>
            <w:shd w:val="clear" w:color="auto" w:fill="F6F3F0"/>
          </w:tcPr>
          <w:p>
            <w:pPr>
              <w:jc w:val="right"/>
              <w:ind w:right="162"/>
              <w:spacing w:after="0" w:line="134" w:lineRule="exact"/>
              <w:rPr>
                <w:sz w:val="20"/>
                <w:szCs w:val="20"/>
                <w:color w:val="auto"/>
              </w:rPr>
            </w:pPr>
            <w:r>
              <w:rPr>
                <w:rFonts w:ascii="Arial" w:cs="Arial" w:eastAsia="Arial" w:hAnsi="Arial"/>
                <w:sz w:val="12"/>
                <w:szCs w:val="12"/>
                <w:b w:val="1"/>
                <w:bCs w:val="1"/>
                <w:color w:val="0E1020"/>
              </w:rPr>
              <w:t>(#)</w:t>
            </w:r>
          </w:p>
        </w:tc>
        <w:tc>
          <w:tcPr>
            <w:tcW w:w="920" w:type="dxa"/>
            <w:vAlign w:val="bottom"/>
            <w:shd w:val="clear" w:color="auto" w:fill="F6F3F0"/>
          </w:tcPr>
          <w:p>
            <w:pPr>
              <w:jc w:val="right"/>
              <w:ind w:right="222"/>
              <w:spacing w:after="0" w:line="134" w:lineRule="exact"/>
              <w:rPr>
                <w:sz w:val="20"/>
                <w:szCs w:val="20"/>
                <w:color w:val="auto"/>
              </w:rPr>
            </w:pPr>
            <w:r>
              <w:rPr>
                <w:rFonts w:ascii="Arial" w:cs="Arial" w:eastAsia="Arial" w:hAnsi="Arial"/>
                <w:sz w:val="12"/>
                <w:szCs w:val="12"/>
                <w:b w:val="1"/>
                <w:bCs w:val="1"/>
                <w:color w:val="0E1020"/>
              </w:rPr>
              <w:t>(#)</w:t>
            </w:r>
          </w:p>
        </w:tc>
        <w:tc>
          <w:tcPr>
            <w:tcW w:w="600" w:type="dxa"/>
            <w:vAlign w:val="bottom"/>
            <w:shd w:val="clear" w:color="auto" w:fill="F6F3F0"/>
          </w:tcPr>
          <w:p>
            <w:pPr>
              <w:jc w:val="right"/>
              <w:spacing w:after="0" w:line="134" w:lineRule="exact"/>
              <w:rPr>
                <w:sz w:val="20"/>
                <w:szCs w:val="20"/>
                <w:color w:val="auto"/>
              </w:rPr>
            </w:pPr>
            <w:r>
              <w:rPr>
                <w:rFonts w:ascii="Arial" w:cs="Arial" w:eastAsia="Arial" w:hAnsi="Arial"/>
                <w:sz w:val="12"/>
                <w:szCs w:val="12"/>
                <w:b w:val="1"/>
                <w:bCs w:val="1"/>
                <w:color w:val="0E1020"/>
              </w:rPr>
              <w:t>(#)</w:t>
            </w:r>
          </w:p>
        </w:tc>
        <w:tc>
          <w:tcPr>
            <w:tcW w:w="760" w:type="dxa"/>
            <w:vAlign w:val="bottom"/>
            <w:shd w:val="clear" w:color="auto" w:fill="F6F3F0"/>
          </w:tcPr>
          <w:p>
            <w:pPr>
              <w:jc w:val="right"/>
              <w:spacing w:after="0" w:line="134" w:lineRule="exact"/>
              <w:rPr>
                <w:sz w:val="20"/>
                <w:szCs w:val="20"/>
                <w:color w:val="auto"/>
              </w:rPr>
            </w:pPr>
            <w:r>
              <w:rPr>
                <w:rFonts w:ascii="Arial" w:cs="Arial" w:eastAsia="Arial" w:hAnsi="Arial"/>
                <w:sz w:val="12"/>
                <w:szCs w:val="12"/>
                <w:b w:val="1"/>
                <w:bCs w:val="1"/>
                <w:color w:val="0E1020"/>
              </w:rPr>
              <w:t>(#)</w:t>
            </w:r>
          </w:p>
        </w:tc>
        <w:tc>
          <w:tcPr>
            <w:tcW w:w="960" w:type="dxa"/>
            <w:vAlign w:val="bottom"/>
            <w:shd w:val="clear" w:color="auto" w:fill="F6F3F0"/>
          </w:tcPr>
          <w:p>
            <w:pPr>
              <w:jc w:val="right"/>
              <w:ind w:right="4"/>
              <w:spacing w:after="0" w:line="134" w:lineRule="exact"/>
              <w:rPr>
                <w:sz w:val="20"/>
                <w:szCs w:val="20"/>
                <w:color w:val="auto"/>
              </w:rPr>
            </w:pPr>
            <w:r>
              <w:rPr>
                <w:rFonts w:ascii="Arial" w:cs="Arial" w:eastAsia="Arial" w:hAnsi="Arial"/>
                <w:sz w:val="12"/>
                <w:szCs w:val="12"/>
                <w:b w:val="1"/>
                <w:bCs w:val="1"/>
                <w:color w:val="0E1020"/>
              </w:rPr>
              <w:t>(#)</w:t>
            </w:r>
          </w:p>
        </w:tc>
        <w:tc>
          <w:tcPr>
            <w:tcW w:w="720" w:type="dxa"/>
            <w:vAlign w:val="bottom"/>
            <w:shd w:val="clear" w:color="auto" w:fill="F6F3F0"/>
          </w:tcPr>
          <w:p>
            <w:pPr>
              <w:jc w:val="right"/>
              <w:spacing w:after="0" w:line="134" w:lineRule="exact"/>
              <w:rPr>
                <w:sz w:val="20"/>
                <w:szCs w:val="20"/>
                <w:color w:val="auto"/>
              </w:rPr>
            </w:pPr>
            <w:r>
              <w:rPr>
                <w:rFonts w:ascii="Arial" w:cs="Arial" w:eastAsia="Arial" w:hAnsi="Arial"/>
                <w:sz w:val="12"/>
                <w:szCs w:val="12"/>
                <w:b w:val="1"/>
                <w:bCs w:val="1"/>
                <w:color w:val="0E1020"/>
              </w:rPr>
              <w:t>($)</w:t>
            </w:r>
          </w:p>
        </w:tc>
        <w:tc>
          <w:tcPr>
            <w:tcW w:w="860" w:type="dxa"/>
            <w:vAlign w:val="bottom"/>
            <w:shd w:val="clear" w:color="auto" w:fill="F6F3F0"/>
          </w:tcPr>
          <w:p>
            <w:pPr>
              <w:jc w:val="right"/>
              <w:spacing w:after="0" w:line="134" w:lineRule="exact"/>
              <w:rPr>
                <w:sz w:val="20"/>
                <w:szCs w:val="20"/>
                <w:color w:val="auto"/>
              </w:rPr>
            </w:pPr>
            <w:r>
              <w:rPr>
                <w:rFonts w:ascii="Arial" w:cs="Arial" w:eastAsia="Arial" w:hAnsi="Arial"/>
                <w:sz w:val="12"/>
                <w:szCs w:val="12"/>
                <w:b w:val="1"/>
                <w:bCs w:val="1"/>
                <w:color w:val="0E1020"/>
              </w:rPr>
              <w:t>($)</w:t>
            </w:r>
          </w:p>
        </w:tc>
        <w:tc>
          <w:tcPr>
            <w:tcW w:w="140" w:type="dxa"/>
            <w:vAlign w:val="bottom"/>
            <w:shd w:val="clear" w:color="auto" w:fill="F6F3F0"/>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180" w:type="dxa"/>
            <w:vAlign w:val="bottom"/>
            <w:tcBorders>
              <w:bottom w:val="single" w:sz="8" w:color="F6F3F0"/>
            </w:tcBorders>
            <w:shd w:val="clear" w:color="auto" w:fill="F6F3F0"/>
          </w:tcPr>
          <w:p>
            <w:pPr>
              <w:ind w:left="80"/>
              <w:spacing w:after="0"/>
              <w:rPr>
                <w:sz w:val="20"/>
                <w:szCs w:val="20"/>
                <w:color w:val="auto"/>
              </w:rPr>
            </w:pPr>
            <w:r>
              <w:rPr>
                <w:rFonts w:ascii="Arial" w:cs="Arial" w:eastAsia="Arial" w:hAnsi="Arial"/>
                <w:sz w:val="12"/>
                <w:szCs w:val="12"/>
                <w:b w:val="1"/>
                <w:bCs w:val="1"/>
                <w:color w:val="0E1020"/>
              </w:rPr>
              <w:t>(a)</w:t>
            </w:r>
          </w:p>
        </w:tc>
        <w:tc>
          <w:tcPr>
            <w:tcW w:w="660" w:type="dxa"/>
            <w:vAlign w:val="bottom"/>
            <w:tcBorders>
              <w:bottom w:val="single" w:sz="8" w:color="F6F3F0"/>
            </w:tcBorders>
            <w:shd w:val="clear" w:color="auto" w:fill="F6F3F0"/>
          </w:tcPr>
          <w:p>
            <w:pPr>
              <w:jc w:val="center"/>
              <w:spacing w:after="0"/>
              <w:rPr>
                <w:sz w:val="20"/>
                <w:szCs w:val="20"/>
                <w:color w:val="auto"/>
              </w:rPr>
            </w:pPr>
            <w:r>
              <w:rPr>
                <w:rFonts w:ascii="Arial" w:cs="Arial" w:eastAsia="Arial" w:hAnsi="Arial"/>
                <w:sz w:val="12"/>
                <w:szCs w:val="12"/>
                <w:b w:val="1"/>
                <w:bCs w:val="1"/>
                <w:color w:val="0E1020"/>
                <w:w w:val="91"/>
              </w:rPr>
              <w:t>(b)</w:t>
            </w:r>
          </w:p>
        </w:tc>
        <w:tc>
          <w:tcPr>
            <w:tcW w:w="760" w:type="dxa"/>
            <w:vAlign w:val="bottom"/>
            <w:tcBorders>
              <w:bottom w:val="single" w:sz="8" w:color="F6F3F0"/>
            </w:tcBorders>
            <w:shd w:val="clear" w:color="auto" w:fill="F6F3F0"/>
          </w:tcPr>
          <w:p>
            <w:pPr>
              <w:jc w:val="center"/>
              <w:spacing w:after="0"/>
              <w:rPr>
                <w:sz w:val="20"/>
                <w:szCs w:val="20"/>
                <w:color w:val="auto"/>
              </w:rPr>
            </w:pPr>
            <w:r>
              <w:rPr>
                <w:rFonts w:ascii="Arial" w:cs="Arial" w:eastAsia="Arial" w:hAnsi="Arial"/>
                <w:sz w:val="12"/>
                <w:szCs w:val="12"/>
                <w:b w:val="1"/>
                <w:bCs w:val="1"/>
                <w:color w:val="0E1020"/>
              </w:rPr>
              <w:t>(c)</w:t>
            </w:r>
          </w:p>
        </w:tc>
        <w:tc>
          <w:tcPr>
            <w:tcW w:w="86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2"/>
                <w:szCs w:val="12"/>
                <w:b w:val="1"/>
                <w:bCs w:val="1"/>
                <w:color w:val="0E1020"/>
              </w:rPr>
              <w:t>(d)</w:t>
            </w:r>
          </w:p>
        </w:tc>
        <w:tc>
          <w:tcPr>
            <w:tcW w:w="960" w:type="dxa"/>
            <w:vAlign w:val="bottom"/>
            <w:tcBorders>
              <w:bottom w:val="single" w:sz="8" w:color="F6F3F0"/>
            </w:tcBorders>
            <w:shd w:val="clear" w:color="auto" w:fill="F6F3F0"/>
          </w:tcPr>
          <w:p>
            <w:pPr>
              <w:jc w:val="right"/>
              <w:ind w:right="62"/>
              <w:spacing w:after="0"/>
              <w:rPr>
                <w:sz w:val="20"/>
                <w:szCs w:val="20"/>
                <w:color w:val="auto"/>
              </w:rPr>
            </w:pPr>
            <w:r>
              <w:rPr>
                <w:rFonts w:ascii="Arial" w:cs="Arial" w:eastAsia="Arial" w:hAnsi="Arial"/>
                <w:sz w:val="12"/>
                <w:szCs w:val="12"/>
                <w:b w:val="1"/>
                <w:bCs w:val="1"/>
                <w:color w:val="0E1020"/>
              </w:rPr>
              <w:t>(e)</w:t>
            </w:r>
          </w:p>
        </w:tc>
        <w:tc>
          <w:tcPr>
            <w:tcW w:w="800" w:type="dxa"/>
            <w:vAlign w:val="bottom"/>
            <w:tcBorders>
              <w:bottom w:val="single" w:sz="8" w:color="F6F3F0"/>
            </w:tcBorders>
            <w:gridSpan w:val="2"/>
            <w:shd w:val="clear" w:color="auto" w:fill="F6F3F0"/>
          </w:tcPr>
          <w:p>
            <w:pPr>
              <w:jc w:val="right"/>
              <w:ind w:right="100"/>
              <w:spacing w:after="0"/>
              <w:rPr>
                <w:sz w:val="20"/>
                <w:szCs w:val="20"/>
                <w:color w:val="auto"/>
              </w:rPr>
            </w:pPr>
            <w:r>
              <w:rPr>
                <w:rFonts w:ascii="Arial" w:cs="Arial" w:eastAsia="Arial" w:hAnsi="Arial"/>
                <w:sz w:val="12"/>
                <w:szCs w:val="12"/>
                <w:b w:val="1"/>
                <w:bCs w:val="1"/>
                <w:color w:val="0E1020"/>
              </w:rPr>
              <w:t>(f)</w:t>
            </w:r>
          </w:p>
        </w:tc>
        <w:tc>
          <w:tcPr>
            <w:tcW w:w="1060" w:type="dxa"/>
            <w:vAlign w:val="bottom"/>
            <w:tcBorders>
              <w:bottom w:val="single" w:sz="8" w:color="F6F3F0"/>
            </w:tcBorders>
            <w:shd w:val="clear" w:color="auto" w:fill="F6F3F0"/>
          </w:tcPr>
          <w:p>
            <w:pPr>
              <w:jc w:val="right"/>
              <w:ind w:right="162"/>
              <w:spacing w:after="0"/>
              <w:rPr>
                <w:sz w:val="20"/>
                <w:szCs w:val="20"/>
                <w:color w:val="auto"/>
              </w:rPr>
            </w:pPr>
            <w:r>
              <w:rPr>
                <w:rFonts w:ascii="Arial" w:cs="Arial" w:eastAsia="Arial" w:hAnsi="Arial"/>
                <w:sz w:val="12"/>
                <w:szCs w:val="12"/>
                <w:b w:val="1"/>
                <w:bCs w:val="1"/>
                <w:color w:val="0E1020"/>
              </w:rPr>
              <w:t>(g)</w:t>
            </w:r>
          </w:p>
        </w:tc>
        <w:tc>
          <w:tcPr>
            <w:tcW w:w="920" w:type="dxa"/>
            <w:vAlign w:val="bottom"/>
            <w:tcBorders>
              <w:bottom w:val="single" w:sz="8" w:color="F6F3F0"/>
            </w:tcBorders>
            <w:shd w:val="clear" w:color="auto" w:fill="F6F3F0"/>
          </w:tcPr>
          <w:p>
            <w:pPr>
              <w:jc w:val="right"/>
              <w:ind w:right="222"/>
              <w:spacing w:after="0"/>
              <w:rPr>
                <w:sz w:val="20"/>
                <w:szCs w:val="20"/>
                <w:color w:val="auto"/>
              </w:rPr>
            </w:pPr>
            <w:r>
              <w:rPr>
                <w:rFonts w:ascii="Arial" w:cs="Arial" w:eastAsia="Arial" w:hAnsi="Arial"/>
                <w:sz w:val="12"/>
                <w:szCs w:val="12"/>
                <w:b w:val="1"/>
                <w:bCs w:val="1"/>
                <w:color w:val="0E1020"/>
              </w:rPr>
              <w:t>(h)</w:t>
            </w:r>
          </w:p>
        </w:tc>
        <w:tc>
          <w:tcPr>
            <w:tcW w:w="60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2"/>
                <w:szCs w:val="12"/>
                <w:b w:val="1"/>
                <w:bCs w:val="1"/>
                <w:color w:val="0E1020"/>
              </w:rPr>
              <w:t>(i)</w:t>
            </w:r>
          </w:p>
        </w:tc>
        <w:tc>
          <w:tcPr>
            <w:tcW w:w="76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2"/>
                <w:szCs w:val="12"/>
                <w:b w:val="1"/>
                <w:bCs w:val="1"/>
                <w:color w:val="0E1020"/>
              </w:rPr>
              <w:t>(j)</w:t>
            </w:r>
          </w:p>
        </w:tc>
        <w:tc>
          <w:tcPr>
            <w:tcW w:w="960" w:type="dxa"/>
            <w:vAlign w:val="bottom"/>
            <w:tcBorders>
              <w:bottom w:val="single" w:sz="8" w:color="F6F3F0"/>
            </w:tcBorders>
            <w:shd w:val="clear" w:color="auto" w:fill="F6F3F0"/>
          </w:tcPr>
          <w:p>
            <w:pPr>
              <w:jc w:val="right"/>
              <w:ind w:right="4"/>
              <w:spacing w:after="0"/>
              <w:rPr>
                <w:sz w:val="20"/>
                <w:szCs w:val="20"/>
                <w:color w:val="auto"/>
              </w:rPr>
            </w:pPr>
            <w:r>
              <w:rPr>
                <w:rFonts w:ascii="Arial" w:cs="Arial" w:eastAsia="Arial" w:hAnsi="Arial"/>
                <w:sz w:val="12"/>
                <w:szCs w:val="12"/>
                <w:b w:val="1"/>
                <w:bCs w:val="1"/>
                <w:color w:val="0E1020"/>
              </w:rPr>
              <w:t>(k)</w:t>
            </w:r>
          </w:p>
        </w:tc>
        <w:tc>
          <w:tcPr>
            <w:tcW w:w="72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2"/>
                <w:szCs w:val="12"/>
                <w:b w:val="1"/>
                <w:bCs w:val="1"/>
                <w:color w:val="0E1020"/>
              </w:rPr>
              <w:t>(l)</w:t>
            </w:r>
          </w:p>
        </w:tc>
        <w:tc>
          <w:tcPr>
            <w:tcW w:w="86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2"/>
                <w:szCs w:val="12"/>
                <w:b w:val="1"/>
                <w:bCs w:val="1"/>
                <w:color w:val="0E1020"/>
              </w:rPr>
              <w:t>(m)</w:t>
            </w:r>
            <w:r>
              <w:rPr>
                <w:rFonts w:ascii="Arial" w:cs="Arial" w:eastAsia="Arial" w:hAnsi="Arial"/>
                <w:sz w:val="15"/>
                <w:szCs w:val="15"/>
                <w:b w:val="1"/>
                <w:bCs w:val="1"/>
                <w:color w:val="0E1020"/>
                <w:vertAlign w:val="superscript"/>
              </w:rPr>
              <w:t>(5)</w:t>
            </w:r>
          </w:p>
        </w:tc>
        <w:tc>
          <w:tcPr>
            <w:tcW w:w="140" w:type="dxa"/>
            <w:vAlign w:val="bottom"/>
            <w:tcBorders>
              <w:bottom w:val="single" w:sz="8" w:color="F6F3F0"/>
            </w:tcBorders>
            <w:shd w:val="clear" w:color="auto" w:fill="F6F3F0"/>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180" w:type="dxa"/>
            <w:vAlign w:val="bottom"/>
            <w:tcBorders>
              <w:top w:val="single" w:sz="8" w:color="CFCFD2"/>
              <w:bottom w:val="single" w:sz="8" w:color="CFCFD2"/>
            </w:tcBorders>
          </w:tcPr>
          <w:p>
            <w:pPr>
              <w:ind w:left="80"/>
              <w:spacing w:after="0"/>
              <w:rPr>
                <w:sz w:val="20"/>
                <w:szCs w:val="20"/>
                <w:color w:val="auto"/>
              </w:rPr>
            </w:pPr>
            <w:r>
              <w:rPr>
                <w:rFonts w:ascii="Arial" w:cs="Arial" w:eastAsia="Arial" w:hAnsi="Arial"/>
                <w:sz w:val="13"/>
                <w:szCs w:val="13"/>
                <w:b w:val="1"/>
                <w:bCs w:val="1"/>
                <w:color w:val="004AAC"/>
              </w:rPr>
              <w:t>Howard Boville</w:t>
            </w:r>
            <w:r>
              <w:rPr>
                <w:rFonts w:ascii="Arial" w:cs="Arial" w:eastAsia="Arial" w:hAnsi="Arial"/>
                <w:sz w:val="16"/>
                <w:szCs w:val="16"/>
                <w:b w:val="1"/>
                <w:bCs w:val="1"/>
                <w:color w:val="004AAC"/>
                <w:vertAlign w:val="superscript"/>
              </w:rPr>
              <w:t>(4)</w:t>
            </w:r>
          </w:p>
        </w:tc>
        <w:tc>
          <w:tcPr>
            <w:tcW w:w="660" w:type="dxa"/>
            <w:vAlign w:val="bottom"/>
            <w:tcBorders>
              <w:top w:val="single" w:sz="8" w:color="CFCFD2"/>
              <w:bottom w:val="single" w:sz="8" w:color="CFCFD2"/>
            </w:tcBorders>
          </w:tcPr>
          <w:p>
            <w:pPr>
              <w:spacing w:after="0"/>
              <w:rPr>
                <w:sz w:val="16"/>
                <w:szCs w:val="16"/>
                <w:color w:val="auto"/>
              </w:rPr>
            </w:pPr>
          </w:p>
        </w:tc>
        <w:tc>
          <w:tcPr>
            <w:tcW w:w="760" w:type="dxa"/>
            <w:vAlign w:val="bottom"/>
            <w:tcBorders>
              <w:top w:val="single" w:sz="8" w:color="CFCFD2"/>
              <w:bottom w:val="single" w:sz="8" w:color="CFCFD2"/>
            </w:tcBorders>
          </w:tcPr>
          <w:p>
            <w:pPr>
              <w:spacing w:after="0"/>
              <w:rPr>
                <w:sz w:val="16"/>
                <w:szCs w:val="16"/>
                <w:color w:val="auto"/>
              </w:rPr>
            </w:pPr>
          </w:p>
        </w:tc>
        <w:tc>
          <w:tcPr>
            <w:tcW w:w="860" w:type="dxa"/>
            <w:vAlign w:val="bottom"/>
            <w:tcBorders>
              <w:top w:val="single" w:sz="8" w:color="CFCFD2"/>
              <w:bottom w:val="single" w:sz="8" w:color="CFCFD2"/>
            </w:tcBorders>
          </w:tcPr>
          <w:p>
            <w:pPr>
              <w:spacing w:after="0"/>
              <w:rPr>
                <w:sz w:val="16"/>
                <w:szCs w:val="16"/>
                <w:color w:val="auto"/>
              </w:rPr>
            </w:pPr>
          </w:p>
        </w:tc>
        <w:tc>
          <w:tcPr>
            <w:tcW w:w="960" w:type="dxa"/>
            <w:vAlign w:val="bottom"/>
            <w:tcBorders>
              <w:top w:val="single" w:sz="8" w:color="CFCFD2"/>
              <w:bottom w:val="single" w:sz="8" w:color="CFCFD2"/>
            </w:tcBorders>
          </w:tcPr>
          <w:p>
            <w:pPr>
              <w:spacing w:after="0"/>
              <w:rPr>
                <w:sz w:val="16"/>
                <w:szCs w:val="16"/>
                <w:color w:val="auto"/>
              </w:rPr>
            </w:pPr>
          </w:p>
        </w:tc>
        <w:tc>
          <w:tcPr>
            <w:tcW w:w="700" w:type="dxa"/>
            <w:vAlign w:val="bottom"/>
            <w:tcBorders>
              <w:top w:val="single" w:sz="8" w:color="CFCFD2"/>
              <w:bottom w:val="single" w:sz="8" w:color="CFCFD2"/>
            </w:tcBorders>
          </w:tcPr>
          <w:p>
            <w:pPr>
              <w:spacing w:after="0"/>
              <w:rPr>
                <w:sz w:val="16"/>
                <w:szCs w:val="16"/>
                <w:color w:val="auto"/>
              </w:rPr>
            </w:pPr>
          </w:p>
        </w:tc>
        <w:tc>
          <w:tcPr>
            <w:tcW w:w="100" w:type="dxa"/>
            <w:vAlign w:val="bottom"/>
            <w:tcBorders>
              <w:top w:val="single" w:sz="8" w:color="CFCFD2"/>
              <w:bottom w:val="single" w:sz="8" w:color="CFCFD2"/>
            </w:tcBorders>
          </w:tcPr>
          <w:p>
            <w:pPr>
              <w:spacing w:after="0"/>
              <w:rPr>
                <w:sz w:val="16"/>
                <w:szCs w:val="16"/>
                <w:color w:val="auto"/>
              </w:rPr>
            </w:pPr>
          </w:p>
        </w:tc>
        <w:tc>
          <w:tcPr>
            <w:tcW w:w="1060" w:type="dxa"/>
            <w:vAlign w:val="bottom"/>
            <w:tcBorders>
              <w:top w:val="single" w:sz="8" w:color="CFCFD2"/>
              <w:bottom w:val="single" w:sz="8" w:color="CFCFD2"/>
            </w:tcBorders>
          </w:tcPr>
          <w:p>
            <w:pPr>
              <w:spacing w:after="0"/>
              <w:rPr>
                <w:sz w:val="16"/>
                <w:szCs w:val="16"/>
                <w:color w:val="auto"/>
              </w:rPr>
            </w:pPr>
          </w:p>
        </w:tc>
        <w:tc>
          <w:tcPr>
            <w:tcW w:w="920" w:type="dxa"/>
            <w:vAlign w:val="bottom"/>
            <w:tcBorders>
              <w:top w:val="single" w:sz="8" w:color="CFCFD2"/>
              <w:bottom w:val="single" w:sz="8" w:color="CFCFD2"/>
            </w:tcBorders>
          </w:tcPr>
          <w:p>
            <w:pPr>
              <w:spacing w:after="0"/>
              <w:rPr>
                <w:sz w:val="16"/>
                <w:szCs w:val="16"/>
                <w:color w:val="auto"/>
              </w:rPr>
            </w:pPr>
          </w:p>
        </w:tc>
        <w:tc>
          <w:tcPr>
            <w:tcW w:w="600" w:type="dxa"/>
            <w:vAlign w:val="bottom"/>
            <w:tcBorders>
              <w:top w:val="single" w:sz="8" w:color="CFCFD2"/>
              <w:bottom w:val="single" w:sz="8" w:color="CFCFD2"/>
            </w:tcBorders>
          </w:tcPr>
          <w:p>
            <w:pPr>
              <w:spacing w:after="0"/>
              <w:rPr>
                <w:sz w:val="16"/>
                <w:szCs w:val="16"/>
                <w:color w:val="auto"/>
              </w:rPr>
            </w:pPr>
          </w:p>
        </w:tc>
        <w:tc>
          <w:tcPr>
            <w:tcW w:w="760" w:type="dxa"/>
            <w:vAlign w:val="bottom"/>
            <w:tcBorders>
              <w:top w:val="single" w:sz="8" w:color="CFCFD2"/>
              <w:bottom w:val="single" w:sz="8" w:color="CFCFD2"/>
            </w:tcBorders>
          </w:tcPr>
          <w:p>
            <w:pPr>
              <w:spacing w:after="0"/>
              <w:rPr>
                <w:sz w:val="16"/>
                <w:szCs w:val="16"/>
                <w:color w:val="auto"/>
              </w:rPr>
            </w:pPr>
          </w:p>
        </w:tc>
        <w:tc>
          <w:tcPr>
            <w:tcW w:w="960" w:type="dxa"/>
            <w:vAlign w:val="bottom"/>
            <w:tcBorders>
              <w:top w:val="single" w:sz="8" w:color="CFCFD2"/>
              <w:bottom w:val="single" w:sz="8" w:color="CFCFD2"/>
            </w:tcBorders>
          </w:tcPr>
          <w:p>
            <w:pPr>
              <w:spacing w:after="0"/>
              <w:rPr>
                <w:sz w:val="16"/>
                <w:szCs w:val="16"/>
                <w:color w:val="auto"/>
              </w:rPr>
            </w:pPr>
          </w:p>
        </w:tc>
        <w:tc>
          <w:tcPr>
            <w:tcW w:w="720" w:type="dxa"/>
            <w:vAlign w:val="bottom"/>
            <w:tcBorders>
              <w:top w:val="single" w:sz="8" w:color="CFCFD2"/>
              <w:bottom w:val="single" w:sz="8" w:color="CFCFD2"/>
            </w:tcBorders>
          </w:tcPr>
          <w:p>
            <w:pPr>
              <w:spacing w:after="0"/>
              <w:rPr>
                <w:sz w:val="16"/>
                <w:szCs w:val="16"/>
                <w:color w:val="auto"/>
              </w:rPr>
            </w:pPr>
          </w:p>
        </w:tc>
        <w:tc>
          <w:tcPr>
            <w:tcW w:w="860" w:type="dxa"/>
            <w:vAlign w:val="bottom"/>
            <w:tcBorders>
              <w:top w:val="single" w:sz="8" w:color="CFCFD2"/>
              <w:bottom w:val="single" w:sz="8" w:color="CFCFD2"/>
            </w:tcBorders>
          </w:tcPr>
          <w:p>
            <w:pPr>
              <w:spacing w:after="0"/>
              <w:rPr>
                <w:sz w:val="16"/>
                <w:szCs w:val="16"/>
                <w:color w:val="auto"/>
              </w:rPr>
            </w:pPr>
          </w:p>
        </w:tc>
        <w:tc>
          <w:tcPr>
            <w:tcW w:w="140" w:type="dxa"/>
            <w:vAlign w:val="bottom"/>
            <w:tcBorders>
              <w:top w:val="single" w:sz="8" w:color="CFCFD2"/>
              <w:bottom w:val="single" w:sz="8" w:color="CFCFD2"/>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180" w:type="dxa"/>
            <w:vAlign w:val="bottom"/>
          </w:tcPr>
          <w:p>
            <w:pPr>
              <w:ind w:left="80"/>
              <w:spacing w:after="0"/>
              <w:rPr>
                <w:sz w:val="20"/>
                <w:szCs w:val="20"/>
                <w:color w:val="auto"/>
              </w:rPr>
            </w:pPr>
            <w:r>
              <w:rPr>
                <w:rFonts w:ascii="Arial" w:cs="Arial" w:eastAsia="Arial" w:hAnsi="Arial"/>
                <w:sz w:val="12"/>
                <w:szCs w:val="12"/>
                <w:color w:val="0E1020"/>
              </w:rPr>
              <w:t>Annual Cash</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0E1020"/>
                <w:w w:val="99"/>
              </w:rPr>
              <w:t>—</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E1020"/>
                <w:w w:val="99"/>
              </w:rPr>
              <w:t>—</w:t>
            </w:r>
          </w:p>
        </w:tc>
        <w:tc>
          <w:tcPr>
            <w:tcW w:w="860" w:type="dxa"/>
            <w:vAlign w:val="bottom"/>
            <w:vMerge w:val="restart"/>
          </w:tcPr>
          <w:p>
            <w:pPr>
              <w:jc w:val="right"/>
              <w:ind w:right="2"/>
              <w:spacing w:after="0"/>
              <w:rPr>
                <w:sz w:val="20"/>
                <w:szCs w:val="20"/>
                <w:color w:val="auto"/>
              </w:rPr>
            </w:pPr>
            <w:r>
              <w:rPr>
                <w:rFonts w:ascii="Arial" w:cs="Arial" w:eastAsia="Arial" w:hAnsi="Arial"/>
                <w:sz w:val="12"/>
                <w:szCs w:val="12"/>
                <w:color w:val="0E1020"/>
              </w:rPr>
              <w:t>675,000</w:t>
            </w:r>
          </w:p>
        </w:tc>
        <w:tc>
          <w:tcPr>
            <w:tcW w:w="960" w:type="dxa"/>
            <w:vAlign w:val="bottom"/>
            <w:vMerge w:val="restart"/>
          </w:tcPr>
          <w:p>
            <w:pPr>
              <w:jc w:val="right"/>
              <w:ind w:right="102"/>
              <w:spacing w:after="0"/>
              <w:rPr>
                <w:sz w:val="20"/>
                <w:szCs w:val="20"/>
                <w:color w:val="auto"/>
              </w:rPr>
            </w:pPr>
            <w:r>
              <w:rPr>
                <w:rFonts w:ascii="Arial" w:cs="Arial" w:eastAsia="Arial" w:hAnsi="Arial"/>
                <w:sz w:val="12"/>
                <w:szCs w:val="12"/>
                <w:color w:val="0E1020"/>
              </w:rPr>
              <w:t>1,350,000</w:t>
            </w: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0E1020"/>
              </w:rPr>
              <w:t>2,700,000</w:t>
            </w:r>
          </w:p>
        </w:tc>
        <w:tc>
          <w:tcPr>
            <w:tcW w:w="100" w:type="dxa"/>
            <w:vAlign w:val="bottom"/>
          </w:tcPr>
          <w:p>
            <w:pPr>
              <w:spacing w:after="0"/>
              <w:rPr>
                <w:sz w:val="12"/>
                <w:szCs w:val="12"/>
                <w:color w:val="auto"/>
              </w:rPr>
            </w:pPr>
          </w:p>
        </w:tc>
        <w:tc>
          <w:tcPr>
            <w:tcW w:w="1060" w:type="dxa"/>
            <w:vAlign w:val="bottom"/>
            <w:vMerge w:val="restart"/>
          </w:tcPr>
          <w:p>
            <w:pPr>
              <w:jc w:val="right"/>
              <w:ind w:right="162"/>
              <w:spacing w:after="0"/>
              <w:rPr>
                <w:sz w:val="20"/>
                <w:szCs w:val="20"/>
                <w:color w:val="auto"/>
              </w:rPr>
            </w:pPr>
            <w:r>
              <w:rPr>
                <w:rFonts w:ascii="Arial" w:cs="Arial" w:eastAsia="Arial" w:hAnsi="Arial"/>
                <w:sz w:val="12"/>
                <w:szCs w:val="12"/>
                <w:color w:val="0E1020"/>
              </w:rPr>
              <w:t>—</w:t>
            </w:r>
          </w:p>
        </w:tc>
        <w:tc>
          <w:tcPr>
            <w:tcW w:w="920" w:type="dxa"/>
            <w:vAlign w:val="bottom"/>
            <w:vMerge w:val="restart"/>
          </w:tcPr>
          <w:p>
            <w:pPr>
              <w:jc w:val="right"/>
              <w:ind w:right="222"/>
              <w:spacing w:after="0"/>
              <w:rPr>
                <w:sz w:val="20"/>
                <w:szCs w:val="20"/>
                <w:color w:val="auto"/>
              </w:rPr>
            </w:pPr>
            <w:r>
              <w:rPr>
                <w:rFonts w:ascii="Arial" w:cs="Arial" w:eastAsia="Arial" w:hAnsi="Arial"/>
                <w:sz w:val="12"/>
                <w:szCs w:val="12"/>
                <w:color w:val="0E1020"/>
              </w:rPr>
              <w:t>—</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960" w:type="dxa"/>
            <w:vAlign w:val="bottom"/>
            <w:vMerge w:val="restart"/>
          </w:tcPr>
          <w:p>
            <w:pPr>
              <w:jc w:val="right"/>
              <w:ind w:right="4"/>
              <w:spacing w:after="0"/>
              <w:rPr>
                <w:sz w:val="20"/>
                <w:szCs w:val="20"/>
                <w:color w:val="auto"/>
              </w:rPr>
            </w:pPr>
            <w:r>
              <w:rPr>
                <w:rFonts w:ascii="Arial" w:cs="Arial" w:eastAsia="Arial" w:hAnsi="Arial"/>
                <w:sz w:val="12"/>
                <w:szCs w:val="12"/>
                <w:color w:val="0E1020"/>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0E1020"/>
              </w:rPr>
              <w:t>—</w:t>
            </w:r>
          </w:p>
        </w:tc>
        <w:tc>
          <w:tcPr>
            <w:tcW w:w="0" w:type="dxa"/>
            <w:vAlign w:val="bottom"/>
          </w:tcPr>
          <w:p>
            <w:pPr>
              <w:spacing w:after="0"/>
              <w:rPr>
                <w:sz w:val="1"/>
                <w:szCs w:val="1"/>
                <w:color w:val="auto"/>
              </w:rPr>
            </w:pPr>
          </w:p>
        </w:tc>
      </w:tr>
      <w:tr>
        <w:trPr>
          <w:trHeight w:val="84"/>
        </w:trPr>
        <w:tc>
          <w:tcPr>
            <w:tcW w:w="1180" w:type="dxa"/>
            <w:vAlign w:val="bottom"/>
            <w:vMerge w:val="restart"/>
          </w:tcPr>
          <w:p>
            <w:pPr>
              <w:ind w:left="80"/>
              <w:spacing w:after="0"/>
              <w:rPr>
                <w:sz w:val="20"/>
                <w:szCs w:val="20"/>
                <w:color w:val="auto"/>
              </w:rPr>
            </w:pPr>
            <w:r>
              <w:rPr>
                <w:rFonts w:ascii="Arial" w:cs="Arial" w:eastAsia="Arial" w:hAnsi="Arial"/>
                <w:sz w:val="12"/>
                <w:szCs w:val="12"/>
                <w:color w:val="0E1020"/>
              </w:rPr>
              <w:t>Incentive Plan</w:t>
            </w:r>
          </w:p>
        </w:tc>
        <w:tc>
          <w:tcPr>
            <w:tcW w:w="6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1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1180" w:type="dxa"/>
            <w:vAlign w:val="bottom"/>
            <w:tcBorders>
              <w:bottom w:val="single" w:sz="8" w:color="CFCFD2"/>
            </w:tcBorders>
          </w:tcPr>
          <w:p>
            <w:pPr>
              <w:spacing w:after="0"/>
              <w:rPr>
                <w:sz w:val="2"/>
                <w:szCs w:val="2"/>
                <w:color w:val="auto"/>
              </w:rPr>
            </w:pPr>
          </w:p>
        </w:tc>
        <w:tc>
          <w:tcPr>
            <w:tcW w:w="660" w:type="dxa"/>
            <w:vAlign w:val="bottom"/>
            <w:tcBorders>
              <w:bottom w:val="single" w:sz="8" w:color="CFCFD2"/>
            </w:tcBorders>
          </w:tcPr>
          <w:p>
            <w:pPr>
              <w:spacing w:after="0"/>
              <w:rPr>
                <w:sz w:val="2"/>
                <w:szCs w:val="2"/>
                <w:color w:val="auto"/>
              </w:rPr>
            </w:pPr>
          </w:p>
        </w:tc>
        <w:tc>
          <w:tcPr>
            <w:tcW w:w="760" w:type="dxa"/>
            <w:vAlign w:val="bottom"/>
            <w:tcBorders>
              <w:bottom w:val="single" w:sz="8" w:color="CFCFD2"/>
            </w:tcBorders>
          </w:tcPr>
          <w:p>
            <w:pPr>
              <w:spacing w:after="0"/>
              <w:rPr>
                <w:sz w:val="2"/>
                <w:szCs w:val="2"/>
                <w:color w:val="auto"/>
              </w:rPr>
            </w:pPr>
          </w:p>
        </w:tc>
        <w:tc>
          <w:tcPr>
            <w:tcW w:w="860" w:type="dxa"/>
            <w:vAlign w:val="bottom"/>
            <w:tcBorders>
              <w:bottom w:val="single" w:sz="8" w:color="CFCFD2"/>
            </w:tcBorders>
          </w:tcPr>
          <w:p>
            <w:pPr>
              <w:spacing w:after="0"/>
              <w:rPr>
                <w:sz w:val="2"/>
                <w:szCs w:val="2"/>
                <w:color w:val="auto"/>
              </w:rPr>
            </w:pPr>
          </w:p>
        </w:tc>
        <w:tc>
          <w:tcPr>
            <w:tcW w:w="960" w:type="dxa"/>
            <w:vAlign w:val="bottom"/>
            <w:tcBorders>
              <w:bottom w:val="single" w:sz="8" w:color="CFCFD2"/>
            </w:tcBorders>
          </w:tcPr>
          <w:p>
            <w:pPr>
              <w:spacing w:after="0"/>
              <w:rPr>
                <w:sz w:val="2"/>
                <w:szCs w:val="2"/>
                <w:color w:val="auto"/>
              </w:rPr>
            </w:pPr>
          </w:p>
        </w:tc>
        <w:tc>
          <w:tcPr>
            <w:tcW w:w="700" w:type="dxa"/>
            <w:vAlign w:val="bottom"/>
            <w:tcBorders>
              <w:bottom w:val="single" w:sz="8" w:color="CFCFD2"/>
            </w:tcBorders>
          </w:tcPr>
          <w:p>
            <w:pPr>
              <w:spacing w:after="0"/>
              <w:rPr>
                <w:sz w:val="2"/>
                <w:szCs w:val="2"/>
                <w:color w:val="auto"/>
              </w:rPr>
            </w:pPr>
          </w:p>
        </w:tc>
        <w:tc>
          <w:tcPr>
            <w:tcW w:w="100" w:type="dxa"/>
            <w:vAlign w:val="bottom"/>
            <w:tcBorders>
              <w:bottom w:val="single" w:sz="8" w:color="CFCFD2"/>
            </w:tcBorders>
          </w:tcPr>
          <w:p>
            <w:pPr>
              <w:spacing w:after="0"/>
              <w:rPr>
                <w:sz w:val="2"/>
                <w:szCs w:val="2"/>
                <w:color w:val="auto"/>
              </w:rPr>
            </w:pPr>
          </w:p>
        </w:tc>
        <w:tc>
          <w:tcPr>
            <w:tcW w:w="1060" w:type="dxa"/>
            <w:vAlign w:val="bottom"/>
            <w:tcBorders>
              <w:bottom w:val="single" w:sz="8" w:color="CFCFD2"/>
            </w:tcBorders>
          </w:tcPr>
          <w:p>
            <w:pPr>
              <w:spacing w:after="0"/>
              <w:rPr>
                <w:sz w:val="2"/>
                <w:szCs w:val="2"/>
                <w:color w:val="auto"/>
              </w:rPr>
            </w:pPr>
          </w:p>
        </w:tc>
        <w:tc>
          <w:tcPr>
            <w:tcW w:w="920" w:type="dxa"/>
            <w:vAlign w:val="bottom"/>
            <w:tcBorders>
              <w:bottom w:val="single" w:sz="8" w:color="CFCFD2"/>
            </w:tcBorders>
          </w:tcPr>
          <w:p>
            <w:pPr>
              <w:spacing w:after="0"/>
              <w:rPr>
                <w:sz w:val="2"/>
                <w:szCs w:val="2"/>
                <w:color w:val="auto"/>
              </w:rPr>
            </w:pPr>
          </w:p>
        </w:tc>
        <w:tc>
          <w:tcPr>
            <w:tcW w:w="600" w:type="dxa"/>
            <w:vAlign w:val="bottom"/>
            <w:tcBorders>
              <w:bottom w:val="single" w:sz="8" w:color="CFCFD2"/>
            </w:tcBorders>
          </w:tcPr>
          <w:p>
            <w:pPr>
              <w:spacing w:after="0"/>
              <w:rPr>
                <w:sz w:val="2"/>
                <w:szCs w:val="2"/>
                <w:color w:val="auto"/>
              </w:rPr>
            </w:pPr>
          </w:p>
        </w:tc>
        <w:tc>
          <w:tcPr>
            <w:tcW w:w="760" w:type="dxa"/>
            <w:vAlign w:val="bottom"/>
            <w:tcBorders>
              <w:bottom w:val="single" w:sz="8" w:color="CFCFD2"/>
            </w:tcBorders>
          </w:tcPr>
          <w:p>
            <w:pPr>
              <w:spacing w:after="0"/>
              <w:rPr>
                <w:sz w:val="2"/>
                <w:szCs w:val="2"/>
                <w:color w:val="auto"/>
              </w:rPr>
            </w:pPr>
          </w:p>
        </w:tc>
        <w:tc>
          <w:tcPr>
            <w:tcW w:w="960" w:type="dxa"/>
            <w:vAlign w:val="bottom"/>
            <w:tcBorders>
              <w:bottom w:val="single" w:sz="8" w:color="CFCFD2"/>
            </w:tcBorders>
          </w:tcPr>
          <w:p>
            <w:pPr>
              <w:spacing w:after="0"/>
              <w:rPr>
                <w:sz w:val="2"/>
                <w:szCs w:val="2"/>
                <w:color w:val="auto"/>
              </w:rPr>
            </w:pPr>
          </w:p>
        </w:tc>
        <w:tc>
          <w:tcPr>
            <w:tcW w:w="720" w:type="dxa"/>
            <w:vAlign w:val="bottom"/>
            <w:tcBorders>
              <w:bottom w:val="single" w:sz="8" w:color="CFCFD2"/>
            </w:tcBorders>
          </w:tcPr>
          <w:p>
            <w:pPr>
              <w:spacing w:after="0"/>
              <w:rPr>
                <w:sz w:val="2"/>
                <w:szCs w:val="2"/>
                <w:color w:val="auto"/>
              </w:rPr>
            </w:pPr>
          </w:p>
        </w:tc>
        <w:tc>
          <w:tcPr>
            <w:tcW w:w="860" w:type="dxa"/>
            <w:vAlign w:val="bottom"/>
            <w:tcBorders>
              <w:bottom w:val="single" w:sz="8" w:color="CFCFD2"/>
            </w:tcBorders>
          </w:tcPr>
          <w:p>
            <w:pPr>
              <w:spacing w:after="0"/>
              <w:rPr>
                <w:sz w:val="2"/>
                <w:szCs w:val="2"/>
                <w:color w:val="auto"/>
              </w:rPr>
            </w:pPr>
          </w:p>
        </w:tc>
        <w:tc>
          <w:tcPr>
            <w:tcW w:w="14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180" w:type="dxa"/>
            <w:vAlign w:val="bottom"/>
          </w:tcPr>
          <w:p>
            <w:pPr>
              <w:ind w:left="80"/>
              <w:spacing w:after="0"/>
              <w:rPr>
                <w:sz w:val="20"/>
                <w:szCs w:val="20"/>
                <w:color w:val="auto"/>
              </w:rPr>
            </w:pPr>
            <w:r>
              <w:rPr>
                <w:rFonts w:ascii="Arial" w:cs="Arial" w:eastAsia="Arial" w:hAnsi="Arial"/>
                <w:sz w:val="12"/>
                <w:szCs w:val="12"/>
                <w:color w:val="0E1020"/>
              </w:rPr>
              <w:t>RSUs –</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0E1020"/>
                <w:w w:val="94"/>
              </w:rPr>
              <w:t>5/16/25</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E1020"/>
                <w:w w:val="99"/>
              </w:rPr>
              <w:t>5/13/25</w:t>
            </w:r>
          </w:p>
        </w:tc>
        <w:tc>
          <w:tcPr>
            <w:tcW w:w="860" w:type="dxa"/>
            <w:vAlign w:val="bottom"/>
            <w:vMerge w:val="restart"/>
          </w:tcPr>
          <w:p>
            <w:pPr>
              <w:jc w:val="right"/>
              <w:ind w:right="2"/>
              <w:spacing w:after="0"/>
              <w:rPr>
                <w:sz w:val="20"/>
                <w:szCs w:val="20"/>
                <w:color w:val="auto"/>
              </w:rPr>
            </w:pPr>
            <w:r>
              <w:rPr>
                <w:rFonts w:ascii="Arial" w:cs="Arial" w:eastAsia="Arial" w:hAnsi="Arial"/>
                <w:sz w:val="12"/>
                <w:szCs w:val="12"/>
                <w:color w:val="0E1020"/>
              </w:rPr>
              <w:t>—</w:t>
            </w:r>
          </w:p>
        </w:tc>
        <w:tc>
          <w:tcPr>
            <w:tcW w:w="960" w:type="dxa"/>
            <w:vAlign w:val="bottom"/>
            <w:vMerge w:val="restart"/>
          </w:tcPr>
          <w:p>
            <w:pPr>
              <w:jc w:val="right"/>
              <w:ind w:right="102"/>
              <w:spacing w:after="0"/>
              <w:rPr>
                <w:sz w:val="20"/>
                <w:szCs w:val="20"/>
                <w:color w:val="auto"/>
              </w:rPr>
            </w:pPr>
            <w:r>
              <w:rPr>
                <w:rFonts w:ascii="Arial" w:cs="Arial" w:eastAsia="Arial" w:hAnsi="Arial"/>
                <w:sz w:val="12"/>
                <w:szCs w:val="12"/>
                <w:color w:val="0E1020"/>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0E1020"/>
              </w:rPr>
              <w:t>—</w:t>
            </w:r>
          </w:p>
        </w:tc>
        <w:tc>
          <w:tcPr>
            <w:tcW w:w="1060" w:type="dxa"/>
            <w:vAlign w:val="bottom"/>
            <w:vMerge w:val="restart"/>
          </w:tcPr>
          <w:p>
            <w:pPr>
              <w:jc w:val="right"/>
              <w:ind w:right="162"/>
              <w:spacing w:after="0"/>
              <w:rPr>
                <w:sz w:val="20"/>
                <w:szCs w:val="20"/>
                <w:color w:val="auto"/>
              </w:rPr>
            </w:pPr>
            <w:r>
              <w:rPr>
                <w:rFonts w:ascii="Arial" w:cs="Arial" w:eastAsia="Arial" w:hAnsi="Arial"/>
                <w:sz w:val="12"/>
                <w:szCs w:val="12"/>
                <w:color w:val="0E1020"/>
              </w:rPr>
              <w:t>143,713</w:t>
            </w:r>
          </w:p>
        </w:tc>
        <w:tc>
          <w:tcPr>
            <w:tcW w:w="920" w:type="dxa"/>
            <w:vAlign w:val="bottom"/>
            <w:vMerge w:val="restart"/>
          </w:tcPr>
          <w:p>
            <w:pPr>
              <w:jc w:val="right"/>
              <w:ind w:right="222"/>
              <w:spacing w:after="0"/>
              <w:rPr>
                <w:sz w:val="20"/>
                <w:szCs w:val="20"/>
                <w:color w:val="auto"/>
              </w:rPr>
            </w:pPr>
            <w:r>
              <w:rPr>
                <w:rFonts w:ascii="Arial" w:cs="Arial" w:eastAsia="Arial" w:hAnsi="Arial"/>
                <w:sz w:val="12"/>
                <w:szCs w:val="12"/>
                <w:color w:val="0E1020"/>
              </w:rPr>
              <w:t>287,425</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0E1020"/>
              </w:rPr>
              <w:t>574,850</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960" w:type="dxa"/>
            <w:vAlign w:val="bottom"/>
            <w:vMerge w:val="restart"/>
          </w:tcPr>
          <w:p>
            <w:pPr>
              <w:jc w:val="right"/>
              <w:ind w:right="4"/>
              <w:spacing w:after="0"/>
              <w:rPr>
                <w:sz w:val="20"/>
                <w:szCs w:val="20"/>
                <w:color w:val="auto"/>
              </w:rPr>
            </w:pPr>
            <w:r>
              <w:rPr>
                <w:rFonts w:ascii="Arial" w:cs="Arial" w:eastAsia="Arial" w:hAnsi="Arial"/>
                <w:sz w:val="12"/>
                <w:szCs w:val="12"/>
                <w:color w:val="0E1020"/>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860" w:type="dxa"/>
            <w:vAlign w:val="bottom"/>
            <w:vMerge w:val="restart"/>
          </w:tcPr>
          <w:p>
            <w:pPr>
              <w:jc w:val="right"/>
              <w:ind w:right="5"/>
              <w:spacing w:after="0"/>
              <w:rPr>
                <w:sz w:val="20"/>
                <w:szCs w:val="20"/>
                <w:color w:val="auto"/>
              </w:rPr>
            </w:pPr>
            <w:r>
              <w:rPr>
                <w:rFonts w:ascii="Arial" w:cs="Arial" w:eastAsia="Arial" w:hAnsi="Arial"/>
                <w:sz w:val="12"/>
                <w:szCs w:val="12"/>
                <w:color w:val="0E1020"/>
              </w:rPr>
              <w:t>4,564,309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80" w:type="dxa"/>
            <w:vAlign w:val="bottom"/>
            <w:tcBorders>
              <w:bottom w:val="single" w:sz="8" w:color="CFCFD2"/>
            </w:tcBorders>
          </w:tcPr>
          <w:p>
            <w:pPr>
              <w:ind w:left="80"/>
              <w:spacing w:after="0"/>
              <w:rPr>
                <w:sz w:val="20"/>
                <w:szCs w:val="20"/>
                <w:color w:val="auto"/>
              </w:rPr>
            </w:pPr>
            <w:r>
              <w:rPr>
                <w:rFonts w:ascii="Arial" w:cs="Arial" w:eastAsia="Arial" w:hAnsi="Arial"/>
                <w:sz w:val="12"/>
                <w:szCs w:val="12"/>
                <w:color w:val="0E1020"/>
              </w:rPr>
              <w:t>Performance</w:t>
            </w:r>
            <w:r>
              <w:rPr>
                <w:rFonts w:ascii="Arial" w:cs="Arial" w:eastAsia="Arial" w:hAnsi="Arial"/>
                <w:sz w:val="15"/>
                <w:szCs w:val="15"/>
                <w:color w:val="0E1020"/>
                <w:vertAlign w:val="superscript"/>
              </w:rPr>
              <w:t>(2)</w:t>
            </w:r>
          </w:p>
        </w:tc>
        <w:tc>
          <w:tcPr>
            <w:tcW w:w="660" w:type="dxa"/>
            <w:vAlign w:val="bottom"/>
            <w:tcBorders>
              <w:bottom w:val="single" w:sz="8" w:color="CFCFD2"/>
            </w:tcBorders>
            <w:vMerge w:val="continue"/>
          </w:tcPr>
          <w:p>
            <w:pPr>
              <w:spacing w:after="0"/>
              <w:rPr>
                <w:sz w:val="15"/>
                <w:szCs w:val="15"/>
                <w:color w:val="auto"/>
              </w:rPr>
            </w:pPr>
          </w:p>
        </w:tc>
        <w:tc>
          <w:tcPr>
            <w:tcW w:w="760" w:type="dxa"/>
            <w:vAlign w:val="bottom"/>
            <w:tcBorders>
              <w:bottom w:val="single" w:sz="8" w:color="CFCFD2"/>
            </w:tcBorders>
            <w:vMerge w:val="continue"/>
          </w:tcPr>
          <w:p>
            <w:pPr>
              <w:spacing w:after="0"/>
              <w:rPr>
                <w:sz w:val="15"/>
                <w:szCs w:val="15"/>
                <w:color w:val="auto"/>
              </w:rPr>
            </w:pPr>
          </w:p>
        </w:tc>
        <w:tc>
          <w:tcPr>
            <w:tcW w:w="860" w:type="dxa"/>
            <w:vAlign w:val="bottom"/>
            <w:tcBorders>
              <w:bottom w:val="single" w:sz="8" w:color="CFCFD2"/>
            </w:tcBorders>
            <w:vMerge w:val="continue"/>
          </w:tcPr>
          <w:p>
            <w:pPr>
              <w:spacing w:after="0"/>
              <w:rPr>
                <w:sz w:val="15"/>
                <w:szCs w:val="15"/>
                <w:color w:val="auto"/>
              </w:rPr>
            </w:pPr>
          </w:p>
        </w:tc>
        <w:tc>
          <w:tcPr>
            <w:tcW w:w="960" w:type="dxa"/>
            <w:vAlign w:val="bottom"/>
            <w:tcBorders>
              <w:bottom w:val="single" w:sz="8" w:color="CFCFD2"/>
            </w:tcBorders>
            <w:vMerge w:val="continue"/>
          </w:tcPr>
          <w:p>
            <w:pPr>
              <w:spacing w:after="0"/>
              <w:rPr>
                <w:sz w:val="15"/>
                <w:szCs w:val="15"/>
                <w:color w:val="auto"/>
              </w:rPr>
            </w:pPr>
          </w:p>
        </w:tc>
        <w:tc>
          <w:tcPr>
            <w:tcW w:w="800" w:type="dxa"/>
            <w:vAlign w:val="bottom"/>
            <w:tcBorders>
              <w:bottom w:val="single" w:sz="8" w:color="CFCFD2"/>
            </w:tcBorders>
            <w:gridSpan w:val="2"/>
            <w:vMerge w:val="continue"/>
          </w:tcPr>
          <w:p>
            <w:pPr>
              <w:spacing w:after="0"/>
              <w:rPr>
                <w:sz w:val="15"/>
                <w:szCs w:val="15"/>
                <w:color w:val="auto"/>
              </w:rPr>
            </w:pPr>
          </w:p>
        </w:tc>
        <w:tc>
          <w:tcPr>
            <w:tcW w:w="1060" w:type="dxa"/>
            <w:vAlign w:val="bottom"/>
            <w:tcBorders>
              <w:bottom w:val="single" w:sz="8" w:color="CFCFD2"/>
            </w:tcBorders>
            <w:vMerge w:val="continue"/>
          </w:tcPr>
          <w:p>
            <w:pPr>
              <w:spacing w:after="0"/>
              <w:rPr>
                <w:sz w:val="15"/>
                <w:szCs w:val="15"/>
                <w:color w:val="auto"/>
              </w:rPr>
            </w:pPr>
          </w:p>
        </w:tc>
        <w:tc>
          <w:tcPr>
            <w:tcW w:w="920" w:type="dxa"/>
            <w:vAlign w:val="bottom"/>
            <w:tcBorders>
              <w:bottom w:val="single" w:sz="8" w:color="CFCFD2"/>
            </w:tcBorders>
            <w:vMerge w:val="continue"/>
          </w:tcPr>
          <w:p>
            <w:pPr>
              <w:spacing w:after="0"/>
              <w:rPr>
                <w:sz w:val="15"/>
                <w:szCs w:val="15"/>
                <w:color w:val="auto"/>
              </w:rPr>
            </w:pPr>
          </w:p>
        </w:tc>
        <w:tc>
          <w:tcPr>
            <w:tcW w:w="600" w:type="dxa"/>
            <w:vAlign w:val="bottom"/>
            <w:tcBorders>
              <w:bottom w:val="single" w:sz="8" w:color="CFCFD2"/>
            </w:tcBorders>
            <w:vMerge w:val="continue"/>
          </w:tcPr>
          <w:p>
            <w:pPr>
              <w:spacing w:after="0"/>
              <w:rPr>
                <w:sz w:val="15"/>
                <w:szCs w:val="15"/>
                <w:color w:val="auto"/>
              </w:rPr>
            </w:pPr>
          </w:p>
        </w:tc>
        <w:tc>
          <w:tcPr>
            <w:tcW w:w="760" w:type="dxa"/>
            <w:vAlign w:val="bottom"/>
            <w:tcBorders>
              <w:bottom w:val="single" w:sz="8" w:color="CFCFD2"/>
            </w:tcBorders>
            <w:vMerge w:val="continue"/>
          </w:tcPr>
          <w:p>
            <w:pPr>
              <w:spacing w:after="0"/>
              <w:rPr>
                <w:sz w:val="15"/>
                <w:szCs w:val="15"/>
                <w:color w:val="auto"/>
              </w:rPr>
            </w:pPr>
          </w:p>
        </w:tc>
        <w:tc>
          <w:tcPr>
            <w:tcW w:w="960" w:type="dxa"/>
            <w:vAlign w:val="bottom"/>
            <w:tcBorders>
              <w:bottom w:val="single" w:sz="8" w:color="CFCFD2"/>
            </w:tcBorders>
            <w:vMerge w:val="continue"/>
          </w:tcPr>
          <w:p>
            <w:pPr>
              <w:spacing w:after="0"/>
              <w:rPr>
                <w:sz w:val="15"/>
                <w:szCs w:val="15"/>
                <w:color w:val="auto"/>
              </w:rPr>
            </w:pPr>
          </w:p>
        </w:tc>
        <w:tc>
          <w:tcPr>
            <w:tcW w:w="720" w:type="dxa"/>
            <w:vAlign w:val="bottom"/>
            <w:tcBorders>
              <w:bottom w:val="single" w:sz="8" w:color="CFCFD2"/>
            </w:tcBorders>
            <w:vMerge w:val="continue"/>
          </w:tcPr>
          <w:p>
            <w:pPr>
              <w:spacing w:after="0"/>
              <w:rPr>
                <w:sz w:val="15"/>
                <w:szCs w:val="15"/>
                <w:color w:val="auto"/>
              </w:rPr>
            </w:pPr>
          </w:p>
        </w:tc>
        <w:tc>
          <w:tcPr>
            <w:tcW w:w="860" w:type="dxa"/>
            <w:vAlign w:val="bottom"/>
            <w:tcBorders>
              <w:bottom w:val="single" w:sz="8" w:color="CFCFD2"/>
            </w:tcBorders>
            <w:vMerge w:val="continue"/>
          </w:tcPr>
          <w:p>
            <w:pPr>
              <w:spacing w:after="0"/>
              <w:rPr>
                <w:sz w:val="15"/>
                <w:szCs w:val="15"/>
                <w:color w:val="auto"/>
              </w:rPr>
            </w:pPr>
          </w:p>
        </w:tc>
        <w:tc>
          <w:tcPr>
            <w:tcW w:w="140" w:type="dxa"/>
            <w:vAlign w:val="bottom"/>
            <w:tcBorders>
              <w:bottom w:val="single" w:sz="8" w:color="CFCFD2"/>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180" w:type="dxa"/>
            <w:vAlign w:val="bottom"/>
          </w:tcPr>
          <w:p>
            <w:pPr>
              <w:ind w:left="80"/>
              <w:spacing w:after="0"/>
              <w:rPr>
                <w:sz w:val="20"/>
                <w:szCs w:val="20"/>
                <w:color w:val="auto"/>
              </w:rPr>
            </w:pPr>
            <w:r>
              <w:rPr>
                <w:rFonts w:ascii="Arial" w:cs="Arial" w:eastAsia="Arial" w:hAnsi="Arial"/>
                <w:sz w:val="12"/>
                <w:szCs w:val="12"/>
                <w:color w:val="0E1020"/>
              </w:rPr>
              <w:t>RSUs – Time-</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0E1020"/>
                <w:w w:val="94"/>
              </w:rPr>
              <w:t>5/16/25</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0E1020"/>
                <w:w w:val="99"/>
              </w:rPr>
              <w:t>5/13/25</w:t>
            </w:r>
          </w:p>
        </w:tc>
        <w:tc>
          <w:tcPr>
            <w:tcW w:w="860" w:type="dxa"/>
            <w:vAlign w:val="bottom"/>
            <w:vMerge w:val="restart"/>
          </w:tcPr>
          <w:p>
            <w:pPr>
              <w:jc w:val="right"/>
              <w:ind w:right="2"/>
              <w:spacing w:after="0"/>
              <w:rPr>
                <w:sz w:val="20"/>
                <w:szCs w:val="20"/>
                <w:color w:val="auto"/>
              </w:rPr>
            </w:pPr>
            <w:r>
              <w:rPr>
                <w:rFonts w:ascii="Arial" w:cs="Arial" w:eastAsia="Arial" w:hAnsi="Arial"/>
                <w:sz w:val="12"/>
                <w:szCs w:val="12"/>
                <w:color w:val="0E1020"/>
              </w:rPr>
              <w:t>—</w:t>
            </w:r>
          </w:p>
        </w:tc>
        <w:tc>
          <w:tcPr>
            <w:tcW w:w="960" w:type="dxa"/>
            <w:vAlign w:val="bottom"/>
            <w:vMerge w:val="restart"/>
          </w:tcPr>
          <w:p>
            <w:pPr>
              <w:jc w:val="right"/>
              <w:ind w:right="102"/>
              <w:spacing w:after="0"/>
              <w:rPr>
                <w:sz w:val="20"/>
                <w:szCs w:val="20"/>
                <w:color w:val="auto"/>
              </w:rPr>
            </w:pPr>
            <w:r>
              <w:rPr>
                <w:rFonts w:ascii="Arial" w:cs="Arial" w:eastAsia="Arial" w:hAnsi="Arial"/>
                <w:sz w:val="12"/>
                <w:szCs w:val="12"/>
                <w:color w:val="0E1020"/>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0E1020"/>
              </w:rPr>
              <w:t>—</w:t>
            </w:r>
          </w:p>
        </w:tc>
        <w:tc>
          <w:tcPr>
            <w:tcW w:w="1060" w:type="dxa"/>
            <w:vAlign w:val="bottom"/>
            <w:vMerge w:val="restart"/>
          </w:tcPr>
          <w:p>
            <w:pPr>
              <w:jc w:val="right"/>
              <w:ind w:right="162"/>
              <w:spacing w:after="0"/>
              <w:rPr>
                <w:sz w:val="20"/>
                <w:szCs w:val="20"/>
                <w:color w:val="auto"/>
              </w:rPr>
            </w:pPr>
            <w:r>
              <w:rPr>
                <w:rFonts w:ascii="Arial" w:cs="Arial" w:eastAsia="Arial" w:hAnsi="Arial"/>
                <w:sz w:val="12"/>
                <w:szCs w:val="12"/>
                <w:color w:val="0E1020"/>
              </w:rPr>
              <w:t>—</w:t>
            </w:r>
          </w:p>
        </w:tc>
        <w:tc>
          <w:tcPr>
            <w:tcW w:w="920" w:type="dxa"/>
            <w:vAlign w:val="bottom"/>
            <w:vMerge w:val="restart"/>
          </w:tcPr>
          <w:p>
            <w:pPr>
              <w:jc w:val="right"/>
              <w:ind w:right="222"/>
              <w:spacing w:after="0"/>
              <w:rPr>
                <w:sz w:val="20"/>
                <w:szCs w:val="20"/>
                <w:color w:val="auto"/>
              </w:rPr>
            </w:pPr>
            <w:r>
              <w:rPr>
                <w:rFonts w:ascii="Arial" w:cs="Arial" w:eastAsia="Arial" w:hAnsi="Arial"/>
                <w:sz w:val="12"/>
                <w:szCs w:val="12"/>
                <w:color w:val="0E1020"/>
              </w:rPr>
              <w:t>—</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0E1020"/>
              </w:rPr>
              <w:t>191,617</w:t>
            </w:r>
          </w:p>
        </w:tc>
        <w:tc>
          <w:tcPr>
            <w:tcW w:w="960" w:type="dxa"/>
            <w:vAlign w:val="bottom"/>
            <w:vMerge w:val="restart"/>
          </w:tcPr>
          <w:p>
            <w:pPr>
              <w:jc w:val="right"/>
              <w:ind w:right="4"/>
              <w:spacing w:after="0"/>
              <w:rPr>
                <w:sz w:val="20"/>
                <w:szCs w:val="20"/>
                <w:color w:val="auto"/>
              </w:rPr>
            </w:pPr>
            <w:r>
              <w:rPr>
                <w:rFonts w:ascii="Arial" w:cs="Arial" w:eastAsia="Arial" w:hAnsi="Arial"/>
                <w:sz w:val="12"/>
                <w:szCs w:val="12"/>
                <w:color w:val="0E1020"/>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0E1020"/>
              </w:rPr>
              <w:t>—</w:t>
            </w:r>
          </w:p>
        </w:tc>
        <w:tc>
          <w:tcPr>
            <w:tcW w:w="860" w:type="dxa"/>
            <w:vAlign w:val="bottom"/>
            <w:vMerge w:val="restart"/>
          </w:tcPr>
          <w:p>
            <w:pPr>
              <w:jc w:val="right"/>
              <w:ind w:right="5"/>
              <w:spacing w:after="0"/>
              <w:rPr>
                <w:sz w:val="20"/>
                <w:szCs w:val="20"/>
                <w:color w:val="auto"/>
              </w:rPr>
            </w:pPr>
            <w:r>
              <w:rPr>
                <w:rFonts w:ascii="Arial" w:cs="Arial" w:eastAsia="Arial" w:hAnsi="Arial"/>
                <w:sz w:val="12"/>
                <w:szCs w:val="12"/>
                <w:color w:val="0E1020"/>
              </w:rPr>
              <w:t>2,925,992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80" w:type="dxa"/>
            <w:vAlign w:val="bottom"/>
            <w:tcBorders>
              <w:bottom w:val="single" w:sz="8" w:color="CFCFD2"/>
            </w:tcBorders>
          </w:tcPr>
          <w:p>
            <w:pPr>
              <w:ind w:left="80"/>
              <w:spacing w:after="0"/>
              <w:rPr>
                <w:sz w:val="20"/>
                <w:szCs w:val="20"/>
                <w:color w:val="auto"/>
              </w:rPr>
            </w:pPr>
            <w:r>
              <w:rPr>
                <w:rFonts w:ascii="Arial" w:cs="Arial" w:eastAsia="Arial" w:hAnsi="Arial"/>
                <w:sz w:val="12"/>
                <w:szCs w:val="12"/>
                <w:color w:val="0E1020"/>
              </w:rPr>
              <w:t>Based</w:t>
            </w:r>
            <w:r>
              <w:rPr>
                <w:rFonts w:ascii="Arial" w:cs="Arial" w:eastAsia="Arial" w:hAnsi="Arial"/>
                <w:sz w:val="15"/>
                <w:szCs w:val="15"/>
                <w:color w:val="0E1020"/>
                <w:vertAlign w:val="superscript"/>
              </w:rPr>
              <w:t>(3)</w:t>
            </w:r>
          </w:p>
        </w:tc>
        <w:tc>
          <w:tcPr>
            <w:tcW w:w="660" w:type="dxa"/>
            <w:vAlign w:val="bottom"/>
            <w:tcBorders>
              <w:bottom w:val="single" w:sz="8" w:color="CFCFD2"/>
            </w:tcBorders>
            <w:vMerge w:val="continue"/>
          </w:tcPr>
          <w:p>
            <w:pPr>
              <w:spacing w:after="0"/>
              <w:rPr>
                <w:sz w:val="15"/>
                <w:szCs w:val="15"/>
                <w:color w:val="auto"/>
              </w:rPr>
            </w:pPr>
          </w:p>
        </w:tc>
        <w:tc>
          <w:tcPr>
            <w:tcW w:w="760" w:type="dxa"/>
            <w:vAlign w:val="bottom"/>
            <w:tcBorders>
              <w:bottom w:val="single" w:sz="8" w:color="CFCFD2"/>
            </w:tcBorders>
            <w:vMerge w:val="continue"/>
          </w:tcPr>
          <w:p>
            <w:pPr>
              <w:spacing w:after="0"/>
              <w:rPr>
                <w:sz w:val="15"/>
                <w:szCs w:val="15"/>
                <w:color w:val="auto"/>
              </w:rPr>
            </w:pPr>
          </w:p>
        </w:tc>
        <w:tc>
          <w:tcPr>
            <w:tcW w:w="860" w:type="dxa"/>
            <w:vAlign w:val="bottom"/>
            <w:tcBorders>
              <w:bottom w:val="single" w:sz="8" w:color="CFCFD2"/>
            </w:tcBorders>
            <w:vMerge w:val="continue"/>
          </w:tcPr>
          <w:p>
            <w:pPr>
              <w:spacing w:after="0"/>
              <w:rPr>
                <w:sz w:val="15"/>
                <w:szCs w:val="15"/>
                <w:color w:val="auto"/>
              </w:rPr>
            </w:pPr>
          </w:p>
        </w:tc>
        <w:tc>
          <w:tcPr>
            <w:tcW w:w="960" w:type="dxa"/>
            <w:vAlign w:val="bottom"/>
            <w:tcBorders>
              <w:bottom w:val="single" w:sz="8" w:color="CFCFD2"/>
            </w:tcBorders>
            <w:vMerge w:val="continue"/>
          </w:tcPr>
          <w:p>
            <w:pPr>
              <w:spacing w:after="0"/>
              <w:rPr>
                <w:sz w:val="15"/>
                <w:szCs w:val="15"/>
                <w:color w:val="auto"/>
              </w:rPr>
            </w:pPr>
          </w:p>
        </w:tc>
        <w:tc>
          <w:tcPr>
            <w:tcW w:w="800" w:type="dxa"/>
            <w:vAlign w:val="bottom"/>
            <w:tcBorders>
              <w:bottom w:val="single" w:sz="8" w:color="CFCFD2"/>
            </w:tcBorders>
            <w:gridSpan w:val="2"/>
            <w:vMerge w:val="continue"/>
          </w:tcPr>
          <w:p>
            <w:pPr>
              <w:spacing w:after="0"/>
              <w:rPr>
                <w:sz w:val="15"/>
                <w:szCs w:val="15"/>
                <w:color w:val="auto"/>
              </w:rPr>
            </w:pPr>
          </w:p>
        </w:tc>
        <w:tc>
          <w:tcPr>
            <w:tcW w:w="1060" w:type="dxa"/>
            <w:vAlign w:val="bottom"/>
            <w:tcBorders>
              <w:bottom w:val="single" w:sz="8" w:color="CFCFD2"/>
            </w:tcBorders>
            <w:vMerge w:val="continue"/>
          </w:tcPr>
          <w:p>
            <w:pPr>
              <w:spacing w:after="0"/>
              <w:rPr>
                <w:sz w:val="15"/>
                <w:szCs w:val="15"/>
                <w:color w:val="auto"/>
              </w:rPr>
            </w:pPr>
          </w:p>
        </w:tc>
        <w:tc>
          <w:tcPr>
            <w:tcW w:w="920" w:type="dxa"/>
            <w:vAlign w:val="bottom"/>
            <w:tcBorders>
              <w:bottom w:val="single" w:sz="8" w:color="CFCFD2"/>
            </w:tcBorders>
            <w:vMerge w:val="continue"/>
          </w:tcPr>
          <w:p>
            <w:pPr>
              <w:spacing w:after="0"/>
              <w:rPr>
                <w:sz w:val="15"/>
                <w:szCs w:val="15"/>
                <w:color w:val="auto"/>
              </w:rPr>
            </w:pPr>
          </w:p>
        </w:tc>
        <w:tc>
          <w:tcPr>
            <w:tcW w:w="600" w:type="dxa"/>
            <w:vAlign w:val="bottom"/>
            <w:tcBorders>
              <w:bottom w:val="single" w:sz="8" w:color="CFCFD2"/>
            </w:tcBorders>
            <w:vMerge w:val="continue"/>
          </w:tcPr>
          <w:p>
            <w:pPr>
              <w:spacing w:after="0"/>
              <w:rPr>
                <w:sz w:val="15"/>
                <w:szCs w:val="15"/>
                <w:color w:val="auto"/>
              </w:rPr>
            </w:pPr>
          </w:p>
        </w:tc>
        <w:tc>
          <w:tcPr>
            <w:tcW w:w="760" w:type="dxa"/>
            <w:vAlign w:val="bottom"/>
            <w:tcBorders>
              <w:bottom w:val="single" w:sz="8" w:color="CFCFD2"/>
            </w:tcBorders>
            <w:vMerge w:val="continue"/>
          </w:tcPr>
          <w:p>
            <w:pPr>
              <w:spacing w:after="0"/>
              <w:rPr>
                <w:sz w:val="15"/>
                <w:szCs w:val="15"/>
                <w:color w:val="auto"/>
              </w:rPr>
            </w:pPr>
          </w:p>
        </w:tc>
        <w:tc>
          <w:tcPr>
            <w:tcW w:w="960" w:type="dxa"/>
            <w:vAlign w:val="bottom"/>
            <w:tcBorders>
              <w:bottom w:val="single" w:sz="8" w:color="CFCFD2"/>
            </w:tcBorders>
            <w:vMerge w:val="continue"/>
          </w:tcPr>
          <w:p>
            <w:pPr>
              <w:spacing w:after="0"/>
              <w:rPr>
                <w:sz w:val="15"/>
                <w:szCs w:val="15"/>
                <w:color w:val="auto"/>
              </w:rPr>
            </w:pPr>
          </w:p>
        </w:tc>
        <w:tc>
          <w:tcPr>
            <w:tcW w:w="720" w:type="dxa"/>
            <w:vAlign w:val="bottom"/>
            <w:tcBorders>
              <w:bottom w:val="single" w:sz="8" w:color="CFCFD2"/>
            </w:tcBorders>
            <w:vMerge w:val="continue"/>
          </w:tcPr>
          <w:p>
            <w:pPr>
              <w:spacing w:after="0"/>
              <w:rPr>
                <w:sz w:val="15"/>
                <w:szCs w:val="15"/>
                <w:color w:val="auto"/>
              </w:rPr>
            </w:pPr>
          </w:p>
        </w:tc>
        <w:tc>
          <w:tcPr>
            <w:tcW w:w="860" w:type="dxa"/>
            <w:vAlign w:val="bottom"/>
            <w:tcBorders>
              <w:bottom w:val="single" w:sz="8" w:color="CFCFD2"/>
            </w:tcBorders>
            <w:vMerge w:val="continue"/>
          </w:tcPr>
          <w:p>
            <w:pPr>
              <w:spacing w:after="0"/>
              <w:rPr>
                <w:sz w:val="15"/>
                <w:szCs w:val="15"/>
                <w:color w:val="auto"/>
              </w:rPr>
            </w:pPr>
          </w:p>
        </w:tc>
        <w:tc>
          <w:tcPr>
            <w:tcW w:w="140" w:type="dxa"/>
            <w:vAlign w:val="bottom"/>
            <w:tcBorders>
              <w:bottom w:val="single" w:sz="8" w:color="CFCFD2"/>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80" w:right="140" w:hanging="312"/>
        <w:spacing w:after="0" w:line="282" w:lineRule="auto"/>
        <w:tabs>
          <w:tab w:leader="none" w:pos="480" w:val="left"/>
        </w:tabs>
        <w:numPr>
          <w:ilvl w:val="0"/>
          <w:numId w:val="89"/>
        </w:numPr>
        <w:rPr>
          <w:rFonts w:ascii="Arial" w:cs="Arial" w:eastAsia="Arial" w:hAnsi="Arial"/>
          <w:sz w:val="14"/>
          <w:szCs w:val="14"/>
          <w:color w:val="0E1020"/>
        </w:rPr>
      </w:pPr>
      <w:r>
        <w:rPr>
          <w:rFonts w:ascii="Arial" w:cs="Arial" w:eastAsia="Arial" w:hAnsi="Arial"/>
          <w:sz w:val="14"/>
          <w:szCs w:val="14"/>
          <w:color w:val="0E1020"/>
        </w:rPr>
        <w:t>The amounts shown in columns (d), (e) and (f) reflect the threshold, target and maximum amounts which could be earned under the annual cash incentive plan for fiscal 2026. Actual amounts earned for fiscal 2026 under the annual cash incentive plan are set forth in column (g) of the Summary Compensation Table.</w:t>
      </w:r>
    </w:p>
    <w:p>
      <w:pPr>
        <w:spacing w:after="0" w:line="10" w:lineRule="exact"/>
        <w:rPr>
          <w:rFonts w:ascii="Arial" w:cs="Arial" w:eastAsia="Arial" w:hAnsi="Arial"/>
          <w:sz w:val="14"/>
          <w:szCs w:val="14"/>
          <w:color w:val="0E1020"/>
        </w:rPr>
      </w:pPr>
    </w:p>
    <w:p>
      <w:pPr>
        <w:ind w:left="480" w:hanging="312"/>
        <w:spacing w:after="0" w:line="263" w:lineRule="auto"/>
        <w:tabs>
          <w:tab w:leader="none" w:pos="453" w:val="left"/>
        </w:tabs>
        <w:numPr>
          <w:ilvl w:val="0"/>
          <w:numId w:val="89"/>
        </w:numPr>
        <w:rPr>
          <w:rFonts w:ascii="Arial" w:cs="Arial" w:eastAsia="Arial" w:hAnsi="Arial"/>
          <w:sz w:val="14"/>
          <w:szCs w:val="14"/>
          <w:color w:val="0E1020"/>
        </w:rPr>
      </w:pPr>
      <w:r>
        <w:rPr>
          <w:rFonts w:ascii="Arial" w:cs="Arial" w:eastAsia="Arial" w:hAnsi="Arial"/>
          <w:sz w:val="14"/>
          <w:szCs w:val="14"/>
          <w:color w:val="0E1020"/>
        </w:rPr>
        <w:t>The fiscal 2026 PSUs, including the fiscal 2026 front-loaded PSUs for Messrs. Fernandez and Del Bene, are earned and vest based 80% on a cumulative Free Cash Flow (“FCF”) weighted metric’s performance and 20% on a cumulative Revenue weighted metric’s performance, with a modifier of +/- 20% based on relative Total Shareholder Return (“rTSR”) performance, as measured over a three-year performance period. The number of PSUs that may vest ranges from 50% (threshold) to 200% (maximum), inclusive of the modifier. If performance thresholds are not met on either metric, no PSUs vest. If the performance thresholds are met on either metric, the rTSR modifier is then applied, and settlement of any vested shares is made after the end of the third fiscal year. The Compensation Committee will make a conclusive determination as to the number of PSUs earned and vested only after the end of fiscal 2028. Vesting based on performance is generally subject to the NEO’s continued employment through the end of the third fiscal year.</w:t>
      </w:r>
    </w:p>
    <w:p>
      <w:pPr>
        <w:spacing w:after="0" w:line="25" w:lineRule="exact"/>
        <w:rPr>
          <w:rFonts w:ascii="Arial" w:cs="Arial" w:eastAsia="Arial" w:hAnsi="Arial"/>
          <w:sz w:val="14"/>
          <w:szCs w:val="14"/>
          <w:color w:val="0E1020"/>
        </w:rPr>
      </w:pPr>
    </w:p>
    <w:p>
      <w:pPr>
        <w:ind w:left="480" w:hanging="312"/>
        <w:spacing w:after="0" w:line="270" w:lineRule="auto"/>
        <w:tabs>
          <w:tab w:leader="none" w:pos="453" w:val="left"/>
        </w:tabs>
        <w:numPr>
          <w:ilvl w:val="0"/>
          <w:numId w:val="89"/>
        </w:numPr>
        <w:rPr>
          <w:rFonts w:ascii="Arial" w:cs="Arial" w:eastAsia="Arial" w:hAnsi="Arial"/>
          <w:sz w:val="14"/>
          <w:szCs w:val="14"/>
          <w:color w:val="0E1020"/>
        </w:rPr>
      </w:pPr>
      <w:r>
        <w:rPr>
          <w:rFonts w:ascii="Arial" w:cs="Arial" w:eastAsia="Arial" w:hAnsi="Arial"/>
          <w:sz w:val="14"/>
          <w:szCs w:val="14"/>
          <w:color w:val="0E1020"/>
        </w:rPr>
        <w:t>Time-based RSUs, including retention RSUs, do not have a threshold or maximum. The annual cycle time-based RSUs, including the fiscal 2026 front-loaded annual cycle time-based RSUs for Messrs. Fernandez and Del Bene, vest one-third per year on the first three anniversaries of the grant date. Mr. August’s fiscal 2026 retention RSUs vest one-half per year on the first two anniversaries of the grant date.</w:t>
      </w:r>
    </w:p>
    <w:p>
      <w:pPr>
        <w:spacing w:after="0" w:line="19" w:lineRule="exact"/>
        <w:rPr>
          <w:rFonts w:ascii="Arial" w:cs="Arial" w:eastAsia="Arial" w:hAnsi="Arial"/>
          <w:sz w:val="14"/>
          <w:szCs w:val="14"/>
          <w:color w:val="0E1020"/>
        </w:rPr>
      </w:pPr>
    </w:p>
    <w:p>
      <w:pPr>
        <w:ind w:left="480" w:right="160" w:hanging="312"/>
        <w:spacing w:after="0" w:line="299" w:lineRule="auto"/>
        <w:tabs>
          <w:tab w:leader="none" w:pos="453" w:val="left"/>
        </w:tabs>
        <w:numPr>
          <w:ilvl w:val="0"/>
          <w:numId w:val="89"/>
        </w:numPr>
        <w:rPr>
          <w:rFonts w:ascii="Arial" w:cs="Arial" w:eastAsia="Arial" w:hAnsi="Arial"/>
          <w:sz w:val="14"/>
          <w:szCs w:val="14"/>
          <w:color w:val="0E1020"/>
        </w:rPr>
      </w:pPr>
      <w:r>
        <w:rPr>
          <w:rFonts w:ascii="Arial" w:cs="Arial" w:eastAsia="Arial" w:hAnsi="Arial"/>
          <w:sz w:val="14"/>
          <w:szCs w:val="14"/>
          <w:color w:val="0E1020"/>
        </w:rPr>
        <w:t>Mr. Boville left the Company in fiscal 2026 and his entire fiscal 2026 annual cash incentive plan opportunity was canceled. Mr. Boville’s fiscal 2026 PSUs and fiscal 2026 RSUs were also canceled, except for pro rata amounts based on full months of service in fiscal 2026, per the severance terms of his individual offer letter.</w:t>
      </w:r>
    </w:p>
    <w:p>
      <w:pPr>
        <w:spacing w:after="0" w:line="1" w:lineRule="exact"/>
        <w:rPr>
          <w:rFonts w:ascii="Arial" w:cs="Arial" w:eastAsia="Arial" w:hAnsi="Arial"/>
          <w:sz w:val="14"/>
          <w:szCs w:val="14"/>
          <w:color w:val="0E1020"/>
        </w:rPr>
      </w:pPr>
    </w:p>
    <w:p>
      <w:pPr>
        <w:jc w:val="both"/>
        <w:ind w:left="480" w:right="180" w:hanging="312"/>
        <w:spacing w:after="0" w:line="270" w:lineRule="auto"/>
        <w:tabs>
          <w:tab w:leader="none" w:pos="453" w:val="left"/>
        </w:tabs>
        <w:numPr>
          <w:ilvl w:val="0"/>
          <w:numId w:val="89"/>
        </w:numPr>
        <w:rPr>
          <w:rFonts w:ascii="Arial" w:cs="Arial" w:eastAsia="Arial" w:hAnsi="Arial"/>
          <w:sz w:val="14"/>
          <w:szCs w:val="14"/>
          <w:color w:val="0E1020"/>
        </w:rPr>
      </w:pPr>
      <w:r>
        <w:rPr>
          <w:rFonts w:ascii="Arial" w:cs="Arial" w:eastAsia="Arial" w:hAnsi="Arial"/>
          <w:sz w:val="14"/>
          <w:szCs w:val="14"/>
          <w:color w:val="0E1020"/>
        </w:rPr>
        <w:t>The amounts shown in Column (m) reflect the aggregate grant date fair values computed in accordance with FASB ASC Topic 718 for performance-vesting and service-vesting RSUs granted during the fiscal year. Pursuant to SEC rules, we present the amounts excluding the impact of estimated forfeitures. For additional information on assumptions made in the valuation of these awards, see footnote (3) to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88</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96" w:name="page97"/>
    <w:bookmarkEnd w:id="96"/>
    <w:p>
      <w:pPr>
        <w:ind w:left="20"/>
        <w:spacing w:after="0"/>
        <w:tabs>
          <w:tab w:leader="none" w:pos="918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0E1020"/>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Outstanding Equity Awards at Fiscal Year-End March 31, 2026</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E1020"/>
        </w:rPr>
        <w:t>The following table provides information on unvested RSUs and PSUs previously granted and held by the NEOs on March 31, 2026.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420" w:type="dxa"/>
            <w:vAlign w:val="bottom"/>
            <w:shd w:val="clear" w:color="auto" w:fill="F6F3F0"/>
          </w:tcPr>
          <w:p>
            <w:pPr>
              <w:spacing w:after="0"/>
              <w:rPr>
                <w:sz w:val="23"/>
                <w:szCs w:val="23"/>
                <w:color w:val="auto"/>
              </w:rPr>
            </w:pPr>
          </w:p>
        </w:tc>
        <w:tc>
          <w:tcPr>
            <w:tcW w:w="1200" w:type="dxa"/>
            <w:vAlign w:val="bottom"/>
            <w:shd w:val="clear" w:color="auto" w:fill="F6F3F0"/>
          </w:tcPr>
          <w:p>
            <w:pPr>
              <w:spacing w:after="0"/>
              <w:rPr>
                <w:sz w:val="23"/>
                <w:szCs w:val="23"/>
                <w:color w:val="auto"/>
              </w:rPr>
            </w:pPr>
          </w:p>
        </w:tc>
        <w:tc>
          <w:tcPr>
            <w:tcW w:w="1880" w:type="dxa"/>
            <w:vAlign w:val="bottom"/>
            <w:shd w:val="clear" w:color="auto" w:fill="F6F3F0"/>
          </w:tcPr>
          <w:p>
            <w:pPr>
              <w:spacing w:after="0"/>
              <w:rPr>
                <w:sz w:val="23"/>
                <w:szCs w:val="23"/>
                <w:color w:val="auto"/>
              </w:rPr>
            </w:pPr>
          </w:p>
        </w:tc>
        <w:tc>
          <w:tcPr>
            <w:tcW w:w="4260" w:type="dxa"/>
            <w:vAlign w:val="bottom"/>
            <w:gridSpan w:val="2"/>
            <w:shd w:val="clear" w:color="auto" w:fill="F6F3F0"/>
          </w:tcPr>
          <w:p>
            <w:pPr>
              <w:jc w:val="right"/>
              <w:ind w:right="1369"/>
              <w:spacing w:after="0"/>
              <w:rPr>
                <w:sz w:val="20"/>
                <w:szCs w:val="20"/>
                <w:color w:val="auto"/>
              </w:rPr>
            </w:pPr>
            <w:r>
              <w:rPr>
                <w:rFonts w:ascii="Arial" w:cs="Arial" w:eastAsia="Arial" w:hAnsi="Arial"/>
                <w:sz w:val="14"/>
                <w:szCs w:val="14"/>
                <w:b w:val="1"/>
                <w:bCs w:val="1"/>
                <w:color w:val="0E1020"/>
              </w:rPr>
              <w:t>Stock Awards</w:t>
            </w:r>
          </w:p>
        </w:tc>
        <w:tc>
          <w:tcPr>
            <w:tcW w:w="2480" w:type="dxa"/>
            <w:vAlign w:val="bottom"/>
            <w:shd w:val="clear" w:color="auto" w:fill="F6F3F0"/>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1420" w:type="dxa"/>
            <w:vAlign w:val="bottom"/>
            <w:tcBorders>
              <w:bottom w:val="single" w:sz="8" w:color="F6F3F0"/>
            </w:tcBorders>
            <w:shd w:val="clear" w:color="auto" w:fill="F6F3F0"/>
          </w:tcPr>
          <w:p>
            <w:pPr>
              <w:spacing w:after="0"/>
              <w:rPr>
                <w:sz w:val="5"/>
                <w:szCs w:val="5"/>
                <w:color w:val="auto"/>
              </w:rPr>
            </w:pPr>
          </w:p>
        </w:tc>
        <w:tc>
          <w:tcPr>
            <w:tcW w:w="1200" w:type="dxa"/>
            <w:vAlign w:val="bottom"/>
            <w:tcBorders>
              <w:bottom w:val="single" w:sz="8" w:color="F6F3F0"/>
            </w:tcBorders>
            <w:shd w:val="clear" w:color="auto" w:fill="F6F3F0"/>
          </w:tcPr>
          <w:p>
            <w:pPr>
              <w:spacing w:after="0"/>
              <w:rPr>
                <w:sz w:val="5"/>
                <w:szCs w:val="5"/>
                <w:color w:val="auto"/>
              </w:rPr>
            </w:pPr>
          </w:p>
        </w:tc>
        <w:tc>
          <w:tcPr>
            <w:tcW w:w="1880" w:type="dxa"/>
            <w:vAlign w:val="bottom"/>
            <w:tcBorders>
              <w:bottom w:val="single" w:sz="8" w:color="CFCFD2"/>
            </w:tcBorders>
            <w:shd w:val="clear" w:color="auto" w:fill="F6F3F0"/>
          </w:tcPr>
          <w:p>
            <w:pPr>
              <w:spacing w:after="0"/>
              <w:rPr>
                <w:sz w:val="5"/>
                <w:szCs w:val="5"/>
                <w:color w:val="auto"/>
              </w:rPr>
            </w:pPr>
          </w:p>
        </w:tc>
        <w:tc>
          <w:tcPr>
            <w:tcW w:w="1920" w:type="dxa"/>
            <w:vAlign w:val="bottom"/>
            <w:tcBorders>
              <w:bottom w:val="single" w:sz="8" w:color="CFCFD2"/>
            </w:tcBorders>
            <w:shd w:val="clear" w:color="auto" w:fill="F6F3F0"/>
          </w:tcPr>
          <w:p>
            <w:pPr>
              <w:spacing w:after="0"/>
              <w:rPr>
                <w:sz w:val="5"/>
                <w:szCs w:val="5"/>
                <w:color w:val="auto"/>
              </w:rPr>
            </w:pPr>
          </w:p>
        </w:tc>
        <w:tc>
          <w:tcPr>
            <w:tcW w:w="2340" w:type="dxa"/>
            <w:vAlign w:val="bottom"/>
            <w:tcBorders>
              <w:bottom w:val="single" w:sz="8" w:color="CFCFD2"/>
            </w:tcBorders>
            <w:shd w:val="clear" w:color="auto" w:fill="F6F3F0"/>
          </w:tcPr>
          <w:p>
            <w:pPr>
              <w:spacing w:after="0"/>
              <w:rPr>
                <w:sz w:val="5"/>
                <w:szCs w:val="5"/>
                <w:color w:val="auto"/>
              </w:rPr>
            </w:pPr>
          </w:p>
        </w:tc>
        <w:tc>
          <w:tcPr>
            <w:tcW w:w="2480" w:type="dxa"/>
            <w:vAlign w:val="bottom"/>
            <w:tcBorders>
              <w:bottom w:val="single" w:sz="8" w:color="CFCFD2"/>
            </w:tcBorders>
            <w:shd w:val="clear" w:color="auto" w:fill="F6F3F0"/>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1420" w:type="dxa"/>
            <w:vAlign w:val="bottom"/>
            <w:shd w:val="clear" w:color="auto" w:fill="F6F3F0"/>
          </w:tcPr>
          <w:p>
            <w:pPr>
              <w:spacing w:after="0"/>
              <w:rPr>
                <w:sz w:val="19"/>
                <w:szCs w:val="19"/>
                <w:color w:val="auto"/>
              </w:rPr>
            </w:pPr>
          </w:p>
        </w:tc>
        <w:tc>
          <w:tcPr>
            <w:tcW w:w="1200" w:type="dxa"/>
            <w:vAlign w:val="bottom"/>
            <w:shd w:val="clear" w:color="auto" w:fill="F6F3F0"/>
          </w:tcPr>
          <w:p>
            <w:pPr>
              <w:spacing w:after="0"/>
              <w:rPr>
                <w:sz w:val="19"/>
                <w:szCs w:val="19"/>
                <w:color w:val="auto"/>
              </w:rPr>
            </w:pPr>
          </w:p>
        </w:tc>
        <w:tc>
          <w:tcPr>
            <w:tcW w:w="1880" w:type="dxa"/>
            <w:vAlign w:val="bottom"/>
            <w:shd w:val="clear" w:color="auto" w:fill="F6F3F0"/>
          </w:tcPr>
          <w:p>
            <w:pPr>
              <w:spacing w:after="0"/>
              <w:rPr>
                <w:sz w:val="19"/>
                <w:szCs w:val="19"/>
                <w:color w:val="auto"/>
              </w:rPr>
            </w:pPr>
          </w:p>
        </w:tc>
        <w:tc>
          <w:tcPr>
            <w:tcW w:w="1920" w:type="dxa"/>
            <w:vAlign w:val="bottom"/>
            <w:shd w:val="clear" w:color="auto" w:fill="F6F3F0"/>
          </w:tcPr>
          <w:p>
            <w:pPr>
              <w:spacing w:after="0"/>
              <w:rPr>
                <w:sz w:val="19"/>
                <w:szCs w:val="19"/>
                <w:color w:val="auto"/>
              </w:rPr>
            </w:pPr>
          </w:p>
        </w:tc>
        <w:tc>
          <w:tcPr>
            <w:tcW w:w="23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Equity Incentive Plan Awards:</w:t>
            </w:r>
          </w:p>
        </w:tc>
        <w:tc>
          <w:tcPr>
            <w:tcW w:w="2480" w:type="dxa"/>
            <w:vAlign w:val="bottom"/>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Equity Incentive Plan Awards:</w:t>
            </w:r>
          </w:p>
        </w:tc>
        <w:tc>
          <w:tcPr>
            <w:tcW w:w="0" w:type="dxa"/>
            <w:vAlign w:val="bottom"/>
          </w:tcPr>
          <w:p>
            <w:pPr>
              <w:spacing w:after="0"/>
              <w:rPr>
                <w:sz w:val="1"/>
                <w:szCs w:val="1"/>
                <w:color w:val="auto"/>
              </w:rPr>
            </w:pPr>
          </w:p>
        </w:tc>
      </w:tr>
      <w:tr>
        <w:trPr>
          <w:trHeight w:val="161"/>
        </w:trPr>
        <w:tc>
          <w:tcPr>
            <w:tcW w:w="1420" w:type="dxa"/>
            <w:vAlign w:val="bottom"/>
            <w:shd w:val="clear" w:color="auto" w:fill="F6F3F0"/>
          </w:tcPr>
          <w:p>
            <w:pPr>
              <w:spacing w:after="0"/>
              <w:rPr>
                <w:sz w:val="13"/>
                <w:szCs w:val="13"/>
                <w:color w:val="auto"/>
              </w:rPr>
            </w:pPr>
          </w:p>
        </w:tc>
        <w:tc>
          <w:tcPr>
            <w:tcW w:w="1200" w:type="dxa"/>
            <w:vAlign w:val="bottom"/>
            <w:shd w:val="clear" w:color="auto" w:fill="F6F3F0"/>
          </w:tcPr>
          <w:p>
            <w:pPr>
              <w:spacing w:after="0"/>
              <w:rPr>
                <w:sz w:val="13"/>
                <w:szCs w:val="13"/>
                <w:color w:val="auto"/>
              </w:rPr>
            </w:pPr>
          </w:p>
        </w:tc>
        <w:tc>
          <w:tcPr>
            <w:tcW w:w="18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Number of Shares or Units</w:t>
            </w:r>
          </w:p>
        </w:tc>
        <w:tc>
          <w:tcPr>
            <w:tcW w:w="192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Market Value of Shares or</w:t>
            </w:r>
          </w:p>
        </w:tc>
        <w:tc>
          <w:tcPr>
            <w:tcW w:w="23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Number of Unearned Shares,</w:t>
            </w:r>
          </w:p>
        </w:tc>
        <w:tc>
          <w:tcPr>
            <w:tcW w:w="2480" w:type="dxa"/>
            <w:vAlign w:val="bottom"/>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Market or Payout Value of</w:t>
            </w:r>
          </w:p>
        </w:tc>
        <w:tc>
          <w:tcPr>
            <w:tcW w:w="0" w:type="dxa"/>
            <w:vAlign w:val="bottom"/>
          </w:tcPr>
          <w:p>
            <w:pPr>
              <w:spacing w:after="0"/>
              <w:rPr>
                <w:sz w:val="1"/>
                <w:szCs w:val="1"/>
                <w:color w:val="auto"/>
              </w:rPr>
            </w:pPr>
          </w:p>
        </w:tc>
      </w:tr>
      <w:tr>
        <w:trPr>
          <w:trHeight w:val="174"/>
        </w:trPr>
        <w:tc>
          <w:tcPr>
            <w:tcW w:w="1420" w:type="dxa"/>
            <w:vAlign w:val="bottom"/>
            <w:shd w:val="clear" w:color="auto" w:fill="F6F3F0"/>
          </w:tcPr>
          <w:p>
            <w:pPr>
              <w:spacing w:after="0"/>
              <w:rPr>
                <w:sz w:val="15"/>
                <w:szCs w:val="15"/>
                <w:color w:val="auto"/>
              </w:rPr>
            </w:pPr>
          </w:p>
        </w:tc>
        <w:tc>
          <w:tcPr>
            <w:tcW w:w="1200" w:type="dxa"/>
            <w:vAlign w:val="bottom"/>
            <w:shd w:val="clear" w:color="auto" w:fill="F6F3F0"/>
          </w:tcPr>
          <w:p>
            <w:pPr>
              <w:spacing w:after="0"/>
              <w:rPr>
                <w:sz w:val="15"/>
                <w:szCs w:val="15"/>
                <w:color w:val="auto"/>
              </w:rPr>
            </w:pPr>
          </w:p>
        </w:tc>
        <w:tc>
          <w:tcPr>
            <w:tcW w:w="18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of Stock That Have</w:t>
            </w:r>
          </w:p>
        </w:tc>
        <w:tc>
          <w:tcPr>
            <w:tcW w:w="192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Units of Stock That Have</w:t>
            </w:r>
          </w:p>
        </w:tc>
        <w:tc>
          <w:tcPr>
            <w:tcW w:w="23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Units or Other Rights That Have</w:t>
            </w:r>
          </w:p>
        </w:tc>
        <w:tc>
          <w:tcPr>
            <w:tcW w:w="2480" w:type="dxa"/>
            <w:vAlign w:val="bottom"/>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Unearned Shares, Units or Other</w:t>
            </w:r>
          </w:p>
        </w:tc>
        <w:tc>
          <w:tcPr>
            <w:tcW w:w="0" w:type="dxa"/>
            <w:vAlign w:val="bottom"/>
          </w:tcPr>
          <w:p>
            <w:pPr>
              <w:spacing w:after="0"/>
              <w:rPr>
                <w:sz w:val="1"/>
                <w:szCs w:val="1"/>
                <w:color w:val="auto"/>
              </w:rPr>
            </w:pPr>
          </w:p>
        </w:tc>
      </w:tr>
      <w:tr>
        <w:trPr>
          <w:trHeight w:val="174"/>
        </w:trPr>
        <w:tc>
          <w:tcPr>
            <w:tcW w:w="1420" w:type="dxa"/>
            <w:vAlign w:val="bottom"/>
            <w:shd w:val="clear" w:color="auto" w:fill="F6F3F0"/>
          </w:tcPr>
          <w:p>
            <w:pPr>
              <w:spacing w:after="0"/>
              <w:rPr>
                <w:sz w:val="15"/>
                <w:szCs w:val="15"/>
                <w:color w:val="auto"/>
              </w:rPr>
            </w:pPr>
          </w:p>
        </w:tc>
        <w:tc>
          <w:tcPr>
            <w:tcW w:w="1200" w:type="dxa"/>
            <w:vAlign w:val="bottom"/>
            <w:shd w:val="clear" w:color="auto" w:fill="F6F3F0"/>
          </w:tcPr>
          <w:p>
            <w:pPr>
              <w:spacing w:after="0"/>
              <w:rPr>
                <w:sz w:val="15"/>
                <w:szCs w:val="15"/>
                <w:color w:val="auto"/>
              </w:rPr>
            </w:pPr>
          </w:p>
        </w:tc>
        <w:tc>
          <w:tcPr>
            <w:tcW w:w="18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Not Vested</w:t>
            </w:r>
          </w:p>
        </w:tc>
        <w:tc>
          <w:tcPr>
            <w:tcW w:w="192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Not Vested</w:t>
            </w:r>
            <w:r>
              <w:rPr>
                <w:rFonts w:ascii="Arial" w:cs="Arial" w:eastAsia="Arial" w:hAnsi="Arial"/>
                <w:sz w:val="9"/>
                <w:szCs w:val="9"/>
                <w:b w:val="1"/>
                <w:bCs w:val="1"/>
                <w:color w:val="0E1020"/>
              </w:rPr>
              <w:t>(1)</w:t>
            </w:r>
          </w:p>
        </w:tc>
        <w:tc>
          <w:tcPr>
            <w:tcW w:w="23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Not Vested</w:t>
            </w:r>
          </w:p>
        </w:tc>
        <w:tc>
          <w:tcPr>
            <w:tcW w:w="2480" w:type="dxa"/>
            <w:vAlign w:val="bottom"/>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Rights That Have Not Vested</w:t>
            </w:r>
            <w:r>
              <w:rPr>
                <w:rFonts w:ascii="Arial" w:cs="Arial" w:eastAsia="Arial" w:hAnsi="Arial"/>
                <w:sz w:val="9"/>
                <w:szCs w:val="9"/>
                <w:b w:val="1"/>
                <w:bCs w:val="1"/>
                <w:color w:val="0E1020"/>
              </w:rPr>
              <w:t>(1)</w:t>
            </w:r>
          </w:p>
        </w:tc>
        <w:tc>
          <w:tcPr>
            <w:tcW w:w="0" w:type="dxa"/>
            <w:vAlign w:val="bottom"/>
          </w:tcPr>
          <w:p>
            <w:pPr>
              <w:spacing w:after="0"/>
              <w:rPr>
                <w:sz w:val="1"/>
                <w:szCs w:val="1"/>
                <w:color w:val="auto"/>
              </w:rPr>
            </w:pPr>
          </w:p>
        </w:tc>
      </w:tr>
      <w:tr>
        <w:trPr>
          <w:trHeight w:val="174"/>
        </w:trPr>
        <w:tc>
          <w:tcPr>
            <w:tcW w:w="1420" w:type="dxa"/>
            <w:vAlign w:val="bottom"/>
            <w:shd w:val="clear" w:color="auto" w:fill="F6F3F0"/>
          </w:tcPr>
          <w:p>
            <w:pPr>
              <w:ind w:left="100"/>
              <w:spacing w:after="0"/>
              <w:rPr>
                <w:sz w:val="20"/>
                <w:szCs w:val="20"/>
                <w:color w:val="auto"/>
              </w:rPr>
            </w:pPr>
            <w:r>
              <w:rPr>
                <w:rFonts w:ascii="Arial" w:cs="Arial" w:eastAsia="Arial" w:hAnsi="Arial"/>
                <w:sz w:val="14"/>
                <w:szCs w:val="14"/>
                <w:b w:val="1"/>
                <w:bCs w:val="1"/>
                <w:color w:val="0E1020"/>
              </w:rPr>
              <w:t>Name</w:t>
            </w:r>
          </w:p>
        </w:tc>
        <w:tc>
          <w:tcPr>
            <w:tcW w:w="1200" w:type="dxa"/>
            <w:vAlign w:val="bottom"/>
            <w:shd w:val="clear" w:color="auto" w:fill="F6F3F0"/>
          </w:tcPr>
          <w:p>
            <w:pPr>
              <w:spacing w:after="0"/>
              <w:rPr>
                <w:sz w:val="15"/>
                <w:szCs w:val="15"/>
                <w:color w:val="auto"/>
              </w:rPr>
            </w:pPr>
          </w:p>
        </w:tc>
        <w:tc>
          <w:tcPr>
            <w:tcW w:w="18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192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23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2480" w:type="dxa"/>
            <w:vAlign w:val="bottom"/>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w:t>
            </w:r>
          </w:p>
        </w:tc>
        <w:tc>
          <w:tcPr>
            <w:tcW w:w="0" w:type="dxa"/>
            <w:vAlign w:val="bottom"/>
          </w:tcPr>
          <w:p>
            <w:pPr>
              <w:spacing w:after="0"/>
              <w:rPr>
                <w:sz w:val="1"/>
                <w:szCs w:val="1"/>
                <w:color w:val="auto"/>
              </w:rPr>
            </w:pPr>
          </w:p>
        </w:tc>
      </w:tr>
      <w:tr>
        <w:trPr>
          <w:trHeight w:val="195"/>
        </w:trPr>
        <w:tc>
          <w:tcPr>
            <w:tcW w:w="1420" w:type="dxa"/>
            <w:vAlign w:val="bottom"/>
            <w:shd w:val="clear" w:color="auto" w:fill="F6F3F0"/>
          </w:tcPr>
          <w:p>
            <w:pPr>
              <w:ind w:left="100"/>
              <w:spacing w:after="0"/>
              <w:rPr>
                <w:sz w:val="20"/>
                <w:szCs w:val="20"/>
                <w:color w:val="auto"/>
              </w:rPr>
            </w:pPr>
            <w:r>
              <w:rPr>
                <w:rFonts w:ascii="Arial" w:cs="Arial" w:eastAsia="Arial" w:hAnsi="Arial"/>
                <w:sz w:val="14"/>
                <w:szCs w:val="14"/>
                <w:b w:val="1"/>
                <w:bCs w:val="1"/>
                <w:color w:val="0E1020"/>
              </w:rPr>
              <w:t>(a)</w:t>
            </w:r>
          </w:p>
        </w:tc>
        <w:tc>
          <w:tcPr>
            <w:tcW w:w="1200" w:type="dxa"/>
            <w:vAlign w:val="bottom"/>
            <w:shd w:val="clear" w:color="auto" w:fill="F6F3F0"/>
          </w:tcPr>
          <w:p>
            <w:pPr>
              <w:ind w:left="240"/>
              <w:spacing w:after="0"/>
              <w:rPr>
                <w:sz w:val="20"/>
                <w:szCs w:val="20"/>
                <w:color w:val="auto"/>
              </w:rPr>
            </w:pPr>
            <w:r>
              <w:rPr>
                <w:rFonts w:ascii="Arial" w:cs="Arial" w:eastAsia="Arial" w:hAnsi="Arial"/>
                <w:sz w:val="14"/>
                <w:szCs w:val="14"/>
                <w:b w:val="1"/>
                <w:bCs w:val="1"/>
                <w:color w:val="0E1020"/>
              </w:rPr>
              <w:t>Grant Date</w:t>
            </w:r>
          </w:p>
        </w:tc>
        <w:tc>
          <w:tcPr>
            <w:tcW w:w="18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(f)</w:t>
            </w:r>
          </w:p>
        </w:tc>
        <w:tc>
          <w:tcPr>
            <w:tcW w:w="192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(g)</w:t>
            </w:r>
          </w:p>
        </w:tc>
        <w:tc>
          <w:tcPr>
            <w:tcW w:w="23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(h)</w:t>
            </w:r>
          </w:p>
        </w:tc>
        <w:tc>
          <w:tcPr>
            <w:tcW w:w="2480" w:type="dxa"/>
            <w:vAlign w:val="bottom"/>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(i)</w:t>
            </w:r>
          </w:p>
        </w:tc>
        <w:tc>
          <w:tcPr>
            <w:tcW w:w="0" w:type="dxa"/>
            <w:vAlign w:val="bottom"/>
          </w:tcPr>
          <w:p>
            <w:pPr>
              <w:spacing w:after="0"/>
              <w:rPr>
                <w:sz w:val="1"/>
                <w:szCs w:val="1"/>
                <w:color w:val="auto"/>
              </w:rPr>
            </w:pPr>
          </w:p>
        </w:tc>
      </w:tr>
      <w:tr>
        <w:trPr>
          <w:trHeight w:val="69"/>
        </w:trPr>
        <w:tc>
          <w:tcPr>
            <w:tcW w:w="1420" w:type="dxa"/>
            <w:vAlign w:val="bottom"/>
            <w:tcBorders>
              <w:bottom w:val="single" w:sz="8" w:color="CFCFD2"/>
            </w:tcBorders>
            <w:shd w:val="clear" w:color="auto" w:fill="F6F3F0"/>
          </w:tcPr>
          <w:p>
            <w:pPr>
              <w:spacing w:after="0"/>
              <w:rPr>
                <w:sz w:val="5"/>
                <w:szCs w:val="5"/>
                <w:color w:val="auto"/>
              </w:rPr>
            </w:pPr>
          </w:p>
        </w:tc>
        <w:tc>
          <w:tcPr>
            <w:tcW w:w="1200" w:type="dxa"/>
            <w:vAlign w:val="bottom"/>
            <w:tcBorders>
              <w:bottom w:val="single" w:sz="8" w:color="CFCFD2"/>
            </w:tcBorders>
            <w:shd w:val="clear" w:color="auto" w:fill="F6F3F0"/>
          </w:tcPr>
          <w:p>
            <w:pPr>
              <w:spacing w:after="0"/>
              <w:rPr>
                <w:sz w:val="5"/>
                <w:szCs w:val="5"/>
                <w:color w:val="auto"/>
              </w:rPr>
            </w:pPr>
          </w:p>
        </w:tc>
        <w:tc>
          <w:tcPr>
            <w:tcW w:w="1880" w:type="dxa"/>
            <w:vAlign w:val="bottom"/>
            <w:tcBorders>
              <w:bottom w:val="single" w:sz="8" w:color="CFCFD2"/>
            </w:tcBorders>
            <w:shd w:val="clear" w:color="auto" w:fill="F6F3F0"/>
          </w:tcPr>
          <w:p>
            <w:pPr>
              <w:spacing w:after="0"/>
              <w:rPr>
                <w:sz w:val="5"/>
                <w:szCs w:val="5"/>
                <w:color w:val="auto"/>
              </w:rPr>
            </w:pPr>
          </w:p>
        </w:tc>
        <w:tc>
          <w:tcPr>
            <w:tcW w:w="1920" w:type="dxa"/>
            <w:vAlign w:val="bottom"/>
            <w:tcBorders>
              <w:bottom w:val="single" w:sz="8" w:color="CFCFD2"/>
            </w:tcBorders>
            <w:shd w:val="clear" w:color="auto" w:fill="F6F3F0"/>
          </w:tcPr>
          <w:p>
            <w:pPr>
              <w:spacing w:after="0"/>
              <w:rPr>
                <w:sz w:val="5"/>
                <w:szCs w:val="5"/>
                <w:color w:val="auto"/>
              </w:rPr>
            </w:pPr>
          </w:p>
        </w:tc>
        <w:tc>
          <w:tcPr>
            <w:tcW w:w="2340" w:type="dxa"/>
            <w:vAlign w:val="bottom"/>
            <w:tcBorders>
              <w:bottom w:val="single" w:sz="8" w:color="CFCFD2"/>
            </w:tcBorders>
            <w:shd w:val="clear" w:color="auto" w:fill="F6F3F0"/>
          </w:tcPr>
          <w:p>
            <w:pPr>
              <w:spacing w:after="0"/>
              <w:rPr>
                <w:sz w:val="5"/>
                <w:szCs w:val="5"/>
                <w:color w:val="auto"/>
              </w:rPr>
            </w:pPr>
          </w:p>
        </w:tc>
        <w:tc>
          <w:tcPr>
            <w:tcW w:w="2480" w:type="dxa"/>
            <w:vAlign w:val="bottom"/>
            <w:tcBorders>
              <w:bottom w:val="single" w:sz="8" w:color="CFCFD2"/>
            </w:tcBorders>
            <w:shd w:val="clear" w:color="auto" w:fill="F6F3F0"/>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1420" w:type="dxa"/>
            <w:vAlign w:val="bottom"/>
            <w:vMerge w:val="restart"/>
          </w:tcPr>
          <w:p>
            <w:pPr>
              <w:ind w:left="100"/>
              <w:spacing w:after="0"/>
              <w:rPr>
                <w:sz w:val="20"/>
                <w:szCs w:val="20"/>
                <w:color w:val="auto"/>
              </w:rPr>
            </w:pPr>
            <w:r>
              <w:rPr>
                <w:rFonts w:ascii="Arial" w:cs="Arial" w:eastAsia="Arial" w:hAnsi="Arial"/>
                <w:sz w:val="14"/>
                <w:szCs w:val="14"/>
                <w:b w:val="1"/>
                <w:bCs w:val="1"/>
                <w:color w:val="004AAC"/>
              </w:rPr>
              <w:t>Raul J. Fernandez</w:t>
            </w:r>
          </w:p>
        </w:tc>
        <w:tc>
          <w:tcPr>
            <w:tcW w:w="1200" w:type="dxa"/>
            <w:vAlign w:val="bottom"/>
          </w:tcPr>
          <w:p>
            <w:pPr>
              <w:jc w:val="center"/>
              <w:spacing w:after="0"/>
              <w:rPr>
                <w:sz w:val="20"/>
                <w:szCs w:val="20"/>
                <w:color w:val="auto"/>
              </w:rPr>
            </w:pPr>
            <w:r>
              <w:rPr>
                <w:rFonts w:ascii="Arial" w:cs="Arial" w:eastAsia="Arial" w:hAnsi="Arial"/>
                <w:sz w:val="14"/>
                <w:szCs w:val="14"/>
                <w:color w:val="0E1020"/>
              </w:rPr>
              <w:t>5/21/2024</w:t>
            </w:r>
          </w:p>
        </w:tc>
        <w:tc>
          <w:tcPr>
            <w:tcW w:w="1880" w:type="dxa"/>
            <w:vAlign w:val="bottom"/>
          </w:tcPr>
          <w:p>
            <w:pPr>
              <w:jc w:val="right"/>
              <w:spacing w:after="0"/>
              <w:rPr>
                <w:sz w:val="20"/>
                <w:szCs w:val="20"/>
                <w:color w:val="auto"/>
              </w:rPr>
            </w:pPr>
            <w:r>
              <w:rPr>
                <w:rFonts w:ascii="Arial" w:cs="Arial" w:eastAsia="Arial" w:hAnsi="Arial"/>
                <w:sz w:val="14"/>
                <w:szCs w:val="14"/>
                <w:color w:val="0E1020"/>
              </w:rPr>
              <w:t>147,073</w:t>
            </w:r>
            <w:r>
              <w:rPr>
                <w:rFonts w:ascii="Arial" w:cs="Arial" w:eastAsia="Arial" w:hAnsi="Arial"/>
                <w:sz w:val="18"/>
                <w:szCs w:val="18"/>
                <w:color w:val="0E1020"/>
                <w:vertAlign w:val="superscript"/>
              </w:rPr>
              <w:t>2</w:t>
            </w:r>
          </w:p>
        </w:tc>
        <w:tc>
          <w:tcPr>
            <w:tcW w:w="1920" w:type="dxa"/>
            <w:vAlign w:val="bottom"/>
          </w:tcPr>
          <w:p>
            <w:pPr>
              <w:jc w:val="right"/>
              <w:spacing w:after="0"/>
              <w:rPr>
                <w:sz w:val="20"/>
                <w:szCs w:val="20"/>
                <w:color w:val="auto"/>
              </w:rPr>
            </w:pPr>
            <w:r>
              <w:rPr>
                <w:rFonts w:ascii="Arial" w:cs="Arial" w:eastAsia="Arial" w:hAnsi="Arial"/>
                <w:sz w:val="14"/>
                <w:szCs w:val="14"/>
                <w:color w:val="0E1020"/>
              </w:rPr>
              <w:t>1,848,708</w:t>
            </w:r>
          </w:p>
        </w:tc>
        <w:tc>
          <w:tcPr>
            <w:tcW w:w="2340" w:type="dxa"/>
            <w:vAlign w:val="bottom"/>
          </w:tcPr>
          <w:p>
            <w:pPr>
              <w:jc w:val="right"/>
              <w:spacing w:after="0"/>
              <w:rPr>
                <w:sz w:val="20"/>
                <w:szCs w:val="20"/>
                <w:color w:val="auto"/>
              </w:rPr>
            </w:pPr>
            <w:r>
              <w:rPr>
                <w:rFonts w:ascii="Arial" w:cs="Arial" w:eastAsia="Arial" w:hAnsi="Arial"/>
                <w:sz w:val="14"/>
                <w:szCs w:val="14"/>
                <w:color w:val="0E1020"/>
              </w:rPr>
              <w:t>514,757</w:t>
            </w:r>
            <w:r>
              <w:rPr>
                <w:rFonts w:ascii="Arial" w:cs="Arial" w:eastAsia="Arial" w:hAnsi="Arial"/>
                <w:sz w:val="18"/>
                <w:szCs w:val="18"/>
                <w:color w:val="0E1020"/>
                <w:vertAlign w:val="superscript"/>
              </w:rPr>
              <w:t>3</w:t>
            </w:r>
          </w:p>
        </w:tc>
        <w:tc>
          <w:tcPr>
            <w:tcW w:w="2480" w:type="dxa"/>
            <w:vAlign w:val="bottom"/>
          </w:tcPr>
          <w:p>
            <w:pPr>
              <w:jc w:val="right"/>
              <w:ind w:right="149"/>
              <w:spacing w:after="0"/>
              <w:rPr>
                <w:sz w:val="20"/>
                <w:szCs w:val="20"/>
                <w:color w:val="auto"/>
              </w:rPr>
            </w:pPr>
            <w:r>
              <w:rPr>
                <w:rFonts w:ascii="Arial" w:cs="Arial" w:eastAsia="Arial" w:hAnsi="Arial"/>
                <w:sz w:val="14"/>
                <w:szCs w:val="14"/>
                <w:color w:val="0E1020"/>
              </w:rPr>
              <w:t>6,470,495</w:t>
            </w:r>
          </w:p>
        </w:tc>
        <w:tc>
          <w:tcPr>
            <w:tcW w:w="0" w:type="dxa"/>
            <w:vAlign w:val="bottom"/>
          </w:tcPr>
          <w:p>
            <w:pPr>
              <w:spacing w:after="0"/>
              <w:rPr>
                <w:sz w:val="1"/>
                <w:szCs w:val="1"/>
                <w:color w:val="auto"/>
              </w:rPr>
            </w:pPr>
          </w:p>
        </w:tc>
      </w:tr>
      <w:tr>
        <w:trPr>
          <w:trHeight w:val="32"/>
        </w:trPr>
        <w:tc>
          <w:tcPr>
            <w:tcW w:w="1420" w:type="dxa"/>
            <w:vAlign w:val="bottom"/>
            <w:vMerge w:val="continue"/>
          </w:tcPr>
          <w:p>
            <w:pPr>
              <w:spacing w:after="0"/>
              <w:rPr>
                <w:sz w:val="2"/>
                <w:szCs w:val="2"/>
                <w:color w:val="auto"/>
              </w:rPr>
            </w:pPr>
          </w:p>
        </w:tc>
        <w:tc>
          <w:tcPr>
            <w:tcW w:w="1200" w:type="dxa"/>
            <w:vAlign w:val="bottom"/>
            <w:tcBorders>
              <w:bottom w:val="single" w:sz="8" w:color="CFCFD2"/>
            </w:tcBorders>
          </w:tcPr>
          <w:p>
            <w:pPr>
              <w:spacing w:after="0"/>
              <w:rPr>
                <w:sz w:val="2"/>
                <w:szCs w:val="2"/>
                <w:color w:val="auto"/>
              </w:rPr>
            </w:pPr>
          </w:p>
        </w:tc>
        <w:tc>
          <w:tcPr>
            <w:tcW w:w="1880" w:type="dxa"/>
            <w:vAlign w:val="bottom"/>
            <w:tcBorders>
              <w:bottom w:val="single" w:sz="8" w:color="CFCFD2"/>
            </w:tcBorders>
          </w:tcPr>
          <w:p>
            <w:pPr>
              <w:spacing w:after="0"/>
              <w:rPr>
                <w:sz w:val="2"/>
                <w:szCs w:val="2"/>
                <w:color w:val="auto"/>
              </w:rPr>
            </w:pPr>
          </w:p>
        </w:tc>
        <w:tc>
          <w:tcPr>
            <w:tcW w:w="1920" w:type="dxa"/>
            <w:vAlign w:val="bottom"/>
            <w:tcBorders>
              <w:bottom w:val="single" w:sz="8" w:color="CFCFD2"/>
            </w:tcBorders>
          </w:tcPr>
          <w:p>
            <w:pPr>
              <w:spacing w:after="0"/>
              <w:rPr>
                <w:sz w:val="2"/>
                <w:szCs w:val="2"/>
                <w:color w:val="auto"/>
              </w:rPr>
            </w:pPr>
          </w:p>
        </w:tc>
        <w:tc>
          <w:tcPr>
            <w:tcW w:w="2340" w:type="dxa"/>
            <w:vAlign w:val="bottom"/>
            <w:tcBorders>
              <w:bottom w:val="single" w:sz="8" w:color="CFCFD2"/>
            </w:tcBorders>
          </w:tcPr>
          <w:p>
            <w:pPr>
              <w:spacing w:after="0"/>
              <w:rPr>
                <w:sz w:val="2"/>
                <w:szCs w:val="2"/>
                <w:color w:val="auto"/>
              </w:rPr>
            </w:pPr>
          </w:p>
        </w:tc>
        <w:tc>
          <w:tcPr>
            <w:tcW w:w="248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1420" w:type="dxa"/>
            <w:vAlign w:val="bottom"/>
            <w:vMerge w:val="continue"/>
          </w:tcPr>
          <w:p>
            <w:pPr>
              <w:spacing w:after="0"/>
              <w:rPr>
                <w:sz w:val="7"/>
                <w:szCs w:val="7"/>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color w:val="0E1020"/>
              </w:rPr>
              <w:t>5/16/2025</w:t>
            </w:r>
          </w:p>
        </w:tc>
        <w:tc>
          <w:tcPr>
            <w:tcW w:w="1880" w:type="dxa"/>
            <w:vAlign w:val="bottom"/>
            <w:vMerge w:val="restart"/>
          </w:tcPr>
          <w:p>
            <w:pPr>
              <w:jc w:val="right"/>
              <w:spacing w:after="0"/>
              <w:rPr>
                <w:sz w:val="20"/>
                <w:szCs w:val="20"/>
                <w:color w:val="auto"/>
              </w:rPr>
            </w:pPr>
            <w:r>
              <w:rPr>
                <w:rFonts w:ascii="Arial" w:cs="Arial" w:eastAsia="Arial" w:hAnsi="Arial"/>
                <w:sz w:val="14"/>
                <w:szCs w:val="14"/>
                <w:color w:val="0E1020"/>
              </w:rPr>
              <w:t>402,844</w:t>
            </w:r>
            <w:r>
              <w:rPr>
                <w:rFonts w:ascii="Arial" w:cs="Arial" w:eastAsia="Arial" w:hAnsi="Arial"/>
                <w:sz w:val="18"/>
                <w:szCs w:val="18"/>
                <w:color w:val="0E1020"/>
                <w:vertAlign w:val="superscript"/>
              </w:rPr>
              <w:t>2</w:t>
            </w:r>
          </w:p>
        </w:tc>
        <w:tc>
          <w:tcPr>
            <w:tcW w:w="1920" w:type="dxa"/>
            <w:vAlign w:val="bottom"/>
            <w:vMerge w:val="restart"/>
          </w:tcPr>
          <w:p>
            <w:pPr>
              <w:jc w:val="right"/>
              <w:spacing w:after="0"/>
              <w:rPr>
                <w:sz w:val="20"/>
                <w:szCs w:val="20"/>
                <w:color w:val="auto"/>
              </w:rPr>
            </w:pPr>
            <w:r>
              <w:rPr>
                <w:rFonts w:ascii="Arial" w:cs="Arial" w:eastAsia="Arial" w:hAnsi="Arial"/>
                <w:sz w:val="14"/>
                <w:szCs w:val="14"/>
                <w:color w:val="0E1020"/>
              </w:rPr>
              <w:t>5,063,749</w:t>
            </w:r>
          </w:p>
        </w:tc>
        <w:tc>
          <w:tcPr>
            <w:tcW w:w="2340" w:type="dxa"/>
            <w:vAlign w:val="bottom"/>
            <w:vMerge w:val="restart"/>
          </w:tcPr>
          <w:p>
            <w:pPr>
              <w:jc w:val="right"/>
              <w:spacing w:after="0"/>
              <w:rPr>
                <w:sz w:val="20"/>
                <w:szCs w:val="20"/>
                <w:color w:val="auto"/>
              </w:rPr>
            </w:pPr>
            <w:r>
              <w:rPr>
                <w:rFonts w:ascii="Arial" w:cs="Arial" w:eastAsia="Arial" w:hAnsi="Arial"/>
                <w:sz w:val="14"/>
                <w:szCs w:val="14"/>
                <w:color w:val="0E1020"/>
              </w:rPr>
              <w:t>1,141,392</w:t>
            </w:r>
            <w:r>
              <w:rPr>
                <w:rFonts w:ascii="Arial" w:cs="Arial" w:eastAsia="Arial" w:hAnsi="Arial"/>
                <w:sz w:val="18"/>
                <w:szCs w:val="18"/>
                <w:color w:val="0E1020"/>
                <w:vertAlign w:val="superscript"/>
              </w:rPr>
              <w:t>4</w:t>
            </w:r>
          </w:p>
        </w:tc>
        <w:tc>
          <w:tcPr>
            <w:tcW w:w="2480" w:type="dxa"/>
            <w:vAlign w:val="bottom"/>
            <w:vMerge w:val="restart"/>
          </w:tcPr>
          <w:p>
            <w:pPr>
              <w:jc w:val="right"/>
              <w:ind w:right="149"/>
              <w:spacing w:after="0"/>
              <w:rPr>
                <w:sz w:val="20"/>
                <w:szCs w:val="20"/>
                <w:color w:val="auto"/>
              </w:rPr>
            </w:pPr>
            <w:r>
              <w:rPr>
                <w:rFonts w:ascii="Arial" w:cs="Arial" w:eastAsia="Arial" w:hAnsi="Arial"/>
                <w:sz w:val="14"/>
                <w:szCs w:val="14"/>
                <w:color w:val="0E1020"/>
              </w:rPr>
              <w:t>14,347,297</w:t>
            </w:r>
          </w:p>
        </w:tc>
        <w:tc>
          <w:tcPr>
            <w:tcW w:w="0" w:type="dxa"/>
            <w:vAlign w:val="bottom"/>
          </w:tcPr>
          <w:p>
            <w:pPr>
              <w:spacing w:after="0"/>
              <w:rPr>
                <w:sz w:val="1"/>
                <w:szCs w:val="1"/>
                <w:color w:val="auto"/>
              </w:rPr>
            </w:pPr>
          </w:p>
        </w:tc>
      </w:tr>
      <w:tr>
        <w:trPr>
          <w:trHeight w:val="225"/>
        </w:trPr>
        <w:tc>
          <w:tcPr>
            <w:tcW w:w="14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1920" w:type="dxa"/>
            <w:vAlign w:val="bottom"/>
            <w:vMerge w:val="continue"/>
          </w:tcPr>
          <w:p>
            <w:pPr>
              <w:spacing w:after="0"/>
              <w:rPr>
                <w:sz w:val="19"/>
                <w:szCs w:val="19"/>
                <w:color w:val="auto"/>
              </w:rPr>
            </w:pPr>
          </w:p>
        </w:tc>
        <w:tc>
          <w:tcPr>
            <w:tcW w:w="2340" w:type="dxa"/>
            <w:vAlign w:val="bottom"/>
            <w:vMerge w:val="continue"/>
          </w:tcPr>
          <w:p>
            <w:pPr>
              <w:spacing w:after="0"/>
              <w:rPr>
                <w:sz w:val="19"/>
                <w:szCs w:val="19"/>
                <w:color w:val="auto"/>
              </w:rPr>
            </w:pPr>
          </w:p>
        </w:tc>
        <w:tc>
          <w:tcPr>
            <w:tcW w:w="2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1420" w:type="dxa"/>
            <w:vAlign w:val="bottom"/>
            <w:tcBorders>
              <w:bottom w:val="single" w:sz="8" w:color="CFCFD2"/>
            </w:tcBorders>
          </w:tcPr>
          <w:p>
            <w:pPr>
              <w:spacing w:after="0"/>
              <w:rPr>
                <w:sz w:val="2"/>
                <w:szCs w:val="2"/>
                <w:color w:val="auto"/>
              </w:rPr>
            </w:pPr>
          </w:p>
        </w:tc>
        <w:tc>
          <w:tcPr>
            <w:tcW w:w="1200" w:type="dxa"/>
            <w:vAlign w:val="bottom"/>
            <w:tcBorders>
              <w:bottom w:val="single" w:sz="8" w:color="CFCFD2"/>
            </w:tcBorders>
          </w:tcPr>
          <w:p>
            <w:pPr>
              <w:spacing w:after="0"/>
              <w:rPr>
                <w:sz w:val="2"/>
                <w:szCs w:val="2"/>
                <w:color w:val="auto"/>
              </w:rPr>
            </w:pPr>
          </w:p>
        </w:tc>
        <w:tc>
          <w:tcPr>
            <w:tcW w:w="1880" w:type="dxa"/>
            <w:vAlign w:val="bottom"/>
            <w:tcBorders>
              <w:bottom w:val="single" w:sz="8" w:color="CFCFD2"/>
            </w:tcBorders>
          </w:tcPr>
          <w:p>
            <w:pPr>
              <w:spacing w:after="0"/>
              <w:rPr>
                <w:sz w:val="2"/>
                <w:szCs w:val="2"/>
                <w:color w:val="auto"/>
              </w:rPr>
            </w:pPr>
          </w:p>
        </w:tc>
        <w:tc>
          <w:tcPr>
            <w:tcW w:w="1920" w:type="dxa"/>
            <w:vAlign w:val="bottom"/>
            <w:tcBorders>
              <w:bottom w:val="single" w:sz="8" w:color="CFCFD2"/>
            </w:tcBorders>
          </w:tcPr>
          <w:p>
            <w:pPr>
              <w:spacing w:after="0"/>
              <w:rPr>
                <w:sz w:val="2"/>
                <w:szCs w:val="2"/>
                <w:color w:val="auto"/>
              </w:rPr>
            </w:pPr>
          </w:p>
        </w:tc>
        <w:tc>
          <w:tcPr>
            <w:tcW w:w="2340" w:type="dxa"/>
            <w:vAlign w:val="bottom"/>
            <w:tcBorders>
              <w:bottom w:val="single" w:sz="8" w:color="CFCFD2"/>
            </w:tcBorders>
          </w:tcPr>
          <w:p>
            <w:pPr>
              <w:spacing w:after="0"/>
              <w:rPr>
                <w:sz w:val="2"/>
                <w:szCs w:val="2"/>
                <w:color w:val="auto"/>
              </w:rPr>
            </w:pPr>
          </w:p>
        </w:tc>
        <w:tc>
          <w:tcPr>
            <w:tcW w:w="248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310"/>
        </w:trPr>
        <w:tc>
          <w:tcPr>
            <w:tcW w:w="14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0E1020"/>
              </w:rPr>
              <w:t>7/17/2023</w:t>
            </w:r>
          </w:p>
        </w:tc>
        <w:tc>
          <w:tcPr>
            <w:tcW w:w="1880" w:type="dxa"/>
            <w:vAlign w:val="bottom"/>
          </w:tcPr>
          <w:p>
            <w:pPr>
              <w:jc w:val="right"/>
              <w:spacing w:after="0"/>
              <w:rPr>
                <w:sz w:val="20"/>
                <w:szCs w:val="20"/>
                <w:color w:val="auto"/>
              </w:rPr>
            </w:pPr>
            <w:r>
              <w:rPr>
                <w:rFonts w:ascii="Arial" w:cs="Arial" w:eastAsia="Arial" w:hAnsi="Arial"/>
                <w:sz w:val="14"/>
                <w:szCs w:val="14"/>
                <w:color w:val="0E1020"/>
              </w:rPr>
              <w:t>14,356</w:t>
            </w:r>
            <w:r>
              <w:rPr>
                <w:rFonts w:ascii="Arial" w:cs="Arial" w:eastAsia="Arial" w:hAnsi="Arial"/>
                <w:sz w:val="18"/>
                <w:szCs w:val="18"/>
                <w:color w:val="0E1020"/>
                <w:vertAlign w:val="superscript"/>
              </w:rPr>
              <w:t>2</w:t>
            </w:r>
          </w:p>
        </w:tc>
        <w:tc>
          <w:tcPr>
            <w:tcW w:w="1920" w:type="dxa"/>
            <w:vAlign w:val="bottom"/>
          </w:tcPr>
          <w:p>
            <w:pPr>
              <w:jc w:val="right"/>
              <w:spacing w:after="0"/>
              <w:rPr>
                <w:sz w:val="20"/>
                <w:szCs w:val="20"/>
                <w:color w:val="auto"/>
              </w:rPr>
            </w:pPr>
            <w:r>
              <w:rPr>
                <w:rFonts w:ascii="Arial" w:cs="Arial" w:eastAsia="Arial" w:hAnsi="Arial"/>
                <w:sz w:val="14"/>
                <w:szCs w:val="14"/>
                <w:color w:val="0E1020"/>
              </w:rPr>
              <w:t>180,455</w:t>
            </w:r>
          </w:p>
        </w:tc>
        <w:tc>
          <w:tcPr>
            <w:tcW w:w="2340" w:type="dxa"/>
            <w:vAlign w:val="bottom"/>
          </w:tcPr>
          <w:p>
            <w:pPr>
              <w:jc w:val="right"/>
              <w:spacing w:after="0"/>
              <w:rPr>
                <w:sz w:val="20"/>
                <w:szCs w:val="20"/>
                <w:color w:val="auto"/>
              </w:rPr>
            </w:pPr>
            <w:r>
              <w:rPr>
                <w:rFonts w:ascii="Arial" w:cs="Arial" w:eastAsia="Arial" w:hAnsi="Arial"/>
                <w:sz w:val="14"/>
                <w:szCs w:val="14"/>
                <w:color w:val="0E1020"/>
              </w:rPr>
              <w:t>64,604</w:t>
            </w:r>
            <w:r>
              <w:rPr>
                <w:rFonts w:ascii="Arial" w:cs="Arial" w:eastAsia="Arial" w:hAnsi="Arial"/>
                <w:sz w:val="18"/>
                <w:szCs w:val="18"/>
                <w:color w:val="0E1020"/>
                <w:vertAlign w:val="superscript"/>
              </w:rPr>
              <w:t>5</w:t>
            </w:r>
          </w:p>
        </w:tc>
        <w:tc>
          <w:tcPr>
            <w:tcW w:w="2480" w:type="dxa"/>
            <w:vAlign w:val="bottom"/>
          </w:tcPr>
          <w:p>
            <w:pPr>
              <w:jc w:val="right"/>
              <w:ind w:right="149"/>
              <w:spacing w:after="0"/>
              <w:rPr>
                <w:sz w:val="20"/>
                <w:szCs w:val="20"/>
                <w:color w:val="auto"/>
              </w:rPr>
            </w:pPr>
            <w:r>
              <w:rPr>
                <w:rFonts w:ascii="Arial" w:cs="Arial" w:eastAsia="Arial" w:hAnsi="Arial"/>
                <w:sz w:val="14"/>
                <w:szCs w:val="14"/>
                <w:color w:val="0E1020"/>
              </w:rPr>
              <w:t>812,072</w:t>
            </w:r>
          </w:p>
        </w:tc>
        <w:tc>
          <w:tcPr>
            <w:tcW w:w="0" w:type="dxa"/>
            <w:vAlign w:val="bottom"/>
          </w:tcPr>
          <w:p>
            <w:pPr>
              <w:spacing w:after="0"/>
              <w:rPr>
                <w:sz w:val="1"/>
                <w:szCs w:val="1"/>
                <w:color w:val="auto"/>
              </w:rPr>
            </w:pPr>
          </w:p>
        </w:tc>
      </w:tr>
      <w:tr>
        <w:trPr>
          <w:trHeight w:val="32"/>
        </w:trPr>
        <w:tc>
          <w:tcPr>
            <w:tcW w:w="1420" w:type="dxa"/>
            <w:vAlign w:val="bottom"/>
          </w:tcPr>
          <w:p>
            <w:pPr>
              <w:spacing w:after="0"/>
              <w:rPr>
                <w:sz w:val="2"/>
                <w:szCs w:val="2"/>
                <w:color w:val="auto"/>
              </w:rPr>
            </w:pPr>
          </w:p>
        </w:tc>
        <w:tc>
          <w:tcPr>
            <w:tcW w:w="1200" w:type="dxa"/>
            <w:vAlign w:val="bottom"/>
            <w:tcBorders>
              <w:bottom w:val="single" w:sz="8" w:color="CFCFD2"/>
            </w:tcBorders>
          </w:tcPr>
          <w:p>
            <w:pPr>
              <w:spacing w:after="0"/>
              <w:rPr>
                <w:sz w:val="2"/>
                <w:szCs w:val="2"/>
                <w:color w:val="auto"/>
              </w:rPr>
            </w:pPr>
          </w:p>
        </w:tc>
        <w:tc>
          <w:tcPr>
            <w:tcW w:w="1880" w:type="dxa"/>
            <w:vAlign w:val="bottom"/>
            <w:tcBorders>
              <w:bottom w:val="single" w:sz="8" w:color="CFCFD2"/>
            </w:tcBorders>
          </w:tcPr>
          <w:p>
            <w:pPr>
              <w:spacing w:after="0"/>
              <w:rPr>
                <w:sz w:val="2"/>
                <w:szCs w:val="2"/>
                <w:color w:val="auto"/>
              </w:rPr>
            </w:pPr>
          </w:p>
        </w:tc>
        <w:tc>
          <w:tcPr>
            <w:tcW w:w="1920" w:type="dxa"/>
            <w:vAlign w:val="bottom"/>
            <w:tcBorders>
              <w:bottom w:val="single" w:sz="8" w:color="CFCFD2"/>
            </w:tcBorders>
          </w:tcPr>
          <w:p>
            <w:pPr>
              <w:spacing w:after="0"/>
              <w:rPr>
                <w:sz w:val="2"/>
                <w:szCs w:val="2"/>
                <w:color w:val="auto"/>
              </w:rPr>
            </w:pPr>
          </w:p>
        </w:tc>
        <w:tc>
          <w:tcPr>
            <w:tcW w:w="2340" w:type="dxa"/>
            <w:vAlign w:val="bottom"/>
            <w:tcBorders>
              <w:bottom w:val="single" w:sz="8" w:color="CFCFD2"/>
            </w:tcBorders>
          </w:tcPr>
          <w:p>
            <w:pPr>
              <w:spacing w:after="0"/>
              <w:rPr>
                <w:sz w:val="2"/>
                <w:szCs w:val="2"/>
                <w:color w:val="auto"/>
              </w:rPr>
            </w:pPr>
          </w:p>
        </w:tc>
        <w:tc>
          <w:tcPr>
            <w:tcW w:w="248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310"/>
        </w:trPr>
        <w:tc>
          <w:tcPr>
            <w:tcW w:w="1420" w:type="dxa"/>
            <w:vAlign w:val="bottom"/>
            <w:vMerge w:val="restart"/>
          </w:tcPr>
          <w:p>
            <w:pPr>
              <w:ind w:left="100"/>
              <w:spacing w:after="0"/>
              <w:rPr>
                <w:sz w:val="20"/>
                <w:szCs w:val="20"/>
                <w:color w:val="auto"/>
              </w:rPr>
            </w:pPr>
            <w:r>
              <w:rPr>
                <w:rFonts w:ascii="Arial" w:cs="Arial" w:eastAsia="Arial" w:hAnsi="Arial"/>
                <w:sz w:val="14"/>
                <w:szCs w:val="14"/>
                <w:b w:val="1"/>
                <w:bCs w:val="1"/>
                <w:color w:val="004AAC"/>
              </w:rPr>
              <w:t>Robert Del Bene</w:t>
            </w:r>
          </w:p>
        </w:tc>
        <w:tc>
          <w:tcPr>
            <w:tcW w:w="1200" w:type="dxa"/>
            <w:vAlign w:val="bottom"/>
          </w:tcPr>
          <w:p>
            <w:pPr>
              <w:jc w:val="center"/>
              <w:spacing w:after="0"/>
              <w:rPr>
                <w:sz w:val="20"/>
                <w:szCs w:val="20"/>
                <w:color w:val="auto"/>
              </w:rPr>
            </w:pPr>
            <w:r>
              <w:rPr>
                <w:rFonts w:ascii="Arial" w:cs="Arial" w:eastAsia="Arial" w:hAnsi="Arial"/>
                <w:sz w:val="14"/>
                <w:szCs w:val="14"/>
                <w:color w:val="0E1020"/>
              </w:rPr>
              <w:t>7/17/2023</w:t>
            </w:r>
          </w:p>
        </w:tc>
        <w:tc>
          <w:tcPr>
            <w:tcW w:w="1880" w:type="dxa"/>
            <w:vAlign w:val="bottom"/>
          </w:tcPr>
          <w:p>
            <w:pPr>
              <w:jc w:val="right"/>
              <w:spacing w:after="0"/>
              <w:rPr>
                <w:sz w:val="20"/>
                <w:szCs w:val="20"/>
                <w:color w:val="auto"/>
              </w:rPr>
            </w:pPr>
            <w:r>
              <w:rPr>
                <w:rFonts w:ascii="Arial" w:cs="Arial" w:eastAsia="Arial" w:hAnsi="Arial"/>
                <w:sz w:val="14"/>
                <w:szCs w:val="14"/>
                <w:color w:val="0E1020"/>
              </w:rPr>
              <w:t>16,171</w:t>
            </w:r>
            <w:r>
              <w:rPr>
                <w:rFonts w:ascii="Arial" w:cs="Arial" w:eastAsia="Arial" w:hAnsi="Arial"/>
                <w:sz w:val="18"/>
                <w:szCs w:val="18"/>
                <w:color w:val="0E1020"/>
                <w:vertAlign w:val="superscript"/>
              </w:rPr>
              <w:t>6</w:t>
            </w:r>
          </w:p>
        </w:tc>
        <w:tc>
          <w:tcPr>
            <w:tcW w:w="1920" w:type="dxa"/>
            <w:vAlign w:val="bottom"/>
          </w:tcPr>
          <w:p>
            <w:pPr>
              <w:jc w:val="right"/>
              <w:spacing w:after="0"/>
              <w:rPr>
                <w:sz w:val="20"/>
                <w:szCs w:val="20"/>
                <w:color w:val="auto"/>
              </w:rPr>
            </w:pPr>
            <w:r>
              <w:rPr>
                <w:rFonts w:ascii="Arial" w:cs="Arial" w:eastAsia="Arial" w:hAnsi="Arial"/>
                <w:sz w:val="14"/>
                <w:szCs w:val="14"/>
                <w:color w:val="0E1020"/>
              </w:rPr>
              <w:t>203,269</w:t>
            </w:r>
          </w:p>
        </w:tc>
        <w:tc>
          <w:tcPr>
            <w:tcW w:w="2340" w:type="dxa"/>
            <w:vAlign w:val="bottom"/>
          </w:tcPr>
          <w:p>
            <w:pPr>
              <w:jc w:val="right"/>
              <w:spacing w:after="0"/>
              <w:rPr>
                <w:sz w:val="20"/>
                <w:szCs w:val="20"/>
                <w:color w:val="auto"/>
              </w:rPr>
            </w:pPr>
            <w:r>
              <w:rPr>
                <w:rFonts w:ascii="Arial" w:cs="Arial" w:eastAsia="Arial" w:hAnsi="Arial"/>
                <w:sz w:val="14"/>
                <w:szCs w:val="14"/>
                <w:color w:val="0E1020"/>
              </w:rPr>
              <w:t>—</w:t>
            </w:r>
          </w:p>
        </w:tc>
        <w:tc>
          <w:tcPr>
            <w:tcW w:w="2480" w:type="dxa"/>
            <w:vAlign w:val="bottom"/>
          </w:tcPr>
          <w:p>
            <w:pPr>
              <w:jc w:val="right"/>
              <w:ind w:right="149"/>
              <w:spacing w:after="0"/>
              <w:rPr>
                <w:sz w:val="20"/>
                <w:szCs w:val="20"/>
                <w:color w:val="auto"/>
              </w:rPr>
            </w:pPr>
            <w:r>
              <w:rPr>
                <w:rFonts w:ascii="Arial" w:cs="Arial" w:eastAsia="Arial" w:hAnsi="Arial"/>
                <w:sz w:val="14"/>
                <w:szCs w:val="14"/>
                <w:color w:val="0E1020"/>
              </w:rPr>
              <w:t>—</w:t>
            </w:r>
          </w:p>
        </w:tc>
        <w:tc>
          <w:tcPr>
            <w:tcW w:w="0" w:type="dxa"/>
            <w:vAlign w:val="bottom"/>
          </w:tcPr>
          <w:p>
            <w:pPr>
              <w:spacing w:after="0"/>
              <w:rPr>
                <w:sz w:val="1"/>
                <w:szCs w:val="1"/>
                <w:color w:val="auto"/>
              </w:rPr>
            </w:pPr>
          </w:p>
        </w:tc>
      </w:tr>
      <w:tr>
        <w:trPr>
          <w:trHeight w:val="32"/>
        </w:trPr>
        <w:tc>
          <w:tcPr>
            <w:tcW w:w="1420" w:type="dxa"/>
            <w:vAlign w:val="bottom"/>
            <w:vMerge w:val="continue"/>
          </w:tcPr>
          <w:p>
            <w:pPr>
              <w:spacing w:after="0"/>
              <w:rPr>
                <w:sz w:val="2"/>
                <w:szCs w:val="2"/>
                <w:color w:val="auto"/>
              </w:rPr>
            </w:pPr>
          </w:p>
        </w:tc>
        <w:tc>
          <w:tcPr>
            <w:tcW w:w="1200" w:type="dxa"/>
            <w:vAlign w:val="bottom"/>
            <w:tcBorders>
              <w:bottom w:val="single" w:sz="8" w:color="CFCFD2"/>
            </w:tcBorders>
          </w:tcPr>
          <w:p>
            <w:pPr>
              <w:spacing w:after="0"/>
              <w:rPr>
                <w:sz w:val="2"/>
                <w:szCs w:val="2"/>
                <w:color w:val="auto"/>
              </w:rPr>
            </w:pPr>
          </w:p>
        </w:tc>
        <w:tc>
          <w:tcPr>
            <w:tcW w:w="1880" w:type="dxa"/>
            <w:vAlign w:val="bottom"/>
            <w:tcBorders>
              <w:bottom w:val="single" w:sz="8" w:color="CFCFD2"/>
            </w:tcBorders>
          </w:tcPr>
          <w:p>
            <w:pPr>
              <w:spacing w:after="0"/>
              <w:rPr>
                <w:sz w:val="2"/>
                <w:szCs w:val="2"/>
                <w:color w:val="auto"/>
              </w:rPr>
            </w:pPr>
          </w:p>
        </w:tc>
        <w:tc>
          <w:tcPr>
            <w:tcW w:w="1920" w:type="dxa"/>
            <w:vAlign w:val="bottom"/>
            <w:tcBorders>
              <w:bottom w:val="single" w:sz="8" w:color="CFCFD2"/>
            </w:tcBorders>
          </w:tcPr>
          <w:p>
            <w:pPr>
              <w:spacing w:after="0"/>
              <w:rPr>
                <w:sz w:val="2"/>
                <w:szCs w:val="2"/>
                <w:color w:val="auto"/>
              </w:rPr>
            </w:pPr>
          </w:p>
        </w:tc>
        <w:tc>
          <w:tcPr>
            <w:tcW w:w="2340" w:type="dxa"/>
            <w:vAlign w:val="bottom"/>
            <w:tcBorders>
              <w:bottom w:val="single" w:sz="8" w:color="CFCFD2"/>
            </w:tcBorders>
          </w:tcPr>
          <w:p>
            <w:pPr>
              <w:spacing w:after="0"/>
              <w:rPr>
                <w:sz w:val="2"/>
                <w:szCs w:val="2"/>
                <w:color w:val="auto"/>
              </w:rPr>
            </w:pPr>
          </w:p>
        </w:tc>
        <w:tc>
          <w:tcPr>
            <w:tcW w:w="248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1420" w:type="dxa"/>
            <w:vAlign w:val="bottom"/>
            <w:vMerge w:val="continue"/>
          </w:tcPr>
          <w:p>
            <w:pPr>
              <w:spacing w:after="0"/>
              <w:rPr>
                <w:sz w:val="7"/>
                <w:szCs w:val="7"/>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color w:val="0E1020"/>
              </w:rPr>
              <w:t>5/21/2024</w:t>
            </w:r>
          </w:p>
        </w:tc>
        <w:tc>
          <w:tcPr>
            <w:tcW w:w="1880" w:type="dxa"/>
            <w:vAlign w:val="bottom"/>
            <w:vMerge w:val="restart"/>
          </w:tcPr>
          <w:p>
            <w:pPr>
              <w:jc w:val="right"/>
              <w:spacing w:after="0"/>
              <w:rPr>
                <w:sz w:val="20"/>
                <w:szCs w:val="20"/>
                <w:color w:val="auto"/>
              </w:rPr>
            </w:pPr>
            <w:r>
              <w:rPr>
                <w:rFonts w:ascii="Arial" w:cs="Arial" w:eastAsia="Arial" w:hAnsi="Arial"/>
                <w:sz w:val="14"/>
                <w:szCs w:val="14"/>
                <w:color w:val="0E1020"/>
              </w:rPr>
              <w:t>73,700</w:t>
            </w:r>
            <w:r>
              <w:rPr>
                <w:rFonts w:ascii="Arial" w:cs="Arial" w:eastAsia="Arial" w:hAnsi="Arial"/>
                <w:sz w:val="18"/>
                <w:szCs w:val="18"/>
                <w:color w:val="0E1020"/>
                <w:vertAlign w:val="superscript"/>
              </w:rPr>
              <w:t>2</w:t>
            </w:r>
          </w:p>
        </w:tc>
        <w:tc>
          <w:tcPr>
            <w:tcW w:w="1920" w:type="dxa"/>
            <w:vAlign w:val="bottom"/>
            <w:vMerge w:val="restart"/>
          </w:tcPr>
          <w:p>
            <w:pPr>
              <w:jc w:val="right"/>
              <w:spacing w:after="0"/>
              <w:rPr>
                <w:sz w:val="20"/>
                <w:szCs w:val="20"/>
                <w:color w:val="auto"/>
              </w:rPr>
            </w:pPr>
            <w:r>
              <w:rPr>
                <w:rFonts w:ascii="Arial" w:cs="Arial" w:eastAsia="Arial" w:hAnsi="Arial"/>
                <w:sz w:val="14"/>
                <w:szCs w:val="14"/>
                <w:color w:val="0E1020"/>
              </w:rPr>
              <w:t>926,409</w:t>
            </w:r>
          </w:p>
        </w:tc>
        <w:tc>
          <w:tcPr>
            <w:tcW w:w="2340" w:type="dxa"/>
            <w:vAlign w:val="bottom"/>
            <w:vMerge w:val="restart"/>
          </w:tcPr>
          <w:p>
            <w:pPr>
              <w:jc w:val="right"/>
              <w:spacing w:after="0"/>
              <w:rPr>
                <w:sz w:val="20"/>
                <w:szCs w:val="20"/>
                <w:color w:val="auto"/>
              </w:rPr>
            </w:pPr>
            <w:r>
              <w:rPr>
                <w:rFonts w:ascii="Arial" w:cs="Arial" w:eastAsia="Arial" w:hAnsi="Arial"/>
                <w:sz w:val="14"/>
                <w:szCs w:val="14"/>
                <w:color w:val="0E1020"/>
              </w:rPr>
              <w:t>165,826</w:t>
            </w:r>
            <w:r>
              <w:rPr>
                <w:rFonts w:ascii="Arial" w:cs="Arial" w:eastAsia="Arial" w:hAnsi="Arial"/>
                <w:sz w:val="18"/>
                <w:szCs w:val="18"/>
                <w:color w:val="0E1020"/>
                <w:vertAlign w:val="superscript"/>
              </w:rPr>
              <w:t>3</w:t>
            </w:r>
          </w:p>
        </w:tc>
        <w:tc>
          <w:tcPr>
            <w:tcW w:w="2480" w:type="dxa"/>
            <w:vAlign w:val="bottom"/>
            <w:vMerge w:val="restart"/>
          </w:tcPr>
          <w:p>
            <w:pPr>
              <w:jc w:val="right"/>
              <w:ind w:right="149"/>
              <w:spacing w:after="0"/>
              <w:rPr>
                <w:sz w:val="20"/>
                <w:szCs w:val="20"/>
                <w:color w:val="auto"/>
              </w:rPr>
            </w:pPr>
            <w:r>
              <w:rPr>
                <w:rFonts w:ascii="Arial" w:cs="Arial" w:eastAsia="Arial" w:hAnsi="Arial"/>
                <w:sz w:val="14"/>
                <w:szCs w:val="14"/>
                <w:color w:val="0E1020"/>
              </w:rPr>
              <w:t>2,084,433</w:t>
            </w:r>
          </w:p>
        </w:tc>
        <w:tc>
          <w:tcPr>
            <w:tcW w:w="0" w:type="dxa"/>
            <w:vAlign w:val="bottom"/>
          </w:tcPr>
          <w:p>
            <w:pPr>
              <w:spacing w:after="0"/>
              <w:rPr>
                <w:sz w:val="1"/>
                <w:szCs w:val="1"/>
                <w:color w:val="auto"/>
              </w:rPr>
            </w:pPr>
          </w:p>
        </w:tc>
      </w:tr>
      <w:tr>
        <w:trPr>
          <w:trHeight w:val="225"/>
        </w:trPr>
        <w:tc>
          <w:tcPr>
            <w:tcW w:w="14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1920" w:type="dxa"/>
            <w:vAlign w:val="bottom"/>
            <w:vMerge w:val="continue"/>
          </w:tcPr>
          <w:p>
            <w:pPr>
              <w:spacing w:after="0"/>
              <w:rPr>
                <w:sz w:val="19"/>
                <w:szCs w:val="19"/>
                <w:color w:val="auto"/>
              </w:rPr>
            </w:pPr>
          </w:p>
        </w:tc>
        <w:tc>
          <w:tcPr>
            <w:tcW w:w="2340" w:type="dxa"/>
            <w:vAlign w:val="bottom"/>
            <w:vMerge w:val="continue"/>
          </w:tcPr>
          <w:p>
            <w:pPr>
              <w:spacing w:after="0"/>
              <w:rPr>
                <w:sz w:val="19"/>
                <w:szCs w:val="19"/>
                <w:color w:val="auto"/>
              </w:rPr>
            </w:pPr>
          </w:p>
        </w:tc>
        <w:tc>
          <w:tcPr>
            <w:tcW w:w="2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1420" w:type="dxa"/>
            <w:vAlign w:val="bottom"/>
          </w:tcPr>
          <w:p>
            <w:pPr>
              <w:spacing w:after="0"/>
              <w:rPr>
                <w:sz w:val="2"/>
                <w:szCs w:val="2"/>
                <w:color w:val="auto"/>
              </w:rPr>
            </w:pPr>
          </w:p>
        </w:tc>
        <w:tc>
          <w:tcPr>
            <w:tcW w:w="1200" w:type="dxa"/>
            <w:vAlign w:val="bottom"/>
            <w:tcBorders>
              <w:bottom w:val="single" w:sz="8" w:color="CFCFD2"/>
            </w:tcBorders>
          </w:tcPr>
          <w:p>
            <w:pPr>
              <w:spacing w:after="0"/>
              <w:rPr>
                <w:sz w:val="2"/>
                <w:szCs w:val="2"/>
                <w:color w:val="auto"/>
              </w:rPr>
            </w:pPr>
          </w:p>
        </w:tc>
        <w:tc>
          <w:tcPr>
            <w:tcW w:w="1880" w:type="dxa"/>
            <w:vAlign w:val="bottom"/>
            <w:tcBorders>
              <w:bottom w:val="single" w:sz="8" w:color="CFCFD2"/>
            </w:tcBorders>
          </w:tcPr>
          <w:p>
            <w:pPr>
              <w:spacing w:after="0"/>
              <w:rPr>
                <w:sz w:val="2"/>
                <w:szCs w:val="2"/>
                <w:color w:val="auto"/>
              </w:rPr>
            </w:pPr>
          </w:p>
        </w:tc>
        <w:tc>
          <w:tcPr>
            <w:tcW w:w="1920" w:type="dxa"/>
            <w:vAlign w:val="bottom"/>
            <w:tcBorders>
              <w:bottom w:val="single" w:sz="8" w:color="CFCFD2"/>
            </w:tcBorders>
          </w:tcPr>
          <w:p>
            <w:pPr>
              <w:spacing w:after="0"/>
              <w:rPr>
                <w:sz w:val="2"/>
                <w:szCs w:val="2"/>
                <w:color w:val="auto"/>
              </w:rPr>
            </w:pPr>
          </w:p>
        </w:tc>
        <w:tc>
          <w:tcPr>
            <w:tcW w:w="2340" w:type="dxa"/>
            <w:vAlign w:val="bottom"/>
            <w:tcBorders>
              <w:bottom w:val="single" w:sz="8" w:color="CFCFD2"/>
            </w:tcBorders>
          </w:tcPr>
          <w:p>
            <w:pPr>
              <w:spacing w:after="0"/>
              <w:rPr>
                <w:sz w:val="2"/>
                <w:szCs w:val="2"/>
                <w:color w:val="auto"/>
              </w:rPr>
            </w:pPr>
          </w:p>
        </w:tc>
        <w:tc>
          <w:tcPr>
            <w:tcW w:w="248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310"/>
        </w:trPr>
        <w:tc>
          <w:tcPr>
            <w:tcW w:w="14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0E1020"/>
              </w:rPr>
              <w:t>5/16/2025</w:t>
            </w:r>
          </w:p>
        </w:tc>
        <w:tc>
          <w:tcPr>
            <w:tcW w:w="1880" w:type="dxa"/>
            <w:vAlign w:val="bottom"/>
          </w:tcPr>
          <w:p>
            <w:pPr>
              <w:jc w:val="right"/>
              <w:spacing w:after="0"/>
              <w:rPr>
                <w:sz w:val="20"/>
                <w:szCs w:val="20"/>
                <w:color w:val="auto"/>
              </w:rPr>
            </w:pPr>
            <w:r>
              <w:rPr>
                <w:rFonts w:ascii="Arial" w:cs="Arial" w:eastAsia="Arial" w:hAnsi="Arial"/>
                <w:sz w:val="14"/>
                <w:szCs w:val="14"/>
                <w:color w:val="0E1020"/>
              </w:rPr>
              <w:t>185,389</w:t>
            </w:r>
            <w:r>
              <w:rPr>
                <w:rFonts w:ascii="Arial" w:cs="Arial" w:eastAsia="Arial" w:hAnsi="Arial"/>
                <w:sz w:val="18"/>
                <w:szCs w:val="18"/>
                <w:color w:val="0E1020"/>
                <w:vertAlign w:val="superscript"/>
              </w:rPr>
              <w:t>2</w:t>
            </w:r>
          </w:p>
        </w:tc>
        <w:tc>
          <w:tcPr>
            <w:tcW w:w="1920" w:type="dxa"/>
            <w:vAlign w:val="bottom"/>
          </w:tcPr>
          <w:p>
            <w:pPr>
              <w:jc w:val="right"/>
              <w:spacing w:after="0"/>
              <w:rPr>
                <w:sz w:val="20"/>
                <w:szCs w:val="20"/>
                <w:color w:val="auto"/>
              </w:rPr>
            </w:pPr>
            <w:r>
              <w:rPr>
                <w:rFonts w:ascii="Arial" w:cs="Arial" w:eastAsia="Arial" w:hAnsi="Arial"/>
                <w:sz w:val="14"/>
                <w:szCs w:val="14"/>
                <w:color w:val="0E1020"/>
              </w:rPr>
              <w:t>2,330,340</w:t>
            </w:r>
          </w:p>
        </w:tc>
        <w:tc>
          <w:tcPr>
            <w:tcW w:w="2340" w:type="dxa"/>
            <w:vAlign w:val="bottom"/>
          </w:tcPr>
          <w:p>
            <w:pPr>
              <w:jc w:val="right"/>
              <w:spacing w:after="0"/>
              <w:rPr>
                <w:sz w:val="20"/>
                <w:szCs w:val="20"/>
                <w:color w:val="auto"/>
              </w:rPr>
            </w:pPr>
            <w:r>
              <w:rPr>
                <w:rFonts w:ascii="Arial" w:cs="Arial" w:eastAsia="Arial" w:hAnsi="Arial"/>
                <w:sz w:val="14"/>
                <w:szCs w:val="14"/>
                <w:color w:val="0E1020"/>
              </w:rPr>
              <w:t>525,270</w:t>
            </w:r>
            <w:r>
              <w:rPr>
                <w:rFonts w:ascii="Arial" w:cs="Arial" w:eastAsia="Arial" w:hAnsi="Arial"/>
                <w:sz w:val="18"/>
                <w:szCs w:val="18"/>
                <w:color w:val="0E1020"/>
                <w:vertAlign w:val="superscript"/>
              </w:rPr>
              <w:t>4</w:t>
            </w:r>
          </w:p>
        </w:tc>
        <w:tc>
          <w:tcPr>
            <w:tcW w:w="2480" w:type="dxa"/>
            <w:vAlign w:val="bottom"/>
          </w:tcPr>
          <w:p>
            <w:pPr>
              <w:jc w:val="right"/>
              <w:ind w:right="149"/>
              <w:spacing w:after="0"/>
              <w:rPr>
                <w:sz w:val="20"/>
                <w:szCs w:val="20"/>
                <w:color w:val="auto"/>
              </w:rPr>
            </w:pPr>
            <w:r>
              <w:rPr>
                <w:rFonts w:ascii="Arial" w:cs="Arial" w:eastAsia="Arial" w:hAnsi="Arial"/>
                <w:sz w:val="14"/>
                <w:szCs w:val="14"/>
                <w:color w:val="0E1020"/>
              </w:rPr>
              <w:t>6,602,644</w:t>
            </w:r>
          </w:p>
        </w:tc>
        <w:tc>
          <w:tcPr>
            <w:tcW w:w="0" w:type="dxa"/>
            <w:vAlign w:val="bottom"/>
          </w:tcPr>
          <w:p>
            <w:pPr>
              <w:spacing w:after="0"/>
              <w:rPr>
                <w:sz w:val="1"/>
                <w:szCs w:val="1"/>
                <w:color w:val="auto"/>
              </w:rPr>
            </w:pPr>
          </w:p>
        </w:tc>
      </w:tr>
      <w:tr>
        <w:trPr>
          <w:trHeight w:val="32"/>
        </w:trPr>
        <w:tc>
          <w:tcPr>
            <w:tcW w:w="1420" w:type="dxa"/>
            <w:vAlign w:val="bottom"/>
            <w:tcBorders>
              <w:bottom w:val="single" w:sz="8" w:color="CFCFD2"/>
            </w:tcBorders>
          </w:tcPr>
          <w:p>
            <w:pPr>
              <w:spacing w:after="0"/>
              <w:rPr>
                <w:sz w:val="2"/>
                <w:szCs w:val="2"/>
                <w:color w:val="auto"/>
              </w:rPr>
            </w:pPr>
          </w:p>
        </w:tc>
        <w:tc>
          <w:tcPr>
            <w:tcW w:w="1200" w:type="dxa"/>
            <w:vAlign w:val="bottom"/>
            <w:tcBorders>
              <w:bottom w:val="single" w:sz="8" w:color="CFCFD2"/>
            </w:tcBorders>
          </w:tcPr>
          <w:p>
            <w:pPr>
              <w:spacing w:after="0"/>
              <w:rPr>
                <w:sz w:val="2"/>
                <w:szCs w:val="2"/>
                <w:color w:val="auto"/>
              </w:rPr>
            </w:pPr>
          </w:p>
        </w:tc>
        <w:tc>
          <w:tcPr>
            <w:tcW w:w="1880" w:type="dxa"/>
            <w:vAlign w:val="bottom"/>
            <w:tcBorders>
              <w:bottom w:val="single" w:sz="8" w:color="CFCFD2"/>
            </w:tcBorders>
          </w:tcPr>
          <w:p>
            <w:pPr>
              <w:spacing w:after="0"/>
              <w:rPr>
                <w:sz w:val="2"/>
                <w:szCs w:val="2"/>
                <w:color w:val="auto"/>
              </w:rPr>
            </w:pPr>
          </w:p>
        </w:tc>
        <w:tc>
          <w:tcPr>
            <w:tcW w:w="1920" w:type="dxa"/>
            <w:vAlign w:val="bottom"/>
            <w:tcBorders>
              <w:bottom w:val="single" w:sz="8" w:color="CFCFD2"/>
            </w:tcBorders>
          </w:tcPr>
          <w:p>
            <w:pPr>
              <w:spacing w:after="0"/>
              <w:rPr>
                <w:sz w:val="2"/>
                <w:szCs w:val="2"/>
                <w:color w:val="auto"/>
              </w:rPr>
            </w:pPr>
          </w:p>
        </w:tc>
        <w:tc>
          <w:tcPr>
            <w:tcW w:w="2340" w:type="dxa"/>
            <w:vAlign w:val="bottom"/>
            <w:tcBorders>
              <w:bottom w:val="single" w:sz="8" w:color="CFCFD2"/>
            </w:tcBorders>
          </w:tcPr>
          <w:p>
            <w:pPr>
              <w:spacing w:after="0"/>
              <w:rPr>
                <w:sz w:val="2"/>
                <w:szCs w:val="2"/>
                <w:color w:val="auto"/>
              </w:rPr>
            </w:pPr>
          </w:p>
        </w:tc>
        <w:tc>
          <w:tcPr>
            <w:tcW w:w="248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310"/>
        </w:trPr>
        <w:tc>
          <w:tcPr>
            <w:tcW w:w="14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0E1020"/>
              </w:rPr>
              <w:t>5/23/2023</w:t>
            </w:r>
          </w:p>
        </w:tc>
        <w:tc>
          <w:tcPr>
            <w:tcW w:w="1880" w:type="dxa"/>
            <w:vAlign w:val="bottom"/>
          </w:tcPr>
          <w:p>
            <w:pPr>
              <w:jc w:val="right"/>
              <w:spacing w:after="0"/>
              <w:rPr>
                <w:sz w:val="20"/>
                <w:szCs w:val="20"/>
                <w:color w:val="auto"/>
              </w:rPr>
            </w:pPr>
            <w:r>
              <w:rPr>
                <w:rFonts w:ascii="Arial" w:cs="Arial" w:eastAsia="Arial" w:hAnsi="Arial"/>
                <w:sz w:val="14"/>
                <w:szCs w:val="14"/>
                <w:color w:val="0E1020"/>
              </w:rPr>
              <w:t>18,931</w:t>
            </w:r>
            <w:r>
              <w:rPr>
                <w:rFonts w:ascii="Arial" w:cs="Arial" w:eastAsia="Arial" w:hAnsi="Arial"/>
                <w:sz w:val="18"/>
                <w:szCs w:val="18"/>
                <w:color w:val="0E1020"/>
                <w:vertAlign w:val="superscript"/>
              </w:rPr>
              <w:t>2</w:t>
            </w:r>
          </w:p>
        </w:tc>
        <w:tc>
          <w:tcPr>
            <w:tcW w:w="1920" w:type="dxa"/>
            <w:vAlign w:val="bottom"/>
          </w:tcPr>
          <w:p>
            <w:pPr>
              <w:jc w:val="right"/>
              <w:spacing w:after="0"/>
              <w:rPr>
                <w:sz w:val="20"/>
                <w:szCs w:val="20"/>
                <w:color w:val="auto"/>
              </w:rPr>
            </w:pPr>
            <w:r>
              <w:rPr>
                <w:rFonts w:ascii="Arial" w:cs="Arial" w:eastAsia="Arial" w:hAnsi="Arial"/>
                <w:sz w:val="14"/>
                <w:szCs w:val="14"/>
                <w:color w:val="0E1020"/>
              </w:rPr>
              <w:t>237,963</w:t>
            </w:r>
          </w:p>
        </w:tc>
        <w:tc>
          <w:tcPr>
            <w:tcW w:w="2340" w:type="dxa"/>
            <w:vAlign w:val="bottom"/>
          </w:tcPr>
          <w:p>
            <w:pPr>
              <w:jc w:val="right"/>
              <w:spacing w:after="0"/>
              <w:rPr>
                <w:sz w:val="20"/>
                <w:szCs w:val="20"/>
                <w:color w:val="auto"/>
              </w:rPr>
            </w:pPr>
            <w:r>
              <w:rPr>
                <w:rFonts w:ascii="Arial" w:cs="Arial" w:eastAsia="Arial" w:hAnsi="Arial"/>
                <w:sz w:val="14"/>
                <w:szCs w:val="14"/>
                <w:color w:val="0E1020"/>
              </w:rPr>
              <w:t>85,194</w:t>
            </w:r>
            <w:r>
              <w:rPr>
                <w:rFonts w:ascii="Arial" w:cs="Arial" w:eastAsia="Arial" w:hAnsi="Arial"/>
                <w:sz w:val="18"/>
                <w:szCs w:val="18"/>
                <w:color w:val="0E1020"/>
                <w:vertAlign w:val="superscript"/>
              </w:rPr>
              <w:t>5</w:t>
            </w:r>
          </w:p>
        </w:tc>
        <w:tc>
          <w:tcPr>
            <w:tcW w:w="2480" w:type="dxa"/>
            <w:vAlign w:val="bottom"/>
          </w:tcPr>
          <w:p>
            <w:pPr>
              <w:jc w:val="right"/>
              <w:ind w:right="149"/>
              <w:spacing w:after="0"/>
              <w:rPr>
                <w:sz w:val="20"/>
                <w:szCs w:val="20"/>
                <w:color w:val="auto"/>
              </w:rPr>
            </w:pPr>
            <w:r>
              <w:rPr>
                <w:rFonts w:ascii="Arial" w:cs="Arial" w:eastAsia="Arial" w:hAnsi="Arial"/>
                <w:sz w:val="14"/>
                <w:szCs w:val="14"/>
                <w:color w:val="0E1020"/>
              </w:rPr>
              <w:t>1,070,889</w:t>
            </w:r>
          </w:p>
        </w:tc>
        <w:tc>
          <w:tcPr>
            <w:tcW w:w="0" w:type="dxa"/>
            <w:vAlign w:val="bottom"/>
          </w:tcPr>
          <w:p>
            <w:pPr>
              <w:spacing w:after="0"/>
              <w:rPr>
                <w:sz w:val="1"/>
                <w:szCs w:val="1"/>
                <w:color w:val="auto"/>
              </w:rPr>
            </w:pPr>
          </w:p>
        </w:tc>
      </w:tr>
      <w:tr>
        <w:trPr>
          <w:trHeight w:val="32"/>
        </w:trPr>
        <w:tc>
          <w:tcPr>
            <w:tcW w:w="1420" w:type="dxa"/>
            <w:vAlign w:val="bottom"/>
            <w:vMerge w:val="restart"/>
          </w:tcPr>
          <w:p>
            <w:pPr>
              <w:ind w:left="100"/>
              <w:spacing w:after="0"/>
              <w:rPr>
                <w:sz w:val="20"/>
                <w:szCs w:val="20"/>
                <w:color w:val="auto"/>
              </w:rPr>
            </w:pPr>
            <w:r>
              <w:rPr>
                <w:rFonts w:ascii="Arial" w:cs="Arial" w:eastAsia="Arial" w:hAnsi="Arial"/>
                <w:sz w:val="14"/>
                <w:szCs w:val="14"/>
                <w:b w:val="1"/>
                <w:bCs w:val="1"/>
                <w:color w:val="004AAC"/>
              </w:rPr>
              <w:t>Christopher</w:t>
            </w:r>
          </w:p>
        </w:tc>
        <w:tc>
          <w:tcPr>
            <w:tcW w:w="1200" w:type="dxa"/>
            <w:vAlign w:val="bottom"/>
            <w:tcBorders>
              <w:bottom w:val="single" w:sz="8" w:color="CFCFD2"/>
            </w:tcBorders>
          </w:tcPr>
          <w:p>
            <w:pPr>
              <w:spacing w:after="0"/>
              <w:rPr>
                <w:sz w:val="2"/>
                <w:szCs w:val="2"/>
                <w:color w:val="auto"/>
              </w:rPr>
            </w:pPr>
          </w:p>
        </w:tc>
        <w:tc>
          <w:tcPr>
            <w:tcW w:w="1880" w:type="dxa"/>
            <w:vAlign w:val="bottom"/>
            <w:tcBorders>
              <w:bottom w:val="single" w:sz="8" w:color="CFCFD2"/>
            </w:tcBorders>
          </w:tcPr>
          <w:p>
            <w:pPr>
              <w:spacing w:after="0"/>
              <w:rPr>
                <w:sz w:val="2"/>
                <w:szCs w:val="2"/>
                <w:color w:val="auto"/>
              </w:rPr>
            </w:pPr>
          </w:p>
        </w:tc>
        <w:tc>
          <w:tcPr>
            <w:tcW w:w="1920" w:type="dxa"/>
            <w:vAlign w:val="bottom"/>
            <w:tcBorders>
              <w:bottom w:val="single" w:sz="8" w:color="CFCFD2"/>
            </w:tcBorders>
          </w:tcPr>
          <w:p>
            <w:pPr>
              <w:spacing w:after="0"/>
              <w:rPr>
                <w:sz w:val="2"/>
                <w:szCs w:val="2"/>
                <w:color w:val="auto"/>
              </w:rPr>
            </w:pPr>
          </w:p>
        </w:tc>
        <w:tc>
          <w:tcPr>
            <w:tcW w:w="2340" w:type="dxa"/>
            <w:vAlign w:val="bottom"/>
            <w:tcBorders>
              <w:bottom w:val="single" w:sz="8" w:color="CFCFD2"/>
            </w:tcBorders>
          </w:tcPr>
          <w:p>
            <w:pPr>
              <w:spacing w:after="0"/>
              <w:rPr>
                <w:sz w:val="2"/>
                <w:szCs w:val="2"/>
                <w:color w:val="auto"/>
              </w:rPr>
            </w:pPr>
          </w:p>
        </w:tc>
        <w:tc>
          <w:tcPr>
            <w:tcW w:w="248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420" w:type="dxa"/>
            <w:vAlign w:val="bottom"/>
            <w:vMerge w:val="continue"/>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0E1020"/>
              </w:rPr>
              <w:t>5/21/2024</w:t>
            </w:r>
          </w:p>
        </w:tc>
        <w:tc>
          <w:tcPr>
            <w:tcW w:w="1880" w:type="dxa"/>
            <w:vAlign w:val="bottom"/>
          </w:tcPr>
          <w:p>
            <w:pPr>
              <w:jc w:val="right"/>
              <w:spacing w:after="0"/>
              <w:rPr>
                <w:sz w:val="20"/>
                <w:szCs w:val="20"/>
                <w:color w:val="auto"/>
              </w:rPr>
            </w:pPr>
            <w:r>
              <w:rPr>
                <w:rFonts w:ascii="Arial" w:cs="Arial" w:eastAsia="Arial" w:hAnsi="Arial"/>
                <w:sz w:val="14"/>
                <w:szCs w:val="14"/>
                <w:color w:val="0E1020"/>
              </w:rPr>
              <w:t>80,275</w:t>
            </w:r>
            <w:r>
              <w:rPr>
                <w:rFonts w:ascii="Arial" w:cs="Arial" w:eastAsia="Arial" w:hAnsi="Arial"/>
                <w:sz w:val="18"/>
                <w:szCs w:val="18"/>
                <w:color w:val="0E1020"/>
                <w:vertAlign w:val="superscript"/>
              </w:rPr>
              <w:t>2</w:t>
            </w:r>
          </w:p>
        </w:tc>
        <w:tc>
          <w:tcPr>
            <w:tcW w:w="1920" w:type="dxa"/>
            <w:vAlign w:val="bottom"/>
          </w:tcPr>
          <w:p>
            <w:pPr>
              <w:jc w:val="right"/>
              <w:spacing w:after="0"/>
              <w:rPr>
                <w:sz w:val="20"/>
                <w:szCs w:val="20"/>
                <w:color w:val="auto"/>
              </w:rPr>
            </w:pPr>
            <w:r>
              <w:rPr>
                <w:rFonts w:ascii="Arial" w:cs="Arial" w:eastAsia="Arial" w:hAnsi="Arial"/>
                <w:sz w:val="14"/>
                <w:szCs w:val="14"/>
                <w:color w:val="0E1020"/>
              </w:rPr>
              <w:t>1,009,057</w:t>
            </w:r>
          </w:p>
        </w:tc>
        <w:tc>
          <w:tcPr>
            <w:tcW w:w="2340" w:type="dxa"/>
            <w:vAlign w:val="bottom"/>
          </w:tcPr>
          <w:p>
            <w:pPr>
              <w:jc w:val="right"/>
              <w:spacing w:after="0"/>
              <w:rPr>
                <w:sz w:val="20"/>
                <w:szCs w:val="20"/>
                <w:color w:val="auto"/>
              </w:rPr>
            </w:pPr>
            <w:r>
              <w:rPr>
                <w:rFonts w:ascii="Arial" w:cs="Arial" w:eastAsia="Arial" w:hAnsi="Arial"/>
                <w:sz w:val="14"/>
                <w:szCs w:val="14"/>
                <w:color w:val="0E1020"/>
              </w:rPr>
              <w:t>180,620</w:t>
            </w:r>
            <w:r>
              <w:rPr>
                <w:rFonts w:ascii="Arial" w:cs="Arial" w:eastAsia="Arial" w:hAnsi="Arial"/>
                <w:sz w:val="18"/>
                <w:szCs w:val="18"/>
                <w:color w:val="0E1020"/>
                <w:vertAlign w:val="superscript"/>
              </w:rPr>
              <w:t>3</w:t>
            </w:r>
          </w:p>
        </w:tc>
        <w:tc>
          <w:tcPr>
            <w:tcW w:w="2480" w:type="dxa"/>
            <w:vAlign w:val="bottom"/>
          </w:tcPr>
          <w:p>
            <w:pPr>
              <w:jc w:val="right"/>
              <w:ind w:right="149"/>
              <w:spacing w:after="0"/>
              <w:rPr>
                <w:sz w:val="20"/>
                <w:szCs w:val="20"/>
                <w:color w:val="auto"/>
              </w:rPr>
            </w:pPr>
            <w:r>
              <w:rPr>
                <w:rFonts w:ascii="Arial" w:cs="Arial" w:eastAsia="Arial" w:hAnsi="Arial"/>
                <w:sz w:val="14"/>
                <w:szCs w:val="14"/>
                <w:color w:val="0E1020"/>
              </w:rPr>
              <w:t>2,270,393</w:t>
            </w:r>
          </w:p>
        </w:tc>
        <w:tc>
          <w:tcPr>
            <w:tcW w:w="0" w:type="dxa"/>
            <w:vAlign w:val="bottom"/>
          </w:tcPr>
          <w:p>
            <w:pPr>
              <w:spacing w:after="0"/>
              <w:rPr>
                <w:sz w:val="1"/>
                <w:szCs w:val="1"/>
                <w:color w:val="auto"/>
              </w:rPr>
            </w:pPr>
          </w:p>
        </w:tc>
      </w:tr>
      <w:tr>
        <w:trPr>
          <w:trHeight w:val="134"/>
        </w:trPr>
        <w:tc>
          <w:tcPr>
            <w:tcW w:w="1420" w:type="dxa"/>
            <w:vAlign w:val="bottom"/>
          </w:tcPr>
          <w:p>
            <w:pPr>
              <w:ind w:left="100"/>
              <w:spacing w:after="0" w:line="134" w:lineRule="exact"/>
              <w:rPr>
                <w:sz w:val="20"/>
                <w:szCs w:val="20"/>
                <w:color w:val="auto"/>
              </w:rPr>
            </w:pPr>
            <w:r>
              <w:rPr>
                <w:rFonts w:ascii="Arial" w:cs="Arial" w:eastAsia="Arial" w:hAnsi="Arial"/>
                <w:sz w:val="14"/>
                <w:szCs w:val="14"/>
                <w:b w:val="1"/>
                <w:bCs w:val="1"/>
                <w:color w:val="004AAC"/>
              </w:rPr>
              <w:t>Drumgoole</w:t>
            </w:r>
          </w:p>
        </w:tc>
        <w:tc>
          <w:tcPr>
            <w:tcW w:w="1200" w:type="dxa"/>
            <w:vAlign w:val="bottom"/>
            <w:tcBorders>
              <w:bottom w:val="single" w:sz="8" w:color="CFCFD2"/>
            </w:tcBorders>
          </w:tcPr>
          <w:p>
            <w:pPr>
              <w:spacing w:after="0"/>
              <w:rPr>
                <w:sz w:val="11"/>
                <w:szCs w:val="11"/>
                <w:color w:val="auto"/>
              </w:rPr>
            </w:pPr>
          </w:p>
        </w:tc>
        <w:tc>
          <w:tcPr>
            <w:tcW w:w="1880" w:type="dxa"/>
            <w:vAlign w:val="bottom"/>
            <w:tcBorders>
              <w:bottom w:val="single" w:sz="8" w:color="CFCFD2"/>
            </w:tcBorders>
          </w:tcPr>
          <w:p>
            <w:pPr>
              <w:spacing w:after="0"/>
              <w:rPr>
                <w:sz w:val="11"/>
                <w:szCs w:val="11"/>
                <w:color w:val="auto"/>
              </w:rPr>
            </w:pPr>
          </w:p>
        </w:tc>
        <w:tc>
          <w:tcPr>
            <w:tcW w:w="1920" w:type="dxa"/>
            <w:vAlign w:val="bottom"/>
            <w:tcBorders>
              <w:bottom w:val="single" w:sz="8" w:color="CFCFD2"/>
            </w:tcBorders>
          </w:tcPr>
          <w:p>
            <w:pPr>
              <w:spacing w:after="0"/>
              <w:rPr>
                <w:sz w:val="11"/>
                <w:szCs w:val="11"/>
                <w:color w:val="auto"/>
              </w:rPr>
            </w:pPr>
          </w:p>
        </w:tc>
        <w:tc>
          <w:tcPr>
            <w:tcW w:w="2340" w:type="dxa"/>
            <w:vAlign w:val="bottom"/>
            <w:tcBorders>
              <w:bottom w:val="single" w:sz="8" w:color="CFCFD2"/>
            </w:tcBorders>
          </w:tcPr>
          <w:p>
            <w:pPr>
              <w:spacing w:after="0"/>
              <w:rPr>
                <w:sz w:val="11"/>
                <w:szCs w:val="11"/>
                <w:color w:val="auto"/>
              </w:rPr>
            </w:pPr>
          </w:p>
        </w:tc>
        <w:tc>
          <w:tcPr>
            <w:tcW w:w="2480" w:type="dxa"/>
            <w:vAlign w:val="bottom"/>
            <w:tcBorders>
              <w:bottom w:val="single" w:sz="8" w:color="CFCFD2"/>
            </w:tcBorders>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14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0E1020"/>
              </w:rPr>
              <w:t>5/16/2025</w:t>
            </w:r>
          </w:p>
        </w:tc>
        <w:tc>
          <w:tcPr>
            <w:tcW w:w="1880" w:type="dxa"/>
            <w:vAlign w:val="bottom"/>
          </w:tcPr>
          <w:p>
            <w:pPr>
              <w:jc w:val="right"/>
              <w:spacing w:after="0"/>
              <w:rPr>
                <w:sz w:val="20"/>
                <w:szCs w:val="20"/>
                <w:color w:val="auto"/>
              </w:rPr>
            </w:pPr>
            <w:r>
              <w:rPr>
                <w:rFonts w:ascii="Arial" w:cs="Arial" w:eastAsia="Arial" w:hAnsi="Arial"/>
                <w:sz w:val="14"/>
                <w:szCs w:val="14"/>
                <w:color w:val="0E1020"/>
              </w:rPr>
              <w:t>146,587</w:t>
            </w:r>
            <w:r>
              <w:rPr>
                <w:rFonts w:ascii="Arial" w:cs="Arial" w:eastAsia="Arial" w:hAnsi="Arial"/>
                <w:sz w:val="18"/>
                <w:szCs w:val="18"/>
                <w:color w:val="0E1020"/>
                <w:vertAlign w:val="superscript"/>
              </w:rPr>
              <w:t>2</w:t>
            </w:r>
          </w:p>
        </w:tc>
        <w:tc>
          <w:tcPr>
            <w:tcW w:w="1920" w:type="dxa"/>
            <w:vAlign w:val="bottom"/>
          </w:tcPr>
          <w:p>
            <w:pPr>
              <w:jc w:val="right"/>
              <w:spacing w:after="0"/>
              <w:rPr>
                <w:sz w:val="20"/>
                <w:szCs w:val="20"/>
                <w:color w:val="auto"/>
              </w:rPr>
            </w:pPr>
            <w:r>
              <w:rPr>
                <w:rFonts w:ascii="Arial" w:cs="Arial" w:eastAsia="Arial" w:hAnsi="Arial"/>
                <w:sz w:val="14"/>
                <w:szCs w:val="14"/>
                <w:color w:val="0E1020"/>
              </w:rPr>
              <w:t>1,842,599</w:t>
            </w:r>
          </w:p>
        </w:tc>
        <w:tc>
          <w:tcPr>
            <w:tcW w:w="2340" w:type="dxa"/>
            <w:vAlign w:val="bottom"/>
          </w:tcPr>
          <w:p>
            <w:pPr>
              <w:jc w:val="right"/>
              <w:spacing w:after="0"/>
              <w:rPr>
                <w:sz w:val="20"/>
                <w:szCs w:val="20"/>
                <w:color w:val="auto"/>
              </w:rPr>
            </w:pPr>
            <w:r>
              <w:rPr>
                <w:rFonts w:ascii="Arial" w:cs="Arial" w:eastAsia="Arial" w:hAnsi="Arial"/>
                <w:sz w:val="14"/>
                <w:szCs w:val="14"/>
                <w:color w:val="0E1020"/>
              </w:rPr>
              <w:t>109,940</w:t>
            </w:r>
            <w:r>
              <w:rPr>
                <w:rFonts w:ascii="Arial" w:cs="Arial" w:eastAsia="Arial" w:hAnsi="Arial"/>
                <w:sz w:val="18"/>
                <w:szCs w:val="18"/>
                <w:color w:val="0E1020"/>
                <w:vertAlign w:val="superscript"/>
              </w:rPr>
              <w:t>4</w:t>
            </w:r>
          </w:p>
        </w:tc>
        <w:tc>
          <w:tcPr>
            <w:tcW w:w="2480" w:type="dxa"/>
            <w:vAlign w:val="bottom"/>
          </w:tcPr>
          <w:p>
            <w:pPr>
              <w:jc w:val="right"/>
              <w:ind w:right="149"/>
              <w:spacing w:after="0"/>
              <w:rPr>
                <w:sz w:val="20"/>
                <w:szCs w:val="20"/>
                <w:color w:val="auto"/>
              </w:rPr>
            </w:pPr>
            <w:r>
              <w:rPr>
                <w:rFonts w:ascii="Arial" w:cs="Arial" w:eastAsia="Arial" w:hAnsi="Arial"/>
                <w:sz w:val="14"/>
                <w:szCs w:val="14"/>
                <w:color w:val="0E1020"/>
              </w:rPr>
              <w:t>1,381,946</w:t>
            </w:r>
          </w:p>
        </w:tc>
        <w:tc>
          <w:tcPr>
            <w:tcW w:w="0" w:type="dxa"/>
            <w:vAlign w:val="bottom"/>
          </w:tcPr>
          <w:p>
            <w:pPr>
              <w:spacing w:after="0"/>
              <w:rPr>
                <w:sz w:val="1"/>
                <w:szCs w:val="1"/>
                <w:color w:val="auto"/>
              </w:rPr>
            </w:pPr>
          </w:p>
        </w:tc>
      </w:tr>
      <w:tr>
        <w:trPr>
          <w:trHeight w:val="32"/>
        </w:trPr>
        <w:tc>
          <w:tcPr>
            <w:tcW w:w="1420" w:type="dxa"/>
            <w:vAlign w:val="bottom"/>
            <w:tcBorders>
              <w:bottom w:val="single" w:sz="8" w:color="CFCFD2"/>
            </w:tcBorders>
          </w:tcPr>
          <w:p>
            <w:pPr>
              <w:spacing w:after="0"/>
              <w:rPr>
                <w:sz w:val="2"/>
                <w:szCs w:val="2"/>
                <w:color w:val="auto"/>
              </w:rPr>
            </w:pPr>
          </w:p>
        </w:tc>
        <w:tc>
          <w:tcPr>
            <w:tcW w:w="1200" w:type="dxa"/>
            <w:vAlign w:val="bottom"/>
            <w:tcBorders>
              <w:bottom w:val="single" w:sz="8" w:color="CFCFD2"/>
            </w:tcBorders>
          </w:tcPr>
          <w:p>
            <w:pPr>
              <w:spacing w:after="0"/>
              <w:rPr>
                <w:sz w:val="2"/>
                <w:szCs w:val="2"/>
                <w:color w:val="auto"/>
              </w:rPr>
            </w:pPr>
          </w:p>
        </w:tc>
        <w:tc>
          <w:tcPr>
            <w:tcW w:w="1880" w:type="dxa"/>
            <w:vAlign w:val="bottom"/>
            <w:tcBorders>
              <w:bottom w:val="single" w:sz="8" w:color="CFCFD2"/>
            </w:tcBorders>
          </w:tcPr>
          <w:p>
            <w:pPr>
              <w:spacing w:after="0"/>
              <w:rPr>
                <w:sz w:val="2"/>
                <w:szCs w:val="2"/>
                <w:color w:val="auto"/>
              </w:rPr>
            </w:pPr>
          </w:p>
        </w:tc>
        <w:tc>
          <w:tcPr>
            <w:tcW w:w="1920" w:type="dxa"/>
            <w:vAlign w:val="bottom"/>
            <w:tcBorders>
              <w:bottom w:val="single" w:sz="8" w:color="CFCFD2"/>
            </w:tcBorders>
          </w:tcPr>
          <w:p>
            <w:pPr>
              <w:spacing w:after="0"/>
              <w:rPr>
                <w:sz w:val="2"/>
                <w:szCs w:val="2"/>
                <w:color w:val="auto"/>
              </w:rPr>
            </w:pPr>
          </w:p>
        </w:tc>
        <w:tc>
          <w:tcPr>
            <w:tcW w:w="2340" w:type="dxa"/>
            <w:vAlign w:val="bottom"/>
            <w:tcBorders>
              <w:bottom w:val="single" w:sz="8" w:color="CFCFD2"/>
            </w:tcBorders>
          </w:tcPr>
          <w:p>
            <w:pPr>
              <w:spacing w:after="0"/>
              <w:rPr>
                <w:sz w:val="2"/>
                <w:szCs w:val="2"/>
                <w:color w:val="auto"/>
              </w:rPr>
            </w:pPr>
          </w:p>
        </w:tc>
        <w:tc>
          <w:tcPr>
            <w:tcW w:w="248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310"/>
        </w:trPr>
        <w:tc>
          <w:tcPr>
            <w:tcW w:w="14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0E1020"/>
              </w:rPr>
              <w:t>5/23/2023</w:t>
            </w:r>
          </w:p>
        </w:tc>
        <w:tc>
          <w:tcPr>
            <w:tcW w:w="1880" w:type="dxa"/>
            <w:vAlign w:val="bottom"/>
          </w:tcPr>
          <w:p>
            <w:pPr>
              <w:jc w:val="right"/>
              <w:spacing w:after="0"/>
              <w:rPr>
                <w:sz w:val="20"/>
                <w:szCs w:val="20"/>
                <w:color w:val="auto"/>
              </w:rPr>
            </w:pPr>
            <w:r>
              <w:rPr>
                <w:rFonts w:ascii="Arial" w:cs="Arial" w:eastAsia="Arial" w:hAnsi="Arial"/>
                <w:sz w:val="14"/>
                <w:szCs w:val="14"/>
                <w:color w:val="0E1020"/>
              </w:rPr>
              <w:t>9,736</w:t>
            </w:r>
            <w:r>
              <w:rPr>
                <w:rFonts w:ascii="Arial" w:cs="Arial" w:eastAsia="Arial" w:hAnsi="Arial"/>
                <w:sz w:val="18"/>
                <w:szCs w:val="18"/>
                <w:color w:val="0E1020"/>
                <w:vertAlign w:val="superscript"/>
              </w:rPr>
              <w:t>2</w:t>
            </w:r>
          </w:p>
        </w:tc>
        <w:tc>
          <w:tcPr>
            <w:tcW w:w="1920" w:type="dxa"/>
            <w:vAlign w:val="bottom"/>
          </w:tcPr>
          <w:p>
            <w:pPr>
              <w:jc w:val="right"/>
              <w:spacing w:after="0"/>
              <w:rPr>
                <w:sz w:val="20"/>
                <w:szCs w:val="20"/>
                <w:color w:val="auto"/>
              </w:rPr>
            </w:pPr>
            <w:r>
              <w:rPr>
                <w:rFonts w:ascii="Arial" w:cs="Arial" w:eastAsia="Arial" w:hAnsi="Arial"/>
                <w:sz w:val="14"/>
                <w:szCs w:val="14"/>
                <w:color w:val="0E1020"/>
              </w:rPr>
              <w:t>122,382</w:t>
            </w:r>
          </w:p>
        </w:tc>
        <w:tc>
          <w:tcPr>
            <w:tcW w:w="2340" w:type="dxa"/>
            <w:vAlign w:val="bottom"/>
          </w:tcPr>
          <w:p>
            <w:pPr>
              <w:jc w:val="right"/>
              <w:spacing w:after="0"/>
              <w:rPr>
                <w:sz w:val="20"/>
                <w:szCs w:val="20"/>
                <w:color w:val="auto"/>
              </w:rPr>
            </w:pPr>
            <w:r>
              <w:rPr>
                <w:rFonts w:ascii="Arial" w:cs="Arial" w:eastAsia="Arial" w:hAnsi="Arial"/>
                <w:sz w:val="14"/>
                <w:szCs w:val="14"/>
                <w:color w:val="0E1020"/>
              </w:rPr>
              <w:t>43,814</w:t>
            </w:r>
            <w:r>
              <w:rPr>
                <w:rFonts w:ascii="Arial" w:cs="Arial" w:eastAsia="Arial" w:hAnsi="Arial"/>
                <w:sz w:val="18"/>
                <w:szCs w:val="18"/>
                <w:color w:val="0E1020"/>
                <w:vertAlign w:val="superscript"/>
              </w:rPr>
              <w:t>5</w:t>
            </w:r>
          </w:p>
        </w:tc>
        <w:tc>
          <w:tcPr>
            <w:tcW w:w="2480" w:type="dxa"/>
            <w:vAlign w:val="bottom"/>
          </w:tcPr>
          <w:p>
            <w:pPr>
              <w:jc w:val="right"/>
              <w:ind w:right="149"/>
              <w:spacing w:after="0"/>
              <w:rPr>
                <w:sz w:val="20"/>
                <w:szCs w:val="20"/>
                <w:color w:val="auto"/>
              </w:rPr>
            </w:pPr>
            <w:r>
              <w:rPr>
                <w:rFonts w:ascii="Arial" w:cs="Arial" w:eastAsia="Arial" w:hAnsi="Arial"/>
                <w:sz w:val="14"/>
                <w:szCs w:val="14"/>
                <w:color w:val="0E1020"/>
              </w:rPr>
              <w:t>550,742</w:t>
            </w:r>
          </w:p>
        </w:tc>
        <w:tc>
          <w:tcPr>
            <w:tcW w:w="0" w:type="dxa"/>
            <w:vAlign w:val="bottom"/>
          </w:tcPr>
          <w:p>
            <w:pPr>
              <w:spacing w:after="0"/>
              <w:rPr>
                <w:sz w:val="1"/>
                <w:szCs w:val="1"/>
                <w:color w:val="auto"/>
              </w:rPr>
            </w:pPr>
          </w:p>
        </w:tc>
      </w:tr>
      <w:tr>
        <w:trPr>
          <w:trHeight w:val="32"/>
        </w:trPr>
        <w:tc>
          <w:tcPr>
            <w:tcW w:w="1420" w:type="dxa"/>
            <w:vAlign w:val="bottom"/>
          </w:tcPr>
          <w:p>
            <w:pPr>
              <w:spacing w:after="0"/>
              <w:rPr>
                <w:sz w:val="2"/>
                <w:szCs w:val="2"/>
                <w:color w:val="auto"/>
              </w:rPr>
            </w:pPr>
          </w:p>
        </w:tc>
        <w:tc>
          <w:tcPr>
            <w:tcW w:w="1200" w:type="dxa"/>
            <w:vAlign w:val="bottom"/>
            <w:tcBorders>
              <w:bottom w:val="single" w:sz="8" w:color="CFCFD2"/>
            </w:tcBorders>
          </w:tcPr>
          <w:p>
            <w:pPr>
              <w:spacing w:after="0"/>
              <w:rPr>
                <w:sz w:val="2"/>
                <w:szCs w:val="2"/>
                <w:color w:val="auto"/>
              </w:rPr>
            </w:pPr>
          </w:p>
        </w:tc>
        <w:tc>
          <w:tcPr>
            <w:tcW w:w="1880" w:type="dxa"/>
            <w:vAlign w:val="bottom"/>
            <w:tcBorders>
              <w:bottom w:val="single" w:sz="8" w:color="CFCFD2"/>
            </w:tcBorders>
          </w:tcPr>
          <w:p>
            <w:pPr>
              <w:spacing w:after="0"/>
              <w:rPr>
                <w:sz w:val="2"/>
                <w:szCs w:val="2"/>
                <w:color w:val="auto"/>
              </w:rPr>
            </w:pPr>
          </w:p>
        </w:tc>
        <w:tc>
          <w:tcPr>
            <w:tcW w:w="1920" w:type="dxa"/>
            <w:vAlign w:val="bottom"/>
            <w:tcBorders>
              <w:bottom w:val="single" w:sz="8" w:color="CFCFD2"/>
            </w:tcBorders>
          </w:tcPr>
          <w:p>
            <w:pPr>
              <w:spacing w:after="0"/>
              <w:rPr>
                <w:sz w:val="2"/>
                <w:szCs w:val="2"/>
                <w:color w:val="auto"/>
              </w:rPr>
            </w:pPr>
          </w:p>
        </w:tc>
        <w:tc>
          <w:tcPr>
            <w:tcW w:w="2340" w:type="dxa"/>
            <w:vAlign w:val="bottom"/>
            <w:tcBorders>
              <w:bottom w:val="single" w:sz="8" w:color="CFCFD2"/>
            </w:tcBorders>
          </w:tcPr>
          <w:p>
            <w:pPr>
              <w:spacing w:after="0"/>
              <w:rPr>
                <w:sz w:val="2"/>
                <w:szCs w:val="2"/>
                <w:color w:val="auto"/>
              </w:rPr>
            </w:pPr>
          </w:p>
        </w:tc>
        <w:tc>
          <w:tcPr>
            <w:tcW w:w="248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310"/>
        </w:trPr>
        <w:tc>
          <w:tcPr>
            <w:tcW w:w="14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0E1020"/>
              </w:rPr>
              <w:t>6/15/2023</w:t>
            </w:r>
          </w:p>
        </w:tc>
        <w:tc>
          <w:tcPr>
            <w:tcW w:w="1880" w:type="dxa"/>
            <w:vAlign w:val="bottom"/>
          </w:tcPr>
          <w:p>
            <w:pPr>
              <w:jc w:val="right"/>
              <w:spacing w:after="0"/>
              <w:rPr>
                <w:sz w:val="20"/>
                <w:szCs w:val="20"/>
                <w:color w:val="auto"/>
              </w:rPr>
            </w:pPr>
            <w:r>
              <w:rPr>
                <w:rFonts w:ascii="Arial" w:cs="Arial" w:eastAsia="Arial" w:hAnsi="Arial"/>
                <w:sz w:val="14"/>
                <w:szCs w:val="14"/>
                <w:color w:val="0E1020"/>
              </w:rPr>
              <w:t>20,441</w:t>
            </w:r>
            <w:r>
              <w:rPr>
                <w:rFonts w:ascii="Arial" w:cs="Arial" w:eastAsia="Arial" w:hAnsi="Arial"/>
                <w:sz w:val="18"/>
                <w:szCs w:val="18"/>
                <w:color w:val="0E1020"/>
                <w:vertAlign w:val="superscript"/>
              </w:rPr>
              <w:t>7</w:t>
            </w:r>
          </w:p>
        </w:tc>
        <w:tc>
          <w:tcPr>
            <w:tcW w:w="1920" w:type="dxa"/>
            <w:vAlign w:val="bottom"/>
          </w:tcPr>
          <w:p>
            <w:pPr>
              <w:jc w:val="right"/>
              <w:spacing w:after="0"/>
              <w:rPr>
                <w:sz w:val="20"/>
                <w:szCs w:val="20"/>
                <w:color w:val="auto"/>
              </w:rPr>
            </w:pPr>
            <w:r>
              <w:rPr>
                <w:rFonts w:ascii="Arial" w:cs="Arial" w:eastAsia="Arial" w:hAnsi="Arial"/>
                <w:sz w:val="14"/>
                <w:szCs w:val="14"/>
                <w:color w:val="0E1020"/>
              </w:rPr>
              <w:t>256,943</w:t>
            </w:r>
          </w:p>
        </w:tc>
        <w:tc>
          <w:tcPr>
            <w:tcW w:w="2340" w:type="dxa"/>
            <w:vAlign w:val="bottom"/>
          </w:tcPr>
          <w:p>
            <w:pPr>
              <w:jc w:val="right"/>
              <w:spacing w:after="0"/>
              <w:rPr>
                <w:sz w:val="20"/>
                <w:szCs w:val="20"/>
                <w:color w:val="auto"/>
              </w:rPr>
            </w:pPr>
            <w:r>
              <w:rPr>
                <w:rFonts w:ascii="Arial" w:cs="Arial" w:eastAsia="Arial" w:hAnsi="Arial"/>
                <w:sz w:val="14"/>
                <w:szCs w:val="14"/>
                <w:color w:val="0E1020"/>
              </w:rPr>
              <w:t>—</w:t>
            </w:r>
          </w:p>
        </w:tc>
        <w:tc>
          <w:tcPr>
            <w:tcW w:w="2480" w:type="dxa"/>
            <w:vAlign w:val="bottom"/>
          </w:tcPr>
          <w:p>
            <w:pPr>
              <w:jc w:val="right"/>
              <w:ind w:right="149"/>
              <w:spacing w:after="0"/>
              <w:rPr>
                <w:sz w:val="20"/>
                <w:szCs w:val="20"/>
                <w:color w:val="auto"/>
              </w:rPr>
            </w:pPr>
            <w:r>
              <w:rPr>
                <w:rFonts w:ascii="Arial" w:cs="Arial" w:eastAsia="Arial" w:hAnsi="Arial"/>
                <w:sz w:val="14"/>
                <w:szCs w:val="14"/>
                <w:color w:val="0E1020"/>
              </w:rPr>
              <w:t>—</w:t>
            </w:r>
          </w:p>
        </w:tc>
        <w:tc>
          <w:tcPr>
            <w:tcW w:w="0" w:type="dxa"/>
            <w:vAlign w:val="bottom"/>
          </w:tcPr>
          <w:p>
            <w:pPr>
              <w:spacing w:after="0"/>
              <w:rPr>
                <w:sz w:val="1"/>
                <w:szCs w:val="1"/>
                <w:color w:val="auto"/>
              </w:rPr>
            </w:pPr>
          </w:p>
        </w:tc>
      </w:tr>
      <w:tr>
        <w:trPr>
          <w:trHeight w:val="32"/>
        </w:trPr>
        <w:tc>
          <w:tcPr>
            <w:tcW w:w="1420" w:type="dxa"/>
            <w:vAlign w:val="bottom"/>
            <w:vMerge w:val="restart"/>
          </w:tcPr>
          <w:p>
            <w:pPr>
              <w:ind w:left="100"/>
              <w:spacing w:after="0"/>
              <w:rPr>
                <w:sz w:val="20"/>
                <w:szCs w:val="20"/>
                <w:color w:val="auto"/>
              </w:rPr>
            </w:pPr>
            <w:r>
              <w:rPr>
                <w:rFonts w:ascii="Arial" w:cs="Arial" w:eastAsia="Arial" w:hAnsi="Arial"/>
                <w:sz w:val="14"/>
                <w:szCs w:val="14"/>
                <w:b w:val="1"/>
                <w:bCs w:val="1"/>
                <w:color w:val="004AAC"/>
              </w:rPr>
              <w:t>Raymond A.</w:t>
            </w:r>
          </w:p>
        </w:tc>
        <w:tc>
          <w:tcPr>
            <w:tcW w:w="1200" w:type="dxa"/>
            <w:vAlign w:val="bottom"/>
            <w:tcBorders>
              <w:bottom w:val="single" w:sz="8" w:color="CFCFD2"/>
            </w:tcBorders>
          </w:tcPr>
          <w:p>
            <w:pPr>
              <w:spacing w:after="0"/>
              <w:rPr>
                <w:sz w:val="2"/>
                <w:szCs w:val="2"/>
                <w:color w:val="auto"/>
              </w:rPr>
            </w:pPr>
          </w:p>
        </w:tc>
        <w:tc>
          <w:tcPr>
            <w:tcW w:w="1880" w:type="dxa"/>
            <w:vAlign w:val="bottom"/>
            <w:tcBorders>
              <w:bottom w:val="single" w:sz="8" w:color="CFCFD2"/>
            </w:tcBorders>
          </w:tcPr>
          <w:p>
            <w:pPr>
              <w:spacing w:after="0"/>
              <w:rPr>
                <w:sz w:val="2"/>
                <w:szCs w:val="2"/>
                <w:color w:val="auto"/>
              </w:rPr>
            </w:pPr>
          </w:p>
        </w:tc>
        <w:tc>
          <w:tcPr>
            <w:tcW w:w="1920" w:type="dxa"/>
            <w:vAlign w:val="bottom"/>
            <w:tcBorders>
              <w:bottom w:val="single" w:sz="8" w:color="CFCFD2"/>
            </w:tcBorders>
          </w:tcPr>
          <w:p>
            <w:pPr>
              <w:spacing w:after="0"/>
              <w:rPr>
                <w:sz w:val="2"/>
                <w:szCs w:val="2"/>
                <w:color w:val="auto"/>
              </w:rPr>
            </w:pPr>
          </w:p>
        </w:tc>
        <w:tc>
          <w:tcPr>
            <w:tcW w:w="2340" w:type="dxa"/>
            <w:vAlign w:val="bottom"/>
            <w:tcBorders>
              <w:bottom w:val="single" w:sz="8" w:color="CFCFD2"/>
            </w:tcBorders>
          </w:tcPr>
          <w:p>
            <w:pPr>
              <w:spacing w:after="0"/>
              <w:rPr>
                <w:sz w:val="2"/>
                <w:szCs w:val="2"/>
                <w:color w:val="auto"/>
              </w:rPr>
            </w:pPr>
          </w:p>
        </w:tc>
        <w:tc>
          <w:tcPr>
            <w:tcW w:w="248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420" w:type="dxa"/>
            <w:vAlign w:val="bottom"/>
            <w:vMerge w:val="continue"/>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0E1020"/>
              </w:rPr>
              <w:t>5/21/2024</w:t>
            </w:r>
          </w:p>
        </w:tc>
        <w:tc>
          <w:tcPr>
            <w:tcW w:w="1880" w:type="dxa"/>
            <w:vAlign w:val="bottom"/>
          </w:tcPr>
          <w:p>
            <w:pPr>
              <w:jc w:val="right"/>
              <w:spacing w:after="0"/>
              <w:rPr>
                <w:sz w:val="20"/>
                <w:szCs w:val="20"/>
                <w:color w:val="auto"/>
              </w:rPr>
            </w:pPr>
            <w:r>
              <w:rPr>
                <w:rFonts w:ascii="Arial" w:cs="Arial" w:eastAsia="Arial" w:hAnsi="Arial"/>
                <w:sz w:val="14"/>
                <w:szCs w:val="14"/>
                <w:color w:val="0E1020"/>
              </w:rPr>
              <w:t>39,022</w:t>
            </w:r>
            <w:r>
              <w:rPr>
                <w:rFonts w:ascii="Arial" w:cs="Arial" w:eastAsia="Arial" w:hAnsi="Arial"/>
                <w:sz w:val="18"/>
                <w:szCs w:val="18"/>
                <w:color w:val="0E1020"/>
                <w:vertAlign w:val="superscript"/>
              </w:rPr>
              <w:t>2</w:t>
            </w:r>
          </w:p>
        </w:tc>
        <w:tc>
          <w:tcPr>
            <w:tcW w:w="1920" w:type="dxa"/>
            <w:vAlign w:val="bottom"/>
          </w:tcPr>
          <w:p>
            <w:pPr>
              <w:jc w:val="right"/>
              <w:spacing w:after="0"/>
              <w:rPr>
                <w:sz w:val="20"/>
                <w:szCs w:val="20"/>
                <w:color w:val="auto"/>
              </w:rPr>
            </w:pPr>
            <w:r>
              <w:rPr>
                <w:rFonts w:ascii="Arial" w:cs="Arial" w:eastAsia="Arial" w:hAnsi="Arial"/>
                <w:sz w:val="14"/>
                <w:szCs w:val="14"/>
                <w:color w:val="0E1020"/>
              </w:rPr>
              <w:t>490,507</w:t>
            </w:r>
          </w:p>
        </w:tc>
        <w:tc>
          <w:tcPr>
            <w:tcW w:w="2340" w:type="dxa"/>
            <w:vAlign w:val="bottom"/>
          </w:tcPr>
          <w:p>
            <w:pPr>
              <w:jc w:val="right"/>
              <w:spacing w:after="0"/>
              <w:rPr>
                <w:sz w:val="20"/>
                <w:szCs w:val="20"/>
                <w:color w:val="auto"/>
              </w:rPr>
            </w:pPr>
            <w:r>
              <w:rPr>
                <w:rFonts w:ascii="Arial" w:cs="Arial" w:eastAsia="Arial" w:hAnsi="Arial"/>
                <w:sz w:val="14"/>
                <w:szCs w:val="14"/>
                <w:color w:val="0E1020"/>
              </w:rPr>
              <w:t>87,801</w:t>
            </w:r>
            <w:r>
              <w:rPr>
                <w:rFonts w:ascii="Arial" w:cs="Arial" w:eastAsia="Arial" w:hAnsi="Arial"/>
                <w:sz w:val="18"/>
                <w:szCs w:val="18"/>
                <w:color w:val="0E1020"/>
                <w:vertAlign w:val="superscript"/>
              </w:rPr>
              <w:t>3</w:t>
            </w:r>
          </w:p>
        </w:tc>
        <w:tc>
          <w:tcPr>
            <w:tcW w:w="2480" w:type="dxa"/>
            <w:vAlign w:val="bottom"/>
          </w:tcPr>
          <w:p>
            <w:pPr>
              <w:jc w:val="right"/>
              <w:ind w:right="149"/>
              <w:spacing w:after="0"/>
              <w:rPr>
                <w:sz w:val="20"/>
                <w:szCs w:val="20"/>
                <w:color w:val="auto"/>
              </w:rPr>
            </w:pPr>
            <w:r>
              <w:rPr>
                <w:rFonts w:ascii="Arial" w:cs="Arial" w:eastAsia="Arial" w:hAnsi="Arial"/>
                <w:sz w:val="14"/>
                <w:szCs w:val="14"/>
                <w:color w:val="0E1020"/>
              </w:rPr>
              <w:t>1,103,659</w:t>
            </w:r>
          </w:p>
        </w:tc>
        <w:tc>
          <w:tcPr>
            <w:tcW w:w="0" w:type="dxa"/>
            <w:vAlign w:val="bottom"/>
          </w:tcPr>
          <w:p>
            <w:pPr>
              <w:spacing w:after="0"/>
              <w:rPr>
                <w:sz w:val="1"/>
                <w:szCs w:val="1"/>
                <w:color w:val="auto"/>
              </w:rPr>
            </w:pPr>
          </w:p>
        </w:tc>
      </w:tr>
      <w:tr>
        <w:trPr>
          <w:trHeight w:val="134"/>
        </w:trPr>
        <w:tc>
          <w:tcPr>
            <w:tcW w:w="1420" w:type="dxa"/>
            <w:vAlign w:val="bottom"/>
          </w:tcPr>
          <w:p>
            <w:pPr>
              <w:ind w:left="100"/>
              <w:spacing w:after="0" w:line="134" w:lineRule="exact"/>
              <w:rPr>
                <w:sz w:val="20"/>
                <w:szCs w:val="20"/>
                <w:color w:val="auto"/>
              </w:rPr>
            </w:pPr>
            <w:r>
              <w:rPr>
                <w:rFonts w:ascii="Arial" w:cs="Arial" w:eastAsia="Arial" w:hAnsi="Arial"/>
                <w:sz w:val="14"/>
                <w:szCs w:val="14"/>
                <w:b w:val="1"/>
                <w:bCs w:val="1"/>
                <w:color w:val="004AAC"/>
              </w:rPr>
              <w:t>August</w:t>
            </w:r>
          </w:p>
        </w:tc>
        <w:tc>
          <w:tcPr>
            <w:tcW w:w="1200" w:type="dxa"/>
            <w:vAlign w:val="bottom"/>
            <w:tcBorders>
              <w:bottom w:val="single" w:sz="8" w:color="CFCFD2"/>
            </w:tcBorders>
          </w:tcPr>
          <w:p>
            <w:pPr>
              <w:spacing w:after="0"/>
              <w:rPr>
                <w:sz w:val="11"/>
                <w:szCs w:val="11"/>
                <w:color w:val="auto"/>
              </w:rPr>
            </w:pPr>
          </w:p>
        </w:tc>
        <w:tc>
          <w:tcPr>
            <w:tcW w:w="1880" w:type="dxa"/>
            <w:vAlign w:val="bottom"/>
            <w:tcBorders>
              <w:bottom w:val="single" w:sz="8" w:color="CFCFD2"/>
            </w:tcBorders>
          </w:tcPr>
          <w:p>
            <w:pPr>
              <w:spacing w:after="0"/>
              <w:rPr>
                <w:sz w:val="11"/>
                <w:szCs w:val="11"/>
                <w:color w:val="auto"/>
              </w:rPr>
            </w:pPr>
          </w:p>
        </w:tc>
        <w:tc>
          <w:tcPr>
            <w:tcW w:w="1920" w:type="dxa"/>
            <w:vAlign w:val="bottom"/>
            <w:tcBorders>
              <w:bottom w:val="single" w:sz="8" w:color="CFCFD2"/>
            </w:tcBorders>
          </w:tcPr>
          <w:p>
            <w:pPr>
              <w:spacing w:after="0"/>
              <w:rPr>
                <w:sz w:val="11"/>
                <w:szCs w:val="11"/>
                <w:color w:val="auto"/>
              </w:rPr>
            </w:pPr>
          </w:p>
        </w:tc>
        <w:tc>
          <w:tcPr>
            <w:tcW w:w="2340" w:type="dxa"/>
            <w:vAlign w:val="bottom"/>
            <w:tcBorders>
              <w:bottom w:val="single" w:sz="8" w:color="CFCFD2"/>
            </w:tcBorders>
          </w:tcPr>
          <w:p>
            <w:pPr>
              <w:spacing w:after="0"/>
              <w:rPr>
                <w:sz w:val="11"/>
                <w:szCs w:val="11"/>
                <w:color w:val="auto"/>
              </w:rPr>
            </w:pPr>
          </w:p>
        </w:tc>
        <w:tc>
          <w:tcPr>
            <w:tcW w:w="2480" w:type="dxa"/>
            <w:vAlign w:val="bottom"/>
            <w:tcBorders>
              <w:bottom w:val="single" w:sz="8" w:color="CFCFD2"/>
            </w:tcBorders>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14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0E1020"/>
              </w:rPr>
              <w:t>5/16/2025</w:t>
            </w:r>
          </w:p>
        </w:tc>
        <w:tc>
          <w:tcPr>
            <w:tcW w:w="1880" w:type="dxa"/>
            <w:vAlign w:val="bottom"/>
          </w:tcPr>
          <w:p>
            <w:pPr>
              <w:jc w:val="right"/>
              <w:spacing w:after="0"/>
              <w:rPr>
                <w:sz w:val="20"/>
                <w:szCs w:val="20"/>
                <w:color w:val="auto"/>
              </w:rPr>
            </w:pPr>
            <w:r>
              <w:rPr>
                <w:rFonts w:ascii="Arial" w:cs="Arial" w:eastAsia="Arial" w:hAnsi="Arial"/>
                <w:sz w:val="14"/>
                <w:szCs w:val="14"/>
                <w:color w:val="0E1020"/>
              </w:rPr>
              <w:t>75,449</w:t>
            </w:r>
            <w:r>
              <w:rPr>
                <w:rFonts w:ascii="Arial" w:cs="Arial" w:eastAsia="Arial" w:hAnsi="Arial"/>
                <w:sz w:val="18"/>
                <w:szCs w:val="18"/>
                <w:color w:val="0E1020"/>
                <w:vertAlign w:val="superscript"/>
              </w:rPr>
              <w:t>2</w:t>
            </w:r>
          </w:p>
        </w:tc>
        <w:tc>
          <w:tcPr>
            <w:tcW w:w="1920" w:type="dxa"/>
            <w:vAlign w:val="bottom"/>
          </w:tcPr>
          <w:p>
            <w:pPr>
              <w:jc w:val="right"/>
              <w:spacing w:after="0"/>
              <w:rPr>
                <w:sz w:val="20"/>
                <w:szCs w:val="20"/>
                <w:color w:val="auto"/>
              </w:rPr>
            </w:pPr>
            <w:r>
              <w:rPr>
                <w:rFonts w:ascii="Arial" w:cs="Arial" w:eastAsia="Arial" w:hAnsi="Arial"/>
                <w:sz w:val="14"/>
                <w:szCs w:val="14"/>
                <w:color w:val="0E1020"/>
              </w:rPr>
              <w:t>948,394</w:t>
            </w:r>
          </w:p>
        </w:tc>
        <w:tc>
          <w:tcPr>
            <w:tcW w:w="2340" w:type="dxa"/>
            <w:vAlign w:val="bottom"/>
          </w:tcPr>
          <w:p>
            <w:pPr>
              <w:jc w:val="right"/>
              <w:spacing w:after="0"/>
              <w:rPr>
                <w:sz w:val="20"/>
                <w:szCs w:val="20"/>
                <w:color w:val="auto"/>
              </w:rPr>
            </w:pPr>
            <w:r>
              <w:rPr>
                <w:rFonts w:ascii="Arial" w:cs="Arial" w:eastAsia="Arial" w:hAnsi="Arial"/>
                <w:sz w:val="14"/>
                <w:szCs w:val="14"/>
                <w:color w:val="0E1020"/>
              </w:rPr>
              <w:t>56,587</w:t>
            </w:r>
            <w:r>
              <w:rPr>
                <w:rFonts w:ascii="Arial" w:cs="Arial" w:eastAsia="Arial" w:hAnsi="Arial"/>
                <w:sz w:val="18"/>
                <w:szCs w:val="18"/>
                <w:color w:val="0E1020"/>
                <w:vertAlign w:val="superscript"/>
              </w:rPr>
              <w:t>4</w:t>
            </w:r>
          </w:p>
        </w:tc>
        <w:tc>
          <w:tcPr>
            <w:tcW w:w="2480" w:type="dxa"/>
            <w:vAlign w:val="bottom"/>
          </w:tcPr>
          <w:p>
            <w:pPr>
              <w:jc w:val="right"/>
              <w:ind w:right="149"/>
              <w:spacing w:after="0"/>
              <w:rPr>
                <w:sz w:val="20"/>
                <w:szCs w:val="20"/>
                <w:color w:val="auto"/>
              </w:rPr>
            </w:pPr>
            <w:r>
              <w:rPr>
                <w:rFonts w:ascii="Arial" w:cs="Arial" w:eastAsia="Arial" w:hAnsi="Arial"/>
                <w:sz w:val="14"/>
                <w:szCs w:val="14"/>
                <w:color w:val="0E1020"/>
              </w:rPr>
              <w:t>711,299</w:t>
            </w:r>
          </w:p>
        </w:tc>
        <w:tc>
          <w:tcPr>
            <w:tcW w:w="0" w:type="dxa"/>
            <w:vAlign w:val="bottom"/>
          </w:tcPr>
          <w:p>
            <w:pPr>
              <w:spacing w:after="0"/>
              <w:rPr>
                <w:sz w:val="1"/>
                <w:szCs w:val="1"/>
                <w:color w:val="auto"/>
              </w:rPr>
            </w:pPr>
          </w:p>
        </w:tc>
      </w:tr>
      <w:tr>
        <w:trPr>
          <w:trHeight w:val="32"/>
        </w:trPr>
        <w:tc>
          <w:tcPr>
            <w:tcW w:w="1420" w:type="dxa"/>
            <w:vAlign w:val="bottom"/>
          </w:tcPr>
          <w:p>
            <w:pPr>
              <w:spacing w:after="0"/>
              <w:rPr>
                <w:sz w:val="2"/>
                <w:szCs w:val="2"/>
                <w:color w:val="auto"/>
              </w:rPr>
            </w:pPr>
          </w:p>
        </w:tc>
        <w:tc>
          <w:tcPr>
            <w:tcW w:w="1200" w:type="dxa"/>
            <w:vAlign w:val="bottom"/>
            <w:tcBorders>
              <w:bottom w:val="single" w:sz="8" w:color="CFCFD2"/>
            </w:tcBorders>
          </w:tcPr>
          <w:p>
            <w:pPr>
              <w:spacing w:after="0"/>
              <w:rPr>
                <w:sz w:val="2"/>
                <w:szCs w:val="2"/>
                <w:color w:val="auto"/>
              </w:rPr>
            </w:pPr>
          </w:p>
        </w:tc>
        <w:tc>
          <w:tcPr>
            <w:tcW w:w="1880" w:type="dxa"/>
            <w:vAlign w:val="bottom"/>
            <w:tcBorders>
              <w:bottom w:val="single" w:sz="8" w:color="CFCFD2"/>
            </w:tcBorders>
          </w:tcPr>
          <w:p>
            <w:pPr>
              <w:spacing w:after="0"/>
              <w:rPr>
                <w:sz w:val="2"/>
                <w:szCs w:val="2"/>
                <w:color w:val="auto"/>
              </w:rPr>
            </w:pPr>
          </w:p>
        </w:tc>
        <w:tc>
          <w:tcPr>
            <w:tcW w:w="1920" w:type="dxa"/>
            <w:vAlign w:val="bottom"/>
            <w:tcBorders>
              <w:bottom w:val="single" w:sz="8" w:color="CFCFD2"/>
            </w:tcBorders>
          </w:tcPr>
          <w:p>
            <w:pPr>
              <w:spacing w:after="0"/>
              <w:rPr>
                <w:sz w:val="2"/>
                <w:szCs w:val="2"/>
                <w:color w:val="auto"/>
              </w:rPr>
            </w:pPr>
          </w:p>
        </w:tc>
        <w:tc>
          <w:tcPr>
            <w:tcW w:w="2340" w:type="dxa"/>
            <w:vAlign w:val="bottom"/>
            <w:tcBorders>
              <w:bottom w:val="single" w:sz="8" w:color="CFCFD2"/>
            </w:tcBorders>
          </w:tcPr>
          <w:p>
            <w:pPr>
              <w:spacing w:after="0"/>
              <w:rPr>
                <w:sz w:val="2"/>
                <w:szCs w:val="2"/>
                <w:color w:val="auto"/>
              </w:rPr>
            </w:pPr>
          </w:p>
        </w:tc>
        <w:tc>
          <w:tcPr>
            <w:tcW w:w="248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310"/>
        </w:trPr>
        <w:tc>
          <w:tcPr>
            <w:tcW w:w="14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0E1020"/>
              </w:rPr>
              <w:t>6/16/2025</w:t>
            </w:r>
          </w:p>
        </w:tc>
        <w:tc>
          <w:tcPr>
            <w:tcW w:w="1880" w:type="dxa"/>
            <w:vAlign w:val="bottom"/>
          </w:tcPr>
          <w:p>
            <w:pPr>
              <w:jc w:val="right"/>
              <w:spacing w:after="0"/>
              <w:rPr>
                <w:sz w:val="20"/>
                <w:szCs w:val="20"/>
                <w:color w:val="auto"/>
              </w:rPr>
            </w:pPr>
            <w:r>
              <w:rPr>
                <w:rFonts w:ascii="Arial" w:cs="Arial" w:eastAsia="Arial" w:hAnsi="Arial"/>
                <w:sz w:val="14"/>
                <w:szCs w:val="14"/>
                <w:color w:val="0E1020"/>
              </w:rPr>
              <w:t>95,238</w:t>
            </w:r>
            <w:r>
              <w:rPr>
                <w:rFonts w:ascii="Arial" w:cs="Arial" w:eastAsia="Arial" w:hAnsi="Arial"/>
                <w:sz w:val="18"/>
                <w:szCs w:val="18"/>
                <w:color w:val="0E1020"/>
                <w:vertAlign w:val="superscript"/>
              </w:rPr>
              <w:t>8</w:t>
            </w:r>
          </w:p>
        </w:tc>
        <w:tc>
          <w:tcPr>
            <w:tcW w:w="1920" w:type="dxa"/>
            <w:vAlign w:val="bottom"/>
          </w:tcPr>
          <w:p>
            <w:pPr>
              <w:jc w:val="right"/>
              <w:spacing w:after="0"/>
              <w:rPr>
                <w:sz w:val="20"/>
                <w:szCs w:val="20"/>
                <w:color w:val="auto"/>
              </w:rPr>
            </w:pPr>
            <w:r>
              <w:rPr>
                <w:rFonts w:ascii="Arial" w:cs="Arial" w:eastAsia="Arial" w:hAnsi="Arial"/>
                <w:sz w:val="14"/>
                <w:szCs w:val="14"/>
                <w:color w:val="0E1020"/>
              </w:rPr>
              <w:t>1,197,142</w:t>
            </w:r>
          </w:p>
        </w:tc>
        <w:tc>
          <w:tcPr>
            <w:tcW w:w="2340" w:type="dxa"/>
            <w:vAlign w:val="bottom"/>
          </w:tcPr>
          <w:p>
            <w:pPr>
              <w:jc w:val="right"/>
              <w:spacing w:after="0"/>
              <w:rPr>
                <w:sz w:val="20"/>
                <w:szCs w:val="20"/>
                <w:color w:val="auto"/>
              </w:rPr>
            </w:pPr>
            <w:r>
              <w:rPr>
                <w:rFonts w:ascii="Arial" w:cs="Arial" w:eastAsia="Arial" w:hAnsi="Arial"/>
                <w:sz w:val="14"/>
                <w:szCs w:val="14"/>
                <w:color w:val="0E1020"/>
              </w:rPr>
              <w:t>—</w:t>
            </w:r>
          </w:p>
        </w:tc>
        <w:tc>
          <w:tcPr>
            <w:tcW w:w="2480" w:type="dxa"/>
            <w:vAlign w:val="bottom"/>
          </w:tcPr>
          <w:p>
            <w:pPr>
              <w:jc w:val="right"/>
              <w:ind w:right="149"/>
              <w:spacing w:after="0"/>
              <w:rPr>
                <w:sz w:val="20"/>
                <w:szCs w:val="20"/>
                <w:color w:val="auto"/>
              </w:rPr>
            </w:pPr>
            <w:r>
              <w:rPr>
                <w:rFonts w:ascii="Arial" w:cs="Arial" w:eastAsia="Arial" w:hAnsi="Arial"/>
                <w:sz w:val="14"/>
                <w:szCs w:val="14"/>
                <w:color w:val="0E1020"/>
              </w:rPr>
              <w:t>—</w:t>
            </w:r>
          </w:p>
        </w:tc>
        <w:tc>
          <w:tcPr>
            <w:tcW w:w="0" w:type="dxa"/>
            <w:vAlign w:val="bottom"/>
          </w:tcPr>
          <w:p>
            <w:pPr>
              <w:spacing w:after="0"/>
              <w:rPr>
                <w:sz w:val="1"/>
                <w:szCs w:val="1"/>
                <w:color w:val="auto"/>
              </w:rPr>
            </w:pPr>
          </w:p>
        </w:tc>
      </w:tr>
      <w:tr>
        <w:trPr>
          <w:trHeight w:val="32"/>
        </w:trPr>
        <w:tc>
          <w:tcPr>
            <w:tcW w:w="1420" w:type="dxa"/>
            <w:vAlign w:val="bottom"/>
            <w:tcBorders>
              <w:bottom w:val="single" w:sz="8" w:color="CFCFD2"/>
            </w:tcBorders>
          </w:tcPr>
          <w:p>
            <w:pPr>
              <w:spacing w:after="0"/>
              <w:rPr>
                <w:sz w:val="2"/>
                <w:szCs w:val="2"/>
                <w:color w:val="auto"/>
              </w:rPr>
            </w:pPr>
          </w:p>
        </w:tc>
        <w:tc>
          <w:tcPr>
            <w:tcW w:w="1200" w:type="dxa"/>
            <w:vAlign w:val="bottom"/>
            <w:tcBorders>
              <w:bottom w:val="single" w:sz="8" w:color="CFCFD2"/>
            </w:tcBorders>
          </w:tcPr>
          <w:p>
            <w:pPr>
              <w:spacing w:after="0"/>
              <w:rPr>
                <w:sz w:val="2"/>
                <w:szCs w:val="2"/>
                <w:color w:val="auto"/>
              </w:rPr>
            </w:pPr>
          </w:p>
        </w:tc>
        <w:tc>
          <w:tcPr>
            <w:tcW w:w="1880" w:type="dxa"/>
            <w:vAlign w:val="bottom"/>
            <w:tcBorders>
              <w:bottom w:val="single" w:sz="8" w:color="CFCFD2"/>
            </w:tcBorders>
          </w:tcPr>
          <w:p>
            <w:pPr>
              <w:spacing w:after="0"/>
              <w:rPr>
                <w:sz w:val="2"/>
                <w:szCs w:val="2"/>
                <w:color w:val="auto"/>
              </w:rPr>
            </w:pPr>
          </w:p>
        </w:tc>
        <w:tc>
          <w:tcPr>
            <w:tcW w:w="1920" w:type="dxa"/>
            <w:vAlign w:val="bottom"/>
            <w:tcBorders>
              <w:bottom w:val="single" w:sz="8" w:color="CFCFD2"/>
            </w:tcBorders>
          </w:tcPr>
          <w:p>
            <w:pPr>
              <w:spacing w:after="0"/>
              <w:rPr>
                <w:sz w:val="2"/>
                <w:szCs w:val="2"/>
                <w:color w:val="auto"/>
              </w:rPr>
            </w:pPr>
          </w:p>
        </w:tc>
        <w:tc>
          <w:tcPr>
            <w:tcW w:w="2340" w:type="dxa"/>
            <w:vAlign w:val="bottom"/>
            <w:tcBorders>
              <w:bottom w:val="single" w:sz="8" w:color="CFCFD2"/>
            </w:tcBorders>
          </w:tcPr>
          <w:p>
            <w:pPr>
              <w:spacing w:after="0"/>
              <w:rPr>
                <w:sz w:val="2"/>
                <w:szCs w:val="2"/>
                <w:color w:val="auto"/>
              </w:rPr>
            </w:pPr>
          </w:p>
        </w:tc>
        <w:tc>
          <w:tcPr>
            <w:tcW w:w="248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1420" w:type="dxa"/>
            <w:vAlign w:val="bottom"/>
            <w:vMerge w:val="restart"/>
          </w:tcPr>
          <w:p>
            <w:pPr>
              <w:ind w:left="100"/>
              <w:spacing w:after="0"/>
              <w:rPr>
                <w:sz w:val="20"/>
                <w:szCs w:val="20"/>
                <w:color w:val="auto"/>
              </w:rPr>
            </w:pPr>
            <w:r>
              <w:rPr>
                <w:rFonts w:ascii="Arial" w:cs="Arial" w:eastAsia="Arial" w:hAnsi="Arial"/>
                <w:sz w:val="14"/>
                <w:szCs w:val="14"/>
                <w:b w:val="1"/>
                <w:bCs w:val="1"/>
                <w:color w:val="004AAC"/>
              </w:rPr>
              <w:t>Matthew K.</w:t>
            </w:r>
          </w:p>
        </w:tc>
        <w:tc>
          <w:tcPr>
            <w:tcW w:w="1200" w:type="dxa"/>
            <w:vAlign w:val="bottom"/>
          </w:tcPr>
          <w:p>
            <w:pPr>
              <w:jc w:val="center"/>
              <w:spacing w:after="0"/>
              <w:rPr>
                <w:sz w:val="20"/>
                <w:szCs w:val="20"/>
                <w:color w:val="auto"/>
              </w:rPr>
            </w:pPr>
            <w:r>
              <w:rPr>
                <w:rFonts w:ascii="Arial" w:cs="Arial" w:eastAsia="Arial" w:hAnsi="Arial"/>
                <w:sz w:val="14"/>
                <w:szCs w:val="14"/>
                <w:color w:val="0E1020"/>
              </w:rPr>
              <w:t>5/21/2024</w:t>
            </w:r>
          </w:p>
        </w:tc>
        <w:tc>
          <w:tcPr>
            <w:tcW w:w="1880" w:type="dxa"/>
            <w:vAlign w:val="bottom"/>
          </w:tcPr>
          <w:p>
            <w:pPr>
              <w:jc w:val="right"/>
              <w:spacing w:after="0"/>
              <w:rPr>
                <w:sz w:val="20"/>
                <w:szCs w:val="20"/>
                <w:color w:val="auto"/>
              </w:rPr>
            </w:pPr>
            <w:r>
              <w:rPr>
                <w:rFonts w:ascii="Arial" w:cs="Arial" w:eastAsia="Arial" w:hAnsi="Arial"/>
                <w:sz w:val="14"/>
                <w:szCs w:val="14"/>
                <w:color w:val="0E1020"/>
              </w:rPr>
              <w:t>42,629</w:t>
            </w:r>
            <w:r>
              <w:rPr>
                <w:rFonts w:ascii="Arial" w:cs="Arial" w:eastAsia="Arial" w:hAnsi="Arial"/>
                <w:sz w:val="18"/>
                <w:szCs w:val="18"/>
                <w:color w:val="0E1020"/>
                <w:vertAlign w:val="superscript"/>
              </w:rPr>
              <w:t>2</w:t>
            </w:r>
          </w:p>
        </w:tc>
        <w:tc>
          <w:tcPr>
            <w:tcW w:w="1920" w:type="dxa"/>
            <w:vAlign w:val="bottom"/>
          </w:tcPr>
          <w:p>
            <w:pPr>
              <w:jc w:val="right"/>
              <w:spacing w:after="0"/>
              <w:rPr>
                <w:sz w:val="20"/>
                <w:szCs w:val="20"/>
                <w:color w:val="auto"/>
              </w:rPr>
            </w:pPr>
            <w:r>
              <w:rPr>
                <w:rFonts w:ascii="Arial" w:cs="Arial" w:eastAsia="Arial" w:hAnsi="Arial"/>
                <w:sz w:val="14"/>
                <w:szCs w:val="14"/>
                <w:color w:val="0E1020"/>
              </w:rPr>
              <w:t>535,847</w:t>
            </w:r>
          </w:p>
        </w:tc>
        <w:tc>
          <w:tcPr>
            <w:tcW w:w="2340" w:type="dxa"/>
            <w:vAlign w:val="bottom"/>
          </w:tcPr>
          <w:p>
            <w:pPr>
              <w:jc w:val="right"/>
              <w:spacing w:after="0"/>
              <w:rPr>
                <w:sz w:val="20"/>
                <w:szCs w:val="20"/>
                <w:color w:val="auto"/>
              </w:rPr>
            </w:pPr>
            <w:r>
              <w:rPr>
                <w:rFonts w:ascii="Arial" w:cs="Arial" w:eastAsia="Arial" w:hAnsi="Arial"/>
                <w:sz w:val="14"/>
                <w:szCs w:val="14"/>
                <w:color w:val="0E1020"/>
              </w:rPr>
              <w:t>95,917</w:t>
            </w:r>
            <w:r>
              <w:rPr>
                <w:rFonts w:ascii="Arial" w:cs="Arial" w:eastAsia="Arial" w:hAnsi="Arial"/>
                <w:sz w:val="18"/>
                <w:szCs w:val="18"/>
                <w:color w:val="0E1020"/>
                <w:vertAlign w:val="superscript"/>
              </w:rPr>
              <w:t>3</w:t>
            </w:r>
          </w:p>
        </w:tc>
        <w:tc>
          <w:tcPr>
            <w:tcW w:w="2480" w:type="dxa"/>
            <w:vAlign w:val="bottom"/>
          </w:tcPr>
          <w:p>
            <w:pPr>
              <w:jc w:val="right"/>
              <w:ind w:right="149"/>
              <w:spacing w:after="0"/>
              <w:rPr>
                <w:sz w:val="20"/>
                <w:szCs w:val="20"/>
                <w:color w:val="auto"/>
              </w:rPr>
            </w:pPr>
            <w:r>
              <w:rPr>
                <w:rFonts w:ascii="Arial" w:cs="Arial" w:eastAsia="Arial" w:hAnsi="Arial"/>
                <w:sz w:val="14"/>
                <w:szCs w:val="14"/>
                <w:color w:val="0E1020"/>
              </w:rPr>
              <w:t>1,205,677</w:t>
            </w:r>
          </w:p>
        </w:tc>
        <w:tc>
          <w:tcPr>
            <w:tcW w:w="0" w:type="dxa"/>
            <w:vAlign w:val="bottom"/>
          </w:tcPr>
          <w:p>
            <w:pPr>
              <w:spacing w:after="0"/>
              <w:rPr>
                <w:sz w:val="1"/>
                <w:szCs w:val="1"/>
                <w:color w:val="auto"/>
              </w:rPr>
            </w:pPr>
          </w:p>
        </w:tc>
      </w:tr>
      <w:tr>
        <w:trPr>
          <w:trHeight w:val="40"/>
        </w:trPr>
        <w:tc>
          <w:tcPr>
            <w:tcW w:w="1420" w:type="dxa"/>
            <w:vAlign w:val="bottom"/>
            <w:vMerge w:val="continue"/>
          </w:tcPr>
          <w:p>
            <w:pPr>
              <w:spacing w:after="0"/>
              <w:rPr>
                <w:sz w:val="3"/>
                <w:szCs w:val="3"/>
                <w:color w:val="auto"/>
              </w:rPr>
            </w:pPr>
          </w:p>
        </w:tc>
        <w:tc>
          <w:tcPr>
            <w:tcW w:w="1200" w:type="dxa"/>
            <w:vAlign w:val="bottom"/>
            <w:tcBorders>
              <w:bottom w:val="single" w:sz="8" w:color="CFCFD2"/>
            </w:tcBorders>
          </w:tcPr>
          <w:p>
            <w:pPr>
              <w:spacing w:after="0"/>
              <w:rPr>
                <w:sz w:val="3"/>
                <w:szCs w:val="3"/>
                <w:color w:val="auto"/>
              </w:rPr>
            </w:pPr>
          </w:p>
        </w:tc>
        <w:tc>
          <w:tcPr>
            <w:tcW w:w="1880" w:type="dxa"/>
            <w:vAlign w:val="bottom"/>
            <w:tcBorders>
              <w:bottom w:val="single" w:sz="8" w:color="CFCFD2"/>
            </w:tcBorders>
          </w:tcPr>
          <w:p>
            <w:pPr>
              <w:spacing w:after="0"/>
              <w:rPr>
                <w:sz w:val="3"/>
                <w:szCs w:val="3"/>
                <w:color w:val="auto"/>
              </w:rPr>
            </w:pPr>
          </w:p>
        </w:tc>
        <w:tc>
          <w:tcPr>
            <w:tcW w:w="1920" w:type="dxa"/>
            <w:vAlign w:val="bottom"/>
            <w:tcBorders>
              <w:bottom w:val="single" w:sz="8" w:color="CFCFD2"/>
            </w:tcBorders>
          </w:tcPr>
          <w:p>
            <w:pPr>
              <w:spacing w:after="0"/>
              <w:rPr>
                <w:sz w:val="3"/>
                <w:szCs w:val="3"/>
                <w:color w:val="auto"/>
              </w:rPr>
            </w:pPr>
          </w:p>
        </w:tc>
        <w:tc>
          <w:tcPr>
            <w:tcW w:w="2340" w:type="dxa"/>
            <w:vAlign w:val="bottom"/>
            <w:tcBorders>
              <w:bottom w:val="single" w:sz="8" w:color="CFCFD2"/>
            </w:tcBorders>
          </w:tcPr>
          <w:p>
            <w:pPr>
              <w:spacing w:after="0"/>
              <w:rPr>
                <w:sz w:val="3"/>
                <w:szCs w:val="3"/>
                <w:color w:val="auto"/>
              </w:rPr>
            </w:pPr>
          </w:p>
        </w:tc>
        <w:tc>
          <w:tcPr>
            <w:tcW w:w="2480" w:type="dxa"/>
            <w:vAlign w:val="bottom"/>
            <w:tcBorders>
              <w:bottom w:val="single" w:sz="8" w:color="CFCFD2"/>
            </w:tcBorders>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420" w:type="dxa"/>
            <w:vAlign w:val="bottom"/>
          </w:tcPr>
          <w:p>
            <w:pPr>
              <w:ind w:left="100"/>
              <w:spacing w:after="0"/>
              <w:rPr>
                <w:sz w:val="20"/>
                <w:szCs w:val="20"/>
                <w:color w:val="auto"/>
              </w:rPr>
            </w:pPr>
            <w:r>
              <w:rPr>
                <w:rFonts w:ascii="Arial" w:cs="Arial" w:eastAsia="Arial" w:hAnsi="Arial"/>
                <w:sz w:val="14"/>
                <w:szCs w:val="14"/>
                <w:b w:val="1"/>
                <w:bCs w:val="1"/>
                <w:color w:val="004AAC"/>
              </w:rPr>
              <w:t>Fawcett</w:t>
            </w:r>
          </w:p>
        </w:tc>
        <w:tc>
          <w:tcPr>
            <w:tcW w:w="1200" w:type="dxa"/>
            <w:vAlign w:val="bottom"/>
          </w:tcPr>
          <w:p>
            <w:pPr>
              <w:jc w:val="center"/>
              <w:spacing w:after="0"/>
              <w:rPr>
                <w:sz w:val="20"/>
                <w:szCs w:val="20"/>
                <w:color w:val="auto"/>
              </w:rPr>
            </w:pPr>
            <w:r>
              <w:rPr>
                <w:rFonts w:ascii="Arial" w:cs="Arial" w:eastAsia="Arial" w:hAnsi="Arial"/>
                <w:sz w:val="14"/>
                <w:szCs w:val="14"/>
                <w:color w:val="0E1020"/>
              </w:rPr>
              <w:t>5/16/2025</w:t>
            </w:r>
          </w:p>
        </w:tc>
        <w:tc>
          <w:tcPr>
            <w:tcW w:w="1880" w:type="dxa"/>
            <w:vAlign w:val="bottom"/>
          </w:tcPr>
          <w:p>
            <w:pPr>
              <w:jc w:val="right"/>
              <w:spacing w:after="0"/>
              <w:rPr>
                <w:sz w:val="20"/>
                <w:szCs w:val="20"/>
                <w:color w:val="auto"/>
              </w:rPr>
            </w:pPr>
            <w:r>
              <w:rPr>
                <w:rFonts w:ascii="Arial" w:cs="Arial" w:eastAsia="Arial" w:hAnsi="Arial"/>
                <w:sz w:val="14"/>
                <w:szCs w:val="14"/>
                <w:color w:val="0E1020"/>
              </w:rPr>
              <w:t>95,917</w:t>
            </w:r>
            <w:r>
              <w:rPr>
                <w:rFonts w:ascii="Arial" w:cs="Arial" w:eastAsia="Arial" w:hAnsi="Arial"/>
                <w:sz w:val="18"/>
                <w:szCs w:val="18"/>
                <w:color w:val="0E1020"/>
                <w:vertAlign w:val="superscript"/>
              </w:rPr>
              <w:t>2</w:t>
            </w:r>
          </w:p>
        </w:tc>
        <w:tc>
          <w:tcPr>
            <w:tcW w:w="1920" w:type="dxa"/>
            <w:vAlign w:val="bottom"/>
          </w:tcPr>
          <w:p>
            <w:pPr>
              <w:jc w:val="right"/>
              <w:spacing w:after="0"/>
              <w:rPr>
                <w:sz w:val="20"/>
                <w:szCs w:val="20"/>
                <w:color w:val="auto"/>
              </w:rPr>
            </w:pPr>
            <w:r>
              <w:rPr>
                <w:rFonts w:ascii="Arial" w:cs="Arial" w:eastAsia="Arial" w:hAnsi="Arial"/>
                <w:sz w:val="14"/>
                <w:szCs w:val="14"/>
                <w:color w:val="0E1020"/>
              </w:rPr>
              <w:t>1,205,677</w:t>
            </w:r>
          </w:p>
        </w:tc>
        <w:tc>
          <w:tcPr>
            <w:tcW w:w="2340" w:type="dxa"/>
            <w:vAlign w:val="bottom"/>
          </w:tcPr>
          <w:p>
            <w:pPr>
              <w:jc w:val="right"/>
              <w:spacing w:after="0"/>
              <w:rPr>
                <w:sz w:val="20"/>
                <w:szCs w:val="20"/>
                <w:color w:val="auto"/>
              </w:rPr>
            </w:pPr>
            <w:r>
              <w:rPr>
                <w:rFonts w:ascii="Arial" w:cs="Arial" w:eastAsia="Arial" w:hAnsi="Arial"/>
                <w:sz w:val="14"/>
                <w:szCs w:val="14"/>
                <w:color w:val="0E1020"/>
              </w:rPr>
              <w:t>66,692</w:t>
            </w:r>
            <w:r>
              <w:rPr>
                <w:rFonts w:ascii="Arial" w:cs="Arial" w:eastAsia="Arial" w:hAnsi="Arial"/>
                <w:sz w:val="18"/>
                <w:szCs w:val="18"/>
                <w:color w:val="0E1020"/>
                <w:vertAlign w:val="superscript"/>
              </w:rPr>
              <w:t>4</w:t>
            </w:r>
          </w:p>
        </w:tc>
        <w:tc>
          <w:tcPr>
            <w:tcW w:w="2480" w:type="dxa"/>
            <w:vAlign w:val="bottom"/>
          </w:tcPr>
          <w:p>
            <w:pPr>
              <w:jc w:val="right"/>
              <w:ind w:right="149"/>
              <w:spacing w:after="0"/>
              <w:rPr>
                <w:sz w:val="20"/>
                <w:szCs w:val="20"/>
                <w:color w:val="auto"/>
              </w:rPr>
            </w:pPr>
            <w:r>
              <w:rPr>
                <w:rFonts w:ascii="Arial" w:cs="Arial" w:eastAsia="Arial" w:hAnsi="Arial"/>
                <w:sz w:val="14"/>
                <w:szCs w:val="14"/>
                <w:color w:val="0E1020"/>
              </w:rPr>
              <w:t>838,318</w:t>
            </w:r>
          </w:p>
        </w:tc>
        <w:tc>
          <w:tcPr>
            <w:tcW w:w="0" w:type="dxa"/>
            <w:vAlign w:val="bottom"/>
          </w:tcPr>
          <w:p>
            <w:pPr>
              <w:spacing w:after="0"/>
              <w:rPr>
                <w:sz w:val="1"/>
                <w:szCs w:val="1"/>
                <w:color w:val="auto"/>
              </w:rPr>
            </w:pPr>
          </w:p>
        </w:tc>
      </w:tr>
      <w:tr>
        <w:trPr>
          <w:trHeight w:val="32"/>
        </w:trPr>
        <w:tc>
          <w:tcPr>
            <w:tcW w:w="1420" w:type="dxa"/>
            <w:vAlign w:val="bottom"/>
            <w:tcBorders>
              <w:bottom w:val="single" w:sz="8" w:color="CFCFD2"/>
            </w:tcBorders>
          </w:tcPr>
          <w:p>
            <w:pPr>
              <w:spacing w:after="0"/>
              <w:rPr>
                <w:sz w:val="2"/>
                <w:szCs w:val="2"/>
                <w:color w:val="auto"/>
              </w:rPr>
            </w:pPr>
          </w:p>
        </w:tc>
        <w:tc>
          <w:tcPr>
            <w:tcW w:w="1200" w:type="dxa"/>
            <w:vAlign w:val="bottom"/>
            <w:tcBorders>
              <w:bottom w:val="single" w:sz="8" w:color="CFCFD2"/>
            </w:tcBorders>
          </w:tcPr>
          <w:p>
            <w:pPr>
              <w:spacing w:after="0"/>
              <w:rPr>
                <w:sz w:val="2"/>
                <w:szCs w:val="2"/>
                <w:color w:val="auto"/>
              </w:rPr>
            </w:pPr>
          </w:p>
        </w:tc>
        <w:tc>
          <w:tcPr>
            <w:tcW w:w="1880" w:type="dxa"/>
            <w:vAlign w:val="bottom"/>
            <w:tcBorders>
              <w:bottom w:val="single" w:sz="8" w:color="CFCFD2"/>
            </w:tcBorders>
          </w:tcPr>
          <w:p>
            <w:pPr>
              <w:spacing w:after="0"/>
              <w:rPr>
                <w:sz w:val="2"/>
                <w:szCs w:val="2"/>
                <w:color w:val="auto"/>
              </w:rPr>
            </w:pPr>
          </w:p>
        </w:tc>
        <w:tc>
          <w:tcPr>
            <w:tcW w:w="1920" w:type="dxa"/>
            <w:vAlign w:val="bottom"/>
            <w:tcBorders>
              <w:bottom w:val="single" w:sz="8" w:color="CFCFD2"/>
            </w:tcBorders>
          </w:tcPr>
          <w:p>
            <w:pPr>
              <w:spacing w:after="0"/>
              <w:rPr>
                <w:sz w:val="2"/>
                <w:szCs w:val="2"/>
                <w:color w:val="auto"/>
              </w:rPr>
            </w:pPr>
          </w:p>
        </w:tc>
        <w:tc>
          <w:tcPr>
            <w:tcW w:w="2340" w:type="dxa"/>
            <w:vAlign w:val="bottom"/>
            <w:tcBorders>
              <w:bottom w:val="single" w:sz="8" w:color="CFCFD2"/>
            </w:tcBorders>
          </w:tcPr>
          <w:p>
            <w:pPr>
              <w:spacing w:after="0"/>
              <w:rPr>
                <w:sz w:val="2"/>
                <w:szCs w:val="2"/>
                <w:color w:val="auto"/>
              </w:rPr>
            </w:pPr>
          </w:p>
        </w:tc>
        <w:tc>
          <w:tcPr>
            <w:tcW w:w="248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310"/>
        </w:trPr>
        <w:tc>
          <w:tcPr>
            <w:tcW w:w="14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0E1020"/>
              </w:rPr>
              <w:t>10/16/2023</w:t>
            </w:r>
          </w:p>
        </w:tc>
        <w:tc>
          <w:tcPr>
            <w:tcW w:w="1880" w:type="dxa"/>
            <w:vAlign w:val="bottom"/>
          </w:tcPr>
          <w:p>
            <w:pPr>
              <w:jc w:val="right"/>
              <w:spacing w:after="0"/>
              <w:rPr>
                <w:sz w:val="20"/>
                <w:szCs w:val="20"/>
                <w:color w:val="auto"/>
              </w:rPr>
            </w:pPr>
            <w:r>
              <w:rPr>
                <w:rFonts w:ascii="Arial" w:cs="Arial" w:eastAsia="Arial" w:hAnsi="Arial"/>
                <w:sz w:val="14"/>
                <w:szCs w:val="14"/>
                <w:color w:val="0E1020"/>
              </w:rPr>
              <w:t>—</w:t>
            </w:r>
          </w:p>
        </w:tc>
        <w:tc>
          <w:tcPr>
            <w:tcW w:w="1920" w:type="dxa"/>
            <w:vAlign w:val="bottom"/>
          </w:tcPr>
          <w:p>
            <w:pPr>
              <w:jc w:val="right"/>
              <w:spacing w:after="0"/>
              <w:rPr>
                <w:sz w:val="20"/>
                <w:szCs w:val="20"/>
                <w:color w:val="auto"/>
              </w:rPr>
            </w:pPr>
            <w:r>
              <w:rPr>
                <w:rFonts w:ascii="Arial" w:cs="Arial" w:eastAsia="Arial" w:hAnsi="Arial"/>
                <w:sz w:val="14"/>
                <w:szCs w:val="14"/>
                <w:color w:val="0E1020"/>
              </w:rPr>
              <w:t>—</w:t>
            </w:r>
          </w:p>
        </w:tc>
        <w:tc>
          <w:tcPr>
            <w:tcW w:w="2340" w:type="dxa"/>
            <w:vAlign w:val="bottom"/>
          </w:tcPr>
          <w:p>
            <w:pPr>
              <w:jc w:val="right"/>
              <w:spacing w:after="0"/>
              <w:rPr>
                <w:sz w:val="20"/>
                <w:szCs w:val="20"/>
                <w:color w:val="auto"/>
              </w:rPr>
            </w:pPr>
            <w:r>
              <w:rPr>
                <w:rFonts w:ascii="Arial" w:cs="Arial" w:eastAsia="Arial" w:hAnsi="Arial"/>
                <w:sz w:val="14"/>
                <w:szCs w:val="14"/>
                <w:color w:val="0E1020"/>
              </w:rPr>
              <w:t>132,550</w:t>
            </w:r>
            <w:r>
              <w:rPr>
                <w:rFonts w:ascii="Arial" w:cs="Arial" w:eastAsia="Arial" w:hAnsi="Arial"/>
                <w:sz w:val="18"/>
                <w:szCs w:val="18"/>
                <w:color w:val="0E1020"/>
                <w:vertAlign w:val="superscript"/>
              </w:rPr>
              <w:t>5</w:t>
            </w:r>
          </w:p>
        </w:tc>
        <w:tc>
          <w:tcPr>
            <w:tcW w:w="2480" w:type="dxa"/>
            <w:vAlign w:val="bottom"/>
          </w:tcPr>
          <w:p>
            <w:pPr>
              <w:jc w:val="right"/>
              <w:ind w:right="149"/>
              <w:spacing w:after="0"/>
              <w:rPr>
                <w:sz w:val="20"/>
                <w:szCs w:val="20"/>
                <w:color w:val="auto"/>
              </w:rPr>
            </w:pPr>
            <w:r>
              <w:rPr>
                <w:rFonts w:ascii="Arial" w:cs="Arial" w:eastAsia="Arial" w:hAnsi="Arial"/>
                <w:sz w:val="14"/>
                <w:szCs w:val="14"/>
                <w:color w:val="0E1020"/>
              </w:rPr>
              <w:t>1,666,154</w:t>
            </w:r>
          </w:p>
        </w:tc>
        <w:tc>
          <w:tcPr>
            <w:tcW w:w="0" w:type="dxa"/>
            <w:vAlign w:val="bottom"/>
          </w:tcPr>
          <w:p>
            <w:pPr>
              <w:spacing w:after="0"/>
              <w:rPr>
                <w:sz w:val="1"/>
                <w:szCs w:val="1"/>
                <w:color w:val="auto"/>
              </w:rPr>
            </w:pPr>
          </w:p>
        </w:tc>
      </w:tr>
      <w:tr>
        <w:trPr>
          <w:trHeight w:val="32"/>
        </w:trPr>
        <w:tc>
          <w:tcPr>
            <w:tcW w:w="1420" w:type="dxa"/>
            <w:vAlign w:val="bottom"/>
          </w:tcPr>
          <w:p>
            <w:pPr>
              <w:spacing w:after="0"/>
              <w:rPr>
                <w:sz w:val="2"/>
                <w:szCs w:val="2"/>
                <w:color w:val="auto"/>
              </w:rPr>
            </w:pPr>
          </w:p>
        </w:tc>
        <w:tc>
          <w:tcPr>
            <w:tcW w:w="1200" w:type="dxa"/>
            <w:vAlign w:val="bottom"/>
            <w:tcBorders>
              <w:bottom w:val="single" w:sz="8" w:color="CFCFD2"/>
            </w:tcBorders>
          </w:tcPr>
          <w:p>
            <w:pPr>
              <w:spacing w:after="0"/>
              <w:rPr>
                <w:sz w:val="2"/>
                <w:szCs w:val="2"/>
                <w:color w:val="auto"/>
              </w:rPr>
            </w:pPr>
          </w:p>
        </w:tc>
        <w:tc>
          <w:tcPr>
            <w:tcW w:w="1880" w:type="dxa"/>
            <w:vAlign w:val="bottom"/>
            <w:tcBorders>
              <w:bottom w:val="single" w:sz="8" w:color="CFCFD2"/>
            </w:tcBorders>
          </w:tcPr>
          <w:p>
            <w:pPr>
              <w:spacing w:after="0"/>
              <w:rPr>
                <w:sz w:val="2"/>
                <w:szCs w:val="2"/>
                <w:color w:val="auto"/>
              </w:rPr>
            </w:pPr>
          </w:p>
        </w:tc>
        <w:tc>
          <w:tcPr>
            <w:tcW w:w="1920" w:type="dxa"/>
            <w:vAlign w:val="bottom"/>
            <w:tcBorders>
              <w:bottom w:val="single" w:sz="8" w:color="CFCFD2"/>
            </w:tcBorders>
          </w:tcPr>
          <w:p>
            <w:pPr>
              <w:spacing w:after="0"/>
              <w:rPr>
                <w:sz w:val="2"/>
                <w:szCs w:val="2"/>
                <w:color w:val="auto"/>
              </w:rPr>
            </w:pPr>
          </w:p>
        </w:tc>
        <w:tc>
          <w:tcPr>
            <w:tcW w:w="2340" w:type="dxa"/>
            <w:vAlign w:val="bottom"/>
            <w:tcBorders>
              <w:bottom w:val="single" w:sz="8" w:color="CFCFD2"/>
            </w:tcBorders>
          </w:tcPr>
          <w:p>
            <w:pPr>
              <w:spacing w:after="0"/>
              <w:rPr>
                <w:sz w:val="2"/>
                <w:szCs w:val="2"/>
                <w:color w:val="auto"/>
              </w:rPr>
            </w:pPr>
          </w:p>
        </w:tc>
        <w:tc>
          <w:tcPr>
            <w:tcW w:w="248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314"/>
        </w:trPr>
        <w:tc>
          <w:tcPr>
            <w:tcW w:w="1420" w:type="dxa"/>
            <w:vAlign w:val="bottom"/>
          </w:tcPr>
          <w:p>
            <w:pPr>
              <w:ind w:left="100"/>
              <w:spacing w:after="0"/>
              <w:rPr>
                <w:sz w:val="20"/>
                <w:szCs w:val="20"/>
                <w:color w:val="auto"/>
              </w:rPr>
            </w:pPr>
            <w:r>
              <w:rPr>
                <w:rFonts w:ascii="Arial" w:cs="Arial" w:eastAsia="Arial" w:hAnsi="Arial"/>
                <w:sz w:val="14"/>
                <w:szCs w:val="14"/>
                <w:b w:val="1"/>
                <w:bCs w:val="1"/>
                <w:color w:val="004AAC"/>
              </w:rPr>
              <w:t>Howard Boville</w:t>
            </w:r>
            <w:r>
              <w:rPr>
                <w:rFonts w:ascii="Arial" w:cs="Arial" w:eastAsia="Arial" w:hAnsi="Arial"/>
                <w:sz w:val="18"/>
                <w:szCs w:val="18"/>
                <w:b w:val="1"/>
                <w:bCs w:val="1"/>
                <w:color w:val="004AAC"/>
                <w:vertAlign w:val="superscript"/>
              </w:rPr>
              <w:t>(9)</w:t>
            </w:r>
          </w:p>
        </w:tc>
        <w:tc>
          <w:tcPr>
            <w:tcW w:w="1200" w:type="dxa"/>
            <w:vAlign w:val="bottom"/>
          </w:tcPr>
          <w:p>
            <w:pPr>
              <w:jc w:val="center"/>
              <w:spacing w:after="0"/>
              <w:rPr>
                <w:sz w:val="20"/>
                <w:szCs w:val="20"/>
                <w:color w:val="auto"/>
              </w:rPr>
            </w:pPr>
            <w:r>
              <w:rPr>
                <w:rFonts w:ascii="Arial" w:cs="Arial" w:eastAsia="Arial" w:hAnsi="Arial"/>
                <w:sz w:val="14"/>
                <w:szCs w:val="14"/>
                <w:color w:val="0E1020"/>
              </w:rPr>
              <w:t>5/21/2024</w:t>
            </w:r>
          </w:p>
        </w:tc>
        <w:tc>
          <w:tcPr>
            <w:tcW w:w="1880" w:type="dxa"/>
            <w:vAlign w:val="bottom"/>
          </w:tcPr>
          <w:p>
            <w:pPr>
              <w:jc w:val="right"/>
              <w:spacing w:after="0"/>
              <w:rPr>
                <w:sz w:val="20"/>
                <w:szCs w:val="20"/>
                <w:color w:val="auto"/>
              </w:rPr>
            </w:pPr>
            <w:r>
              <w:rPr>
                <w:rFonts w:ascii="Arial" w:cs="Arial" w:eastAsia="Arial" w:hAnsi="Arial"/>
                <w:sz w:val="14"/>
                <w:szCs w:val="14"/>
                <w:color w:val="0E1020"/>
              </w:rPr>
              <w:t>—</w:t>
            </w:r>
          </w:p>
        </w:tc>
        <w:tc>
          <w:tcPr>
            <w:tcW w:w="1920" w:type="dxa"/>
            <w:vAlign w:val="bottom"/>
          </w:tcPr>
          <w:p>
            <w:pPr>
              <w:jc w:val="right"/>
              <w:spacing w:after="0"/>
              <w:rPr>
                <w:sz w:val="20"/>
                <w:szCs w:val="20"/>
                <w:color w:val="auto"/>
              </w:rPr>
            </w:pPr>
            <w:r>
              <w:rPr>
                <w:rFonts w:ascii="Arial" w:cs="Arial" w:eastAsia="Arial" w:hAnsi="Arial"/>
                <w:sz w:val="14"/>
                <w:szCs w:val="14"/>
                <w:color w:val="0E1020"/>
              </w:rPr>
              <w:t>—</w:t>
            </w:r>
          </w:p>
        </w:tc>
        <w:tc>
          <w:tcPr>
            <w:tcW w:w="2340" w:type="dxa"/>
            <w:vAlign w:val="bottom"/>
          </w:tcPr>
          <w:p>
            <w:pPr>
              <w:jc w:val="right"/>
              <w:spacing w:after="0"/>
              <w:rPr>
                <w:sz w:val="20"/>
                <w:szCs w:val="20"/>
                <w:color w:val="auto"/>
              </w:rPr>
            </w:pPr>
            <w:r>
              <w:rPr>
                <w:rFonts w:ascii="Arial" w:cs="Arial" w:eastAsia="Arial" w:hAnsi="Arial"/>
                <w:sz w:val="14"/>
                <w:szCs w:val="14"/>
                <w:color w:val="0E1020"/>
              </w:rPr>
              <w:t>98,376</w:t>
            </w:r>
            <w:r>
              <w:rPr>
                <w:rFonts w:ascii="Arial" w:cs="Arial" w:eastAsia="Arial" w:hAnsi="Arial"/>
                <w:sz w:val="18"/>
                <w:szCs w:val="18"/>
                <w:color w:val="0E1020"/>
                <w:vertAlign w:val="superscript"/>
              </w:rPr>
              <w:t>3</w:t>
            </w:r>
          </w:p>
        </w:tc>
        <w:tc>
          <w:tcPr>
            <w:tcW w:w="2480" w:type="dxa"/>
            <w:vAlign w:val="bottom"/>
          </w:tcPr>
          <w:p>
            <w:pPr>
              <w:jc w:val="right"/>
              <w:ind w:right="149"/>
              <w:spacing w:after="0"/>
              <w:rPr>
                <w:sz w:val="20"/>
                <w:szCs w:val="20"/>
                <w:color w:val="auto"/>
              </w:rPr>
            </w:pPr>
            <w:r>
              <w:rPr>
                <w:rFonts w:ascii="Arial" w:cs="Arial" w:eastAsia="Arial" w:hAnsi="Arial"/>
                <w:sz w:val="14"/>
                <w:szCs w:val="14"/>
                <w:color w:val="0E1020"/>
              </w:rPr>
              <w:t>1,236,586</w:t>
            </w:r>
          </w:p>
        </w:tc>
        <w:tc>
          <w:tcPr>
            <w:tcW w:w="0" w:type="dxa"/>
            <w:vAlign w:val="bottom"/>
          </w:tcPr>
          <w:p>
            <w:pPr>
              <w:spacing w:after="0"/>
              <w:rPr>
                <w:sz w:val="1"/>
                <w:szCs w:val="1"/>
                <w:color w:val="auto"/>
              </w:rPr>
            </w:pPr>
          </w:p>
        </w:tc>
      </w:tr>
      <w:tr>
        <w:trPr>
          <w:trHeight w:val="28"/>
        </w:trPr>
        <w:tc>
          <w:tcPr>
            <w:tcW w:w="1420" w:type="dxa"/>
            <w:vAlign w:val="bottom"/>
          </w:tcPr>
          <w:p>
            <w:pPr>
              <w:spacing w:after="0"/>
              <w:rPr>
                <w:sz w:val="2"/>
                <w:szCs w:val="2"/>
                <w:color w:val="auto"/>
              </w:rPr>
            </w:pPr>
          </w:p>
        </w:tc>
        <w:tc>
          <w:tcPr>
            <w:tcW w:w="1200" w:type="dxa"/>
            <w:vAlign w:val="bottom"/>
            <w:tcBorders>
              <w:bottom w:val="single" w:sz="8" w:color="CFCFD2"/>
            </w:tcBorders>
          </w:tcPr>
          <w:p>
            <w:pPr>
              <w:spacing w:after="0"/>
              <w:rPr>
                <w:sz w:val="2"/>
                <w:szCs w:val="2"/>
                <w:color w:val="auto"/>
              </w:rPr>
            </w:pPr>
          </w:p>
        </w:tc>
        <w:tc>
          <w:tcPr>
            <w:tcW w:w="1880" w:type="dxa"/>
            <w:vAlign w:val="bottom"/>
            <w:tcBorders>
              <w:bottom w:val="single" w:sz="8" w:color="CFCFD2"/>
            </w:tcBorders>
          </w:tcPr>
          <w:p>
            <w:pPr>
              <w:spacing w:after="0"/>
              <w:rPr>
                <w:sz w:val="2"/>
                <w:szCs w:val="2"/>
                <w:color w:val="auto"/>
              </w:rPr>
            </w:pPr>
          </w:p>
        </w:tc>
        <w:tc>
          <w:tcPr>
            <w:tcW w:w="1920" w:type="dxa"/>
            <w:vAlign w:val="bottom"/>
            <w:tcBorders>
              <w:bottom w:val="single" w:sz="8" w:color="CFCFD2"/>
            </w:tcBorders>
          </w:tcPr>
          <w:p>
            <w:pPr>
              <w:spacing w:after="0"/>
              <w:rPr>
                <w:sz w:val="2"/>
                <w:szCs w:val="2"/>
                <w:color w:val="auto"/>
              </w:rPr>
            </w:pPr>
          </w:p>
        </w:tc>
        <w:tc>
          <w:tcPr>
            <w:tcW w:w="2340" w:type="dxa"/>
            <w:vAlign w:val="bottom"/>
            <w:tcBorders>
              <w:bottom w:val="single" w:sz="8" w:color="CFCFD2"/>
            </w:tcBorders>
          </w:tcPr>
          <w:p>
            <w:pPr>
              <w:spacing w:after="0"/>
              <w:rPr>
                <w:sz w:val="2"/>
                <w:szCs w:val="2"/>
                <w:color w:val="auto"/>
              </w:rPr>
            </w:pPr>
          </w:p>
        </w:tc>
        <w:tc>
          <w:tcPr>
            <w:tcW w:w="248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310"/>
        </w:trPr>
        <w:tc>
          <w:tcPr>
            <w:tcW w:w="14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0E1020"/>
              </w:rPr>
              <w:t>5/16/2025</w:t>
            </w:r>
          </w:p>
        </w:tc>
        <w:tc>
          <w:tcPr>
            <w:tcW w:w="1880" w:type="dxa"/>
            <w:vAlign w:val="bottom"/>
          </w:tcPr>
          <w:p>
            <w:pPr>
              <w:jc w:val="right"/>
              <w:spacing w:after="0"/>
              <w:rPr>
                <w:sz w:val="20"/>
                <w:szCs w:val="20"/>
                <w:color w:val="auto"/>
              </w:rPr>
            </w:pPr>
            <w:r>
              <w:rPr>
                <w:rFonts w:ascii="Arial" w:cs="Arial" w:eastAsia="Arial" w:hAnsi="Arial"/>
                <w:sz w:val="14"/>
                <w:szCs w:val="14"/>
                <w:color w:val="0E1020"/>
              </w:rPr>
              <w:t>—</w:t>
            </w:r>
          </w:p>
        </w:tc>
        <w:tc>
          <w:tcPr>
            <w:tcW w:w="1920" w:type="dxa"/>
            <w:vAlign w:val="bottom"/>
          </w:tcPr>
          <w:p>
            <w:pPr>
              <w:jc w:val="right"/>
              <w:spacing w:after="0"/>
              <w:rPr>
                <w:sz w:val="20"/>
                <w:szCs w:val="20"/>
                <w:color w:val="auto"/>
              </w:rPr>
            </w:pPr>
            <w:r>
              <w:rPr>
                <w:rFonts w:ascii="Arial" w:cs="Arial" w:eastAsia="Arial" w:hAnsi="Arial"/>
                <w:sz w:val="14"/>
                <w:szCs w:val="14"/>
                <w:color w:val="0E1020"/>
              </w:rPr>
              <w:t>—</w:t>
            </w:r>
          </w:p>
        </w:tc>
        <w:tc>
          <w:tcPr>
            <w:tcW w:w="2340" w:type="dxa"/>
            <w:vAlign w:val="bottom"/>
          </w:tcPr>
          <w:p>
            <w:pPr>
              <w:jc w:val="right"/>
              <w:spacing w:after="0"/>
              <w:rPr>
                <w:sz w:val="20"/>
                <w:szCs w:val="20"/>
                <w:color w:val="auto"/>
              </w:rPr>
            </w:pPr>
            <w:r>
              <w:rPr>
                <w:rFonts w:ascii="Arial" w:cs="Arial" w:eastAsia="Arial" w:hAnsi="Arial"/>
                <w:sz w:val="14"/>
                <w:szCs w:val="14"/>
                <w:color w:val="0E1020"/>
              </w:rPr>
              <w:t>11,976</w:t>
            </w:r>
            <w:r>
              <w:rPr>
                <w:rFonts w:ascii="Arial" w:cs="Arial" w:eastAsia="Arial" w:hAnsi="Arial"/>
                <w:sz w:val="18"/>
                <w:szCs w:val="18"/>
                <w:color w:val="0E1020"/>
                <w:vertAlign w:val="superscript"/>
              </w:rPr>
              <w:t>4</w:t>
            </w:r>
          </w:p>
        </w:tc>
        <w:tc>
          <w:tcPr>
            <w:tcW w:w="2480" w:type="dxa"/>
            <w:vAlign w:val="bottom"/>
          </w:tcPr>
          <w:p>
            <w:pPr>
              <w:jc w:val="right"/>
              <w:ind w:right="149"/>
              <w:spacing w:after="0"/>
              <w:rPr>
                <w:sz w:val="20"/>
                <w:szCs w:val="20"/>
                <w:color w:val="auto"/>
              </w:rPr>
            </w:pPr>
            <w:r>
              <w:rPr>
                <w:rFonts w:ascii="Arial" w:cs="Arial" w:eastAsia="Arial" w:hAnsi="Arial"/>
                <w:sz w:val="14"/>
                <w:szCs w:val="14"/>
                <w:color w:val="0E1020"/>
              </w:rPr>
              <w:t>150,538</w:t>
            </w:r>
          </w:p>
        </w:tc>
        <w:tc>
          <w:tcPr>
            <w:tcW w:w="0" w:type="dxa"/>
            <w:vAlign w:val="bottom"/>
          </w:tcPr>
          <w:p>
            <w:pPr>
              <w:spacing w:after="0"/>
              <w:rPr>
                <w:sz w:val="1"/>
                <w:szCs w:val="1"/>
                <w:color w:val="auto"/>
              </w:rPr>
            </w:pPr>
          </w:p>
        </w:tc>
      </w:tr>
      <w:tr>
        <w:trPr>
          <w:trHeight w:val="32"/>
        </w:trPr>
        <w:tc>
          <w:tcPr>
            <w:tcW w:w="1420" w:type="dxa"/>
            <w:vAlign w:val="bottom"/>
            <w:tcBorders>
              <w:bottom w:val="single" w:sz="8" w:color="CFCFD2"/>
            </w:tcBorders>
          </w:tcPr>
          <w:p>
            <w:pPr>
              <w:spacing w:after="0"/>
              <w:rPr>
                <w:sz w:val="2"/>
                <w:szCs w:val="2"/>
                <w:color w:val="auto"/>
              </w:rPr>
            </w:pPr>
          </w:p>
        </w:tc>
        <w:tc>
          <w:tcPr>
            <w:tcW w:w="1200" w:type="dxa"/>
            <w:vAlign w:val="bottom"/>
            <w:tcBorders>
              <w:bottom w:val="single" w:sz="8" w:color="CFCFD2"/>
            </w:tcBorders>
          </w:tcPr>
          <w:p>
            <w:pPr>
              <w:spacing w:after="0"/>
              <w:rPr>
                <w:sz w:val="2"/>
                <w:szCs w:val="2"/>
                <w:color w:val="auto"/>
              </w:rPr>
            </w:pPr>
          </w:p>
        </w:tc>
        <w:tc>
          <w:tcPr>
            <w:tcW w:w="1880" w:type="dxa"/>
            <w:vAlign w:val="bottom"/>
            <w:tcBorders>
              <w:bottom w:val="single" w:sz="8" w:color="CFCFD2"/>
            </w:tcBorders>
          </w:tcPr>
          <w:p>
            <w:pPr>
              <w:spacing w:after="0"/>
              <w:rPr>
                <w:sz w:val="2"/>
                <w:szCs w:val="2"/>
                <w:color w:val="auto"/>
              </w:rPr>
            </w:pPr>
          </w:p>
        </w:tc>
        <w:tc>
          <w:tcPr>
            <w:tcW w:w="1920" w:type="dxa"/>
            <w:vAlign w:val="bottom"/>
            <w:tcBorders>
              <w:bottom w:val="single" w:sz="8" w:color="CFCFD2"/>
            </w:tcBorders>
          </w:tcPr>
          <w:p>
            <w:pPr>
              <w:spacing w:after="0"/>
              <w:rPr>
                <w:sz w:val="2"/>
                <w:szCs w:val="2"/>
                <w:color w:val="auto"/>
              </w:rPr>
            </w:pPr>
          </w:p>
        </w:tc>
        <w:tc>
          <w:tcPr>
            <w:tcW w:w="2340" w:type="dxa"/>
            <w:vAlign w:val="bottom"/>
            <w:tcBorders>
              <w:bottom w:val="single" w:sz="8" w:color="CFCFD2"/>
            </w:tcBorders>
          </w:tcPr>
          <w:p>
            <w:pPr>
              <w:spacing w:after="0"/>
              <w:rPr>
                <w:sz w:val="2"/>
                <w:szCs w:val="2"/>
                <w:color w:val="auto"/>
              </w:rPr>
            </w:pPr>
          </w:p>
        </w:tc>
        <w:tc>
          <w:tcPr>
            <w:tcW w:w="248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80" w:right="40" w:hanging="312"/>
        <w:spacing w:after="0" w:line="299" w:lineRule="auto"/>
        <w:tabs>
          <w:tab w:leader="none" w:pos="480" w:val="left"/>
        </w:tabs>
        <w:numPr>
          <w:ilvl w:val="0"/>
          <w:numId w:val="90"/>
        </w:numPr>
        <w:rPr>
          <w:rFonts w:ascii="Arial" w:cs="Arial" w:eastAsia="Arial" w:hAnsi="Arial"/>
          <w:sz w:val="14"/>
          <w:szCs w:val="14"/>
          <w:color w:val="0E1020"/>
        </w:rPr>
      </w:pPr>
      <w:r>
        <w:rPr>
          <w:rFonts w:ascii="Arial" w:cs="Arial" w:eastAsia="Arial" w:hAnsi="Arial"/>
          <w:sz w:val="14"/>
          <w:szCs w:val="14"/>
          <w:color w:val="0E1020"/>
        </w:rPr>
        <w:t>The market value of time-based RSUs shown in column (g) and PSUs shown in Column (i) are based on the $12.57 closing market price of DXC common stock on March 31, 2026.</w:t>
      </w:r>
    </w:p>
    <w:p>
      <w:pPr>
        <w:spacing w:after="0" w:line="1" w:lineRule="exact"/>
        <w:rPr>
          <w:rFonts w:ascii="Arial" w:cs="Arial" w:eastAsia="Arial" w:hAnsi="Arial"/>
          <w:sz w:val="14"/>
          <w:szCs w:val="14"/>
          <w:color w:val="0E1020"/>
        </w:rPr>
      </w:pPr>
    </w:p>
    <w:p>
      <w:pPr>
        <w:ind w:left="480" w:right="80" w:hanging="312"/>
        <w:spacing w:after="0" w:line="299" w:lineRule="auto"/>
        <w:tabs>
          <w:tab w:leader="none" w:pos="453" w:val="left"/>
        </w:tabs>
        <w:numPr>
          <w:ilvl w:val="0"/>
          <w:numId w:val="90"/>
        </w:numPr>
        <w:rPr>
          <w:rFonts w:ascii="Arial" w:cs="Arial" w:eastAsia="Arial" w:hAnsi="Arial"/>
          <w:sz w:val="14"/>
          <w:szCs w:val="14"/>
          <w:color w:val="0E1020"/>
        </w:rPr>
      </w:pPr>
      <w:r>
        <w:rPr>
          <w:rFonts w:ascii="Arial" w:cs="Arial" w:eastAsia="Arial" w:hAnsi="Arial"/>
          <w:sz w:val="14"/>
          <w:szCs w:val="14"/>
          <w:color w:val="0E1020"/>
        </w:rPr>
        <w:t>Represents the remaining unvested portions of the regular-cycle fiscal 2024, 2025, and 2026 RSUs, including the fiscal 2026 front-loaded regular-cycle RSUs for Messrs. Fernandez and Del Bene. All regular-cycle RSUs vest in three equal tranches on the first three anniversaries of the grant date.</w:t>
      </w:r>
    </w:p>
    <w:p>
      <w:pPr>
        <w:spacing w:after="0" w:line="1" w:lineRule="exact"/>
        <w:rPr>
          <w:rFonts w:ascii="Arial" w:cs="Arial" w:eastAsia="Arial" w:hAnsi="Arial"/>
          <w:sz w:val="14"/>
          <w:szCs w:val="14"/>
          <w:color w:val="0E1020"/>
        </w:rPr>
      </w:pPr>
    </w:p>
    <w:p>
      <w:pPr>
        <w:ind w:left="480" w:right="20" w:hanging="312"/>
        <w:spacing w:after="0" w:line="265" w:lineRule="auto"/>
        <w:tabs>
          <w:tab w:leader="none" w:pos="453" w:val="left"/>
        </w:tabs>
        <w:numPr>
          <w:ilvl w:val="0"/>
          <w:numId w:val="90"/>
        </w:numPr>
        <w:rPr>
          <w:rFonts w:ascii="Arial" w:cs="Arial" w:eastAsia="Arial" w:hAnsi="Arial"/>
          <w:sz w:val="14"/>
          <w:szCs w:val="14"/>
          <w:color w:val="0E1020"/>
        </w:rPr>
      </w:pPr>
      <w:r>
        <w:rPr>
          <w:rFonts w:ascii="Arial" w:cs="Arial" w:eastAsia="Arial" w:hAnsi="Arial"/>
          <w:sz w:val="14"/>
          <w:szCs w:val="14"/>
          <w:color w:val="0E1020"/>
        </w:rPr>
        <w:t>Represents the target number of regular-cycle fiscal 2025 PSUs (100% of target) that are subject to performance-based vesting until the end of fiscal 2027. Regular-cycle fiscal 2025 PSUs are earned and vest based on the performance of a 100% weighted metric of cumulative Free Cash Flow with a +/- 20% modifier based on relative Total Shareholder Return performance, as measured over a three-year performance period. The Compensation Committee will make a conclusive determination as to the number of PSUs earned and vested only after the end of fiscal 2027. Vesting based on performance is generally subject to the NEO’s continued employment through the end of the third fiscal year.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89</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97" w:name="page98"/>
    <w:bookmarkEnd w:id="97"/>
    <w:p>
      <w:pPr>
        <w:ind w:left="20"/>
        <w:spacing w:after="0"/>
        <w:tabs>
          <w:tab w:leader="none" w:pos="10100" w:val="left"/>
        </w:tabs>
        <w:rPr>
          <w:sz w:val="20"/>
          <w:szCs w:val="20"/>
          <w:color w:val="auto"/>
        </w:rPr>
      </w:pPr>
      <w:r>
        <w:rPr>
          <w:rFonts w:ascii="Arial" w:cs="Arial" w:eastAsia="Arial" w:hAnsi="Arial"/>
          <w:sz w:val="14"/>
          <w:szCs w:val="14"/>
          <w:color w:val="0E1020"/>
        </w:rPr>
        <w:t>Executive Compensation Tables</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80" w:right="60" w:hanging="312"/>
        <w:spacing w:after="0" w:line="262" w:lineRule="auto"/>
        <w:tabs>
          <w:tab w:leader="none" w:pos="453" w:val="left"/>
        </w:tabs>
        <w:numPr>
          <w:ilvl w:val="0"/>
          <w:numId w:val="91"/>
        </w:numPr>
        <w:rPr>
          <w:rFonts w:ascii="Arial" w:cs="Arial" w:eastAsia="Arial" w:hAnsi="Arial"/>
          <w:sz w:val="14"/>
          <w:szCs w:val="14"/>
          <w:color w:val="0E1020"/>
        </w:rPr>
      </w:pPr>
      <w:r>
        <w:rPr>
          <w:rFonts w:ascii="Arial" w:cs="Arial" w:eastAsia="Arial" w:hAnsi="Arial"/>
          <w:sz w:val="14"/>
          <w:szCs w:val="14"/>
          <w:color w:val="0E1020"/>
        </w:rPr>
        <w:t>Represents the threshold number of regular-cycle fiscal 2026 PSUs (50% of target) that are subject to performance-based vesting until the end of fiscal 2028. Regular-cycle fiscal 2026 PSUs, including the front-loaded regular-cycle fiscal 2026 PSUs for Messrs. Fernandez and Del Bene, are earned and vest based 80% on a cumulative Free Cash Flow (“FCF”) weighted metric’s performance and 20% on a cumulative Revenue weighted metric’s performance, with a modifier of +/- 20% based on relative Total Shareholder Return (“rTSR”) performance, as measured over a three-year performance period. The number of PSUs that may vest ranges from 50% (threshold) to 200% (maximum), inclusive of the modifier. If performance thresholds are not met on either metric, no PSUs vest. If the performance thresholds are met on either metric, the rTSR modifier is then applied, and settlement of any vested shares is made after the end of the third fiscal year. The Compensation Committee will make a conclusive determination as to the number of PSUs earned and vested only after the end of fiscal 2028. Vesting based on performance is generally subject to the NEO’s continued employment through the end of the third fiscal year.</w:t>
      </w:r>
    </w:p>
    <w:p>
      <w:pPr>
        <w:spacing w:after="0" w:line="14" w:lineRule="exact"/>
        <w:rPr>
          <w:rFonts w:ascii="Arial" w:cs="Arial" w:eastAsia="Arial" w:hAnsi="Arial"/>
          <w:sz w:val="14"/>
          <w:szCs w:val="14"/>
          <w:color w:val="0E1020"/>
        </w:rPr>
      </w:pPr>
    </w:p>
    <w:p>
      <w:pPr>
        <w:ind w:left="480" w:right="40" w:hanging="312"/>
        <w:spacing w:after="0" w:line="270" w:lineRule="auto"/>
        <w:tabs>
          <w:tab w:leader="none" w:pos="453" w:val="left"/>
        </w:tabs>
        <w:numPr>
          <w:ilvl w:val="0"/>
          <w:numId w:val="91"/>
        </w:numPr>
        <w:rPr>
          <w:rFonts w:ascii="Arial" w:cs="Arial" w:eastAsia="Arial" w:hAnsi="Arial"/>
          <w:sz w:val="14"/>
          <w:szCs w:val="14"/>
          <w:color w:val="0E1020"/>
        </w:rPr>
      </w:pPr>
      <w:r>
        <w:rPr>
          <w:rFonts w:ascii="Arial" w:cs="Arial" w:eastAsia="Arial" w:hAnsi="Arial"/>
          <w:sz w:val="14"/>
          <w:szCs w:val="14"/>
          <w:color w:val="0E1020"/>
        </w:rPr>
        <w:t>Represents the number of regular-cycle fiscal 2024 PSUs actually earned based on performance through the end of fiscal 2026. Regular-cycle fiscal 2024 PSUs were earned based on the achievement of the maximum 200% vesting of the 50% of target fiscal 2024 PSUs that vested based on cumulative Free Cash Flow performance and 0% vesting of the 50% of target fiscal 2024 PSUs that vested based on relative Total Shareholder Return performance, as measured over the three-year performance period ending March 31, 2026, resulting in the vesting of 100% of target granted shares on May 15, 2026, subsequent to final review and determination by the Compensation Committee after the end of fiscal 2026.</w:t>
      </w:r>
    </w:p>
    <w:p>
      <w:pPr>
        <w:spacing w:after="0" w:line="5" w:lineRule="exact"/>
        <w:rPr>
          <w:rFonts w:ascii="Arial" w:cs="Arial" w:eastAsia="Arial" w:hAnsi="Arial"/>
          <w:sz w:val="14"/>
          <w:szCs w:val="14"/>
          <w:color w:val="0E1020"/>
        </w:rPr>
      </w:pPr>
    </w:p>
    <w:p>
      <w:pPr>
        <w:ind w:left="480" w:right="260" w:hanging="312"/>
        <w:spacing w:after="0" w:line="299" w:lineRule="auto"/>
        <w:tabs>
          <w:tab w:leader="none" w:pos="453" w:val="left"/>
        </w:tabs>
        <w:numPr>
          <w:ilvl w:val="0"/>
          <w:numId w:val="91"/>
        </w:numPr>
        <w:rPr>
          <w:rFonts w:ascii="Arial" w:cs="Arial" w:eastAsia="Arial" w:hAnsi="Arial"/>
          <w:sz w:val="14"/>
          <w:szCs w:val="14"/>
          <w:color w:val="0E1020"/>
        </w:rPr>
      </w:pPr>
      <w:r>
        <w:rPr>
          <w:rFonts w:ascii="Arial" w:cs="Arial" w:eastAsia="Arial" w:hAnsi="Arial"/>
          <w:sz w:val="14"/>
          <w:szCs w:val="14"/>
          <w:color w:val="0E1020"/>
        </w:rPr>
        <w:t>Represents the remaining unvested tranche of the fiscal 2024 new hire inducement RSU grant for Mr. Del Bene, which vests in full on the third anniversary of the grant date.</w:t>
      </w:r>
    </w:p>
    <w:p>
      <w:pPr>
        <w:spacing w:after="0" w:line="1" w:lineRule="exact"/>
        <w:rPr>
          <w:rFonts w:ascii="Arial" w:cs="Arial" w:eastAsia="Arial" w:hAnsi="Arial"/>
          <w:sz w:val="14"/>
          <w:szCs w:val="14"/>
          <w:color w:val="0E1020"/>
        </w:rPr>
      </w:pPr>
    </w:p>
    <w:p>
      <w:pPr>
        <w:ind w:left="480" w:hanging="312"/>
        <w:spacing w:after="0"/>
        <w:tabs>
          <w:tab w:leader="none" w:pos="480" w:val="left"/>
        </w:tabs>
        <w:numPr>
          <w:ilvl w:val="0"/>
          <w:numId w:val="91"/>
        </w:numPr>
        <w:rPr>
          <w:rFonts w:ascii="Arial" w:cs="Arial" w:eastAsia="Arial" w:hAnsi="Arial"/>
          <w:sz w:val="14"/>
          <w:szCs w:val="14"/>
          <w:color w:val="0E1020"/>
        </w:rPr>
      </w:pPr>
      <w:r>
        <w:rPr>
          <w:rFonts w:ascii="Arial" w:cs="Arial" w:eastAsia="Arial" w:hAnsi="Arial"/>
          <w:sz w:val="14"/>
          <w:szCs w:val="14"/>
          <w:color w:val="0E1020"/>
        </w:rPr>
        <w:t>Represents the remaining unvested tranche of the fiscal 2024 retention RSU grant for Mr. August, which vests in full on the third anniversary of the grant date.</w:t>
      </w:r>
    </w:p>
    <w:p>
      <w:pPr>
        <w:spacing w:after="0" w:line="66" w:lineRule="exact"/>
        <w:rPr>
          <w:rFonts w:ascii="Arial" w:cs="Arial" w:eastAsia="Arial" w:hAnsi="Arial"/>
          <w:sz w:val="14"/>
          <w:szCs w:val="14"/>
          <w:color w:val="0E1020"/>
        </w:rPr>
      </w:pPr>
    </w:p>
    <w:p>
      <w:pPr>
        <w:ind w:left="480" w:right="40" w:hanging="312"/>
        <w:spacing w:after="0" w:line="289" w:lineRule="auto"/>
        <w:tabs>
          <w:tab w:leader="none" w:pos="453" w:val="left"/>
        </w:tabs>
        <w:numPr>
          <w:ilvl w:val="0"/>
          <w:numId w:val="91"/>
        </w:numPr>
        <w:rPr>
          <w:rFonts w:ascii="Arial" w:cs="Arial" w:eastAsia="Arial" w:hAnsi="Arial"/>
          <w:sz w:val="14"/>
          <w:szCs w:val="14"/>
          <w:color w:val="0E1020"/>
        </w:rPr>
      </w:pPr>
      <w:r>
        <w:rPr>
          <w:rFonts w:ascii="Arial" w:cs="Arial" w:eastAsia="Arial" w:hAnsi="Arial"/>
          <w:sz w:val="14"/>
          <w:szCs w:val="14"/>
          <w:color w:val="0E1020"/>
        </w:rPr>
        <w:t>Represents the remaining unvested portions of the fiscal 2026 retention RSU grant for Mr. August, which vests in two equal tranches on the first and second anniversaries of the grant date.</w:t>
      </w:r>
    </w:p>
    <w:p>
      <w:pPr>
        <w:spacing w:after="0" w:line="1" w:lineRule="exact"/>
        <w:rPr>
          <w:rFonts w:ascii="Arial" w:cs="Arial" w:eastAsia="Arial" w:hAnsi="Arial"/>
          <w:sz w:val="14"/>
          <w:szCs w:val="14"/>
          <w:color w:val="0E1020"/>
        </w:rPr>
      </w:pPr>
    </w:p>
    <w:p>
      <w:pPr>
        <w:jc w:val="both"/>
        <w:ind w:left="480" w:right="300" w:hanging="312"/>
        <w:spacing w:after="0" w:line="280" w:lineRule="auto"/>
        <w:tabs>
          <w:tab w:leader="none" w:pos="453" w:val="left"/>
        </w:tabs>
        <w:numPr>
          <w:ilvl w:val="0"/>
          <w:numId w:val="91"/>
        </w:numPr>
        <w:rPr>
          <w:rFonts w:ascii="Arial" w:cs="Arial" w:eastAsia="Arial" w:hAnsi="Arial"/>
          <w:sz w:val="14"/>
          <w:szCs w:val="14"/>
          <w:color w:val="0E1020"/>
        </w:rPr>
      </w:pPr>
      <w:r>
        <w:rPr>
          <w:rFonts w:ascii="Arial" w:cs="Arial" w:eastAsia="Arial" w:hAnsi="Arial"/>
          <w:sz w:val="14"/>
          <w:szCs w:val="14"/>
          <w:color w:val="0E1020"/>
        </w:rPr>
        <w:t>Mr. Boville’s regular-cycle fiscal 2024 PSUs, fiscal 2025 PSUs, and fiscal 2026 PSUs represent prorated amounts based on his full months of service in the respective performance periods, which remained outstanding after his July 1, 2025 separation of service date and vest after the respective performance periods based on actual performance, per the severance terms of Mr. Boville’s individual offer letter.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Option Exercises and Stock Vested</w:t>
      </w:r>
    </w:p>
    <w:p>
      <w:pPr>
        <w:spacing w:after="0" w:line="148" w:lineRule="exact"/>
        <w:rPr>
          <w:sz w:val="20"/>
          <w:szCs w:val="20"/>
          <w:color w:val="auto"/>
        </w:rPr>
      </w:pPr>
    </w:p>
    <w:p>
      <w:pPr>
        <w:ind w:right="160"/>
        <w:spacing w:after="0" w:line="335" w:lineRule="auto"/>
        <w:rPr>
          <w:sz w:val="20"/>
          <w:szCs w:val="20"/>
          <w:color w:val="auto"/>
        </w:rPr>
      </w:pPr>
      <w:r>
        <w:rPr>
          <w:rFonts w:ascii="Arial" w:cs="Arial" w:eastAsia="Arial" w:hAnsi="Arial"/>
          <w:sz w:val="16"/>
          <w:szCs w:val="16"/>
          <w:color w:val="0E1020"/>
        </w:rPr>
        <w:t>The following table provides information on RSUs and PSUs previously granted to the NEOs that vested and were acquired during fiscal 2026, which ended March 31, 2026. No NEOs were granted stock options in fiscal 2026, nor in any prior fiscal years.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000" w:type="dxa"/>
            <w:vAlign w:val="bottom"/>
            <w:shd w:val="clear" w:color="auto" w:fill="F6F3F0"/>
          </w:tcPr>
          <w:p>
            <w:pPr>
              <w:spacing w:after="0"/>
              <w:rPr>
                <w:sz w:val="23"/>
                <w:szCs w:val="23"/>
                <w:color w:val="auto"/>
              </w:rPr>
            </w:pPr>
          </w:p>
        </w:tc>
        <w:tc>
          <w:tcPr>
            <w:tcW w:w="3120" w:type="dxa"/>
            <w:vAlign w:val="bottom"/>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Stock Awards</w:t>
            </w:r>
          </w:p>
        </w:tc>
        <w:tc>
          <w:tcPr>
            <w:tcW w:w="1980" w:type="dxa"/>
            <w:vAlign w:val="bottom"/>
            <w:shd w:val="clear" w:color="auto" w:fill="F6F3F0"/>
          </w:tcPr>
          <w:p>
            <w:pPr>
              <w:spacing w:after="0"/>
              <w:rPr>
                <w:sz w:val="23"/>
                <w:szCs w:val="23"/>
                <w:color w:val="auto"/>
              </w:rPr>
            </w:pPr>
          </w:p>
        </w:tc>
        <w:tc>
          <w:tcPr>
            <w:tcW w:w="140" w:type="dxa"/>
            <w:vAlign w:val="bottom"/>
            <w:shd w:val="clear" w:color="auto" w:fill="F6F3F0"/>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6000" w:type="dxa"/>
            <w:vAlign w:val="bottom"/>
            <w:tcBorders>
              <w:bottom w:val="single" w:sz="8" w:color="F6F3F0"/>
            </w:tcBorders>
            <w:shd w:val="clear" w:color="auto" w:fill="F6F3F0"/>
          </w:tcPr>
          <w:p>
            <w:pPr>
              <w:spacing w:after="0"/>
              <w:rPr>
                <w:sz w:val="5"/>
                <w:szCs w:val="5"/>
                <w:color w:val="auto"/>
              </w:rPr>
            </w:pPr>
          </w:p>
        </w:tc>
        <w:tc>
          <w:tcPr>
            <w:tcW w:w="3120" w:type="dxa"/>
            <w:vAlign w:val="bottom"/>
            <w:tcBorders>
              <w:bottom w:val="single" w:sz="8" w:color="CFCFD2"/>
            </w:tcBorders>
            <w:shd w:val="clear" w:color="auto" w:fill="F6F3F0"/>
          </w:tcPr>
          <w:p>
            <w:pPr>
              <w:spacing w:after="0"/>
              <w:rPr>
                <w:sz w:val="5"/>
                <w:szCs w:val="5"/>
                <w:color w:val="auto"/>
              </w:rPr>
            </w:pPr>
          </w:p>
        </w:tc>
        <w:tc>
          <w:tcPr>
            <w:tcW w:w="1980" w:type="dxa"/>
            <w:vAlign w:val="bottom"/>
            <w:tcBorders>
              <w:bottom w:val="single" w:sz="8" w:color="CFCFD2"/>
            </w:tcBorders>
            <w:shd w:val="clear" w:color="auto" w:fill="F6F3F0"/>
          </w:tcPr>
          <w:p>
            <w:pPr>
              <w:spacing w:after="0"/>
              <w:rPr>
                <w:sz w:val="5"/>
                <w:szCs w:val="5"/>
                <w:color w:val="auto"/>
              </w:rPr>
            </w:pPr>
          </w:p>
        </w:tc>
        <w:tc>
          <w:tcPr>
            <w:tcW w:w="140" w:type="dxa"/>
            <w:vAlign w:val="bottom"/>
            <w:tcBorders>
              <w:bottom w:val="single" w:sz="8" w:color="CFCFD2"/>
            </w:tcBorders>
            <w:shd w:val="clear" w:color="auto" w:fill="F6F3F0"/>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6000" w:type="dxa"/>
            <w:vAlign w:val="bottom"/>
            <w:shd w:val="clear" w:color="auto" w:fill="F6F3F0"/>
          </w:tcPr>
          <w:p>
            <w:pPr>
              <w:spacing w:after="0"/>
              <w:rPr>
                <w:sz w:val="19"/>
                <w:szCs w:val="19"/>
                <w:color w:val="auto"/>
              </w:rPr>
            </w:pPr>
          </w:p>
        </w:tc>
        <w:tc>
          <w:tcPr>
            <w:tcW w:w="3120" w:type="dxa"/>
            <w:vAlign w:val="bottom"/>
            <w:shd w:val="clear" w:color="auto" w:fill="F6F3F0"/>
          </w:tcPr>
          <w:p>
            <w:pPr>
              <w:jc w:val="right"/>
              <w:ind w:right="449"/>
              <w:spacing w:after="0"/>
              <w:rPr>
                <w:sz w:val="20"/>
                <w:szCs w:val="20"/>
                <w:color w:val="auto"/>
              </w:rPr>
            </w:pPr>
            <w:r>
              <w:rPr>
                <w:rFonts w:ascii="Arial" w:cs="Arial" w:eastAsia="Arial" w:hAnsi="Arial"/>
                <w:sz w:val="14"/>
                <w:szCs w:val="14"/>
                <w:b w:val="1"/>
                <w:bCs w:val="1"/>
                <w:color w:val="0E1020"/>
              </w:rPr>
              <w:t>Number of Shares Acquired on</w:t>
            </w:r>
          </w:p>
        </w:tc>
        <w:tc>
          <w:tcPr>
            <w:tcW w:w="1980" w:type="dxa"/>
            <w:vAlign w:val="bottom"/>
            <w:vMerge w:val="restart"/>
            <w:shd w:val="clear" w:color="auto" w:fill="F6F3F0"/>
          </w:tcPr>
          <w:p>
            <w:pPr>
              <w:jc w:val="right"/>
              <w:spacing w:after="0"/>
              <w:rPr>
                <w:sz w:val="20"/>
                <w:szCs w:val="20"/>
                <w:color w:val="auto"/>
              </w:rPr>
            </w:pPr>
            <w:r>
              <w:rPr>
                <w:rFonts w:ascii="Arial" w:cs="Arial" w:eastAsia="Arial" w:hAnsi="Arial"/>
                <w:sz w:val="14"/>
                <w:szCs w:val="14"/>
                <w:b w:val="1"/>
                <w:bCs w:val="1"/>
                <w:color w:val="0E1020"/>
              </w:rPr>
              <w:t>Value Realized on Vesting</w:t>
            </w:r>
            <w:r>
              <w:rPr>
                <w:rFonts w:ascii="Arial" w:cs="Arial" w:eastAsia="Arial" w:hAnsi="Arial"/>
                <w:sz w:val="9"/>
                <w:szCs w:val="9"/>
                <w:b w:val="1"/>
                <w:bCs w:val="1"/>
                <w:color w:val="0E1020"/>
              </w:rPr>
              <w:t>(1)</w:t>
            </w:r>
          </w:p>
        </w:tc>
        <w:tc>
          <w:tcPr>
            <w:tcW w:w="140" w:type="dxa"/>
            <w:vAlign w:val="bottom"/>
            <w:shd w:val="clear" w:color="auto" w:fill="F6F3F0"/>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6000" w:type="dxa"/>
            <w:vAlign w:val="bottom"/>
            <w:shd w:val="clear" w:color="auto" w:fill="F6F3F0"/>
          </w:tcPr>
          <w:p>
            <w:pPr>
              <w:spacing w:after="0"/>
              <w:rPr>
                <w:sz w:val="13"/>
                <w:szCs w:val="13"/>
                <w:color w:val="auto"/>
              </w:rPr>
            </w:pPr>
          </w:p>
        </w:tc>
        <w:tc>
          <w:tcPr>
            <w:tcW w:w="3120" w:type="dxa"/>
            <w:vAlign w:val="bottom"/>
            <w:shd w:val="clear" w:color="auto" w:fill="F6F3F0"/>
          </w:tcPr>
          <w:p>
            <w:pPr>
              <w:jc w:val="right"/>
              <w:ind w:right="449"/>
              <w:spacing w:after="0"/>
              <w:rPr>
                <w:sz w:val="20"/>
                <w:szCs w:val="20"/>
                <w:color w:val="auto"/>
              </w:rPr>
            </w:pPr>
            <w:r>
              <w:rPr>
                <w:rFonts w:ascii="Arial" w:cs="Arial" w:eastAsia="Arial" w:hAnsi="Arial"/>
                <w:sz w:val="14"/>
                <w:szCs w:val="14"/>
                <w:b w:val="1"/>
                <w:bCs w:val="1"/>
                <w:color w:val="0E1020"/>
              </w:rPr>
              <w:t>Vesting</w:t>
            </w:r>
          </w:p>
        </w:tc>
        <w:tc>
          <w:tcPr>
            <w:tcW w:w="1980" w:type="dxa"/>
            <w:vAlign w:val="bottom"/>
            <w:vMerge w:val="continue"/>
            <w:shd w:val="clear" w:color="auto" w:fill="F6F3F0"/>
          </w:tcPr>
          <w:p>
            <w:pPr>
              <w:spacing w:after="0"/>
              <w:rPr>
                <w:sz w:val="13"/>
                <w:szCs w:val="13"/>
                <w:color w:val="auto"/>
              </w:rPr>
            </w:pPr>
          </w:p>
        </w:tc>
        <w:tc>
          <w:tcPr>
            <w:tcW w:w="140" w:type="dxa"/>
            <w:vAlign w:val="bottom"/>
            <w:shd w:val="clear" w:color="auto" w:fill="F6F3F0"/>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6000" w:type="dxa"/>
            <w:vAlign w:val="bottom"/>
            <w:tcBorders>
              <w:bottom w:val="single" w:sz="8" w:color="F6F3F0"/>
            </w:tcBorders>
            <w:shd w:val="clear" w:color="auto" w:fill="F6F3F0"/>
          </w:tcPr>
          <w:p>
            <w:pPr>
              <w:spacing w:after="0"/>
              <w:rPr>
                <w:sz w:val="22"/>
                <w:szCs w:val="22"/>
                <w:color w:val="auto"/>
              </w:rPr>
            </w:pPr>
          </w:p>
        </w:tc>
        <w:tc>
          <w:tcPr>
            <w:tcW w:w="3120" w:type="dxa"/>
            <w:vAlign w:val="bottom"/>
            <w:tcBorders>
              <w:bottom w:val="single" w:sz="8" w:color="F6F3F0"/>
            </w:tcBorders>
            <w:shd w:val="clear" w:color="auto" w:fill="F6F3F0"/>
          </w:tcPr>
          <w:p>
            <w:pPr>
              <w:jc w:val="right"/>
              <w:ind w:right="449"/>
              <w:spacing w:after="0"/>
              <w:rPr>
                <w:sz w:val="20"/>
                <w:szCs w:val="20"/>
                <w:color w:val="auto"/>
              </w:rPr>
            </w:pPr>
            <w:r>
              <w:rPr>
                <w:rFonts w:ascii="Arial" w:cs="Arial" w:eastAsia="Arial" w:hAnsi="Arial"/>
                <w:sz w:val="14"/>
                <w:szCs w:val="14"/>
                <w:b w:val="1"/>
                <w:bCs w:val="1"/>
                <w:color w:val="0E1020"/>
              </w:rPr>
              <w:t>(#)</w:t>
            </w:r>
          </w:p>
        </w:tc>
        <w:tc>
          <w:tcPr>
            <w:tcW w:w="198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140" w:type="dxa"/>
            <w:vAlign w:val="bottom"/>
            <w:tcBorders>
              <w:bottom w:val="single" w:sz="8" w:color="F6F3F0"/>
            </w:tcBorders>
            <w:shd w:val="clear" w:color="auto" w:fill="F6F3F0"/>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000" w:type="dxa"/>
            <w:vAlign w:val="bottom"/>
            <w:tcBorders>
              <w:top w:val="single" w:sz="8" w:color="CFCFD2"/>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Raul J. Fernandez</w:t>
            </w:r>
          </w:p>
        </w:tc>
        <w:tc>
          <w:tcPr>
            <w:tcW w:w="3120" w:type="dxa"/>
            <w:vAlign w:val="bottom"/>
            <w:tcBorders>
              <w:top w:val="single" w:sz="8" w:color="CFCFD2"/>
              <w:bottom w:val="single" w:sz="8" w:color="CFCFD2"/>
            </w:tcBorders>
          </w:tcPr>
          <w:p>
            <w:pPr>
              <w:jc w:val="right"/>
              <w:ind w:right="509"/>
              <w:spacing w:after="0"/>
              <w:rPr>
                <w:sz w:val="20"/>
                <w:szCs w:val="20"/>
                <w:color w:val="auto"/>
              </w:rPr>
            </w:pPr>
            <w:r>
              <w:rPr>
                <w:rFonts w:ascii="Arial" w:cs="Arial" w:eastAsia="Arial" w:hAnsi="Arial"/>
                <w:sz w:val="14"/>
                <w:szCs w:val="14"/>
                <w:color w:val="0E1020"/>
              </w:rPr>
              <w:t>73,537</w:t>
            </w:r>
          </w:p>
        </w:tc>
        <w:tc>
          <w:tcPr>
            <w:tcW w:w="1980" w:type="dxa"/>
            <w:vAlign w:val="bottom"/>
            <w:tcBorders>
              <w:top w:val="single" w:sz="8" w:color="CFCFD2"/>
              <w:bottom w:val="single" w:sz="8" w:color="CFCFD2"/>
            </w:tcBorders>
          </w:tcPr>
          <w:p>
            <w:pPr>
              <w:jc w:val="right"/>
              <w:ind w:right="9"/>
              <w:spacing w:after="0"/>
              <w:rPr>
                <w:sz w:val="20"/>
                <w:szCs w:val="20"/>
                <w:color w:val="auto"/>
              </w:rPr>
            </w:pPr>
            <w:r>
              <w:rPr>
                <w:rFonts w:ascii="Arial" w:cs="Arial" w:eastAsia="Arial" w:hAnsi="Arial"/>
                <w:sz w:val="14"/>
                <w:szCs w:val="14"/>
                <w:color w:val="0E1020"/>
              </w:rPr>
              <w:t>1,085,406</w:t>
            </w:r>
          </w:p>
        </w:tc>
        <w:tc>
          <w:tcPr>
            <w:tcW w:w="140" w:type="dxa"/>
            <w:vAlign w:val="bottom"/>
            <w:tcBorders>
              <w:top w:val="single" w:sz="8" w:color="CFCFD2"/>
              <w:bottom w:val="single" w:sz="8" w:color="CFCFD2"/>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0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Robert Del Bene</w:t>
            </w:r>
          </w:p>
        </w:tc>
        <w:tc>
          <w:tcPr>
            <w:tcW w:w="3120" w:type="dxa"/>
            <w:vAlign w:val="bottom"/>
            <w:tcBorders>
              <w:bottom w:val="single" w:sz="8" w:color="CFCFD2"/>
            </w:tcBorders>
          </w:tcPr>
          <w:p>
            <w:pPr>
              <w:jc w:val="right"/>
              <w:ind w:right="509"/>
              <w:spacing w:after="0"/>
              <w:rPr>
                <w:sz w:val="20"/>
                <w:szCs w:val="20"/>
                <w:color w:val="auto"/>
              </w:rPr>
            </w:pPr>
            <w:r>
              <w:rPr>
                <w:rFonts w:ascii="Arial" w:cs="Arial" w:eastAsia="Arial" w:hAnsi="Arial"/>
                <w:sz w:val="14"/>
                <w:szCs w:val="14"/>
                <w:color w:val="0E1020"/>
              </w:rPr>
              <w:t>67,379</w:t>
            </w:r>
          </w:p>
        </w:tc>
        <w:tc>
          <w:tcPr>
            <w:tcW w:w="1980" w:type="dxa"/>
            <w:vAlign w:val="bottom"/>
            <w:tcBorders>
              <w:bottom w:val="single" w:sz="8" w:color="CFCFD2"/>
            </w:tcBorders>
          </w:tcPr>
          <w:p>
            <w:pPr>
              <w:jc w:val="right"/>
              <w:ind w:right="9"/>
              <w:spacing w:after="0"/>
              <w:rPr>
                <w:sz w:val="20"/>
                <w:szCs w:val="20"/>
                <w:color w:val="auto"/>
              </w:rPr>
            </w:pPr>
            <w:r>
              <w:rPr>
                <w:rFonts w:ascii="Arial" w:cs="Arial" w:eastAsia="Arial" w:hAnsi="Arial"/>
                <w:sz w:val="14"/>
                <w:szCs w:val="14"/>
                <w:color w:val="0E1020"/>
              </w:rPr>
              <w:t>988,408</w:t>
            </w:r>
          </w:p>
        </w:tc>
        <w:tc>
          <w:tcPr>
            <w:tcW w:w="140" w:type="dxa"/>
            <w:vAlign w:val="bottom"/>
            <w:tcBorders>
              <w:bottom w:val="single" w:sz="8" w:color="CFCFD2"/>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00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Christopher Drumgoole</w:t>
            </w:r>
          </w:p>
        </w:tc>
        <w:tc>
          <w:tcPr>
            <w:tcW w:w="3120" w:type="dxa"/>
            <w:vAlign w:val="bottom"/>
            <w:tcBorders>
              <w:bottom w:val="single" w:sz="8" w:color="CFCFD2"/>
            </w:tcBorders>
          </w:tcPr>
          <w:p>
            <w:pPr>
              <w:jc w:val="right"/>
              <w:ind w:right="509"/>
              <w:spacing w:after="0"/>
              <w:rPr>
                <w:sz w:val="20"/>
                <w:szCs w:val="20"/>
                <w:color w:val="auto"/>
              </w:rPr>
            </w:pPr>
            <w:r>
              <w:rPr>
                <w:rFonts w:ascii="Arial" w:cs="Arial" w:eastAsia="Arial" w:hAnsi="Arial"/>
                <w:sz w:val="14"/>
                <w:szCs w:val="14"/>
                <w:color w:val="0E1020"/>
              </w:rPr>
              <w:t>100,656</w:t>
            </w:r>
          </w:p>
        </w:tc>
        <w:tc>
          <w:tcPr>
            <w:tcW w:w="1980" w:type="dxa"/>
            <w:vAlign w:val="bottom"/>
            <w:tcBorders>
              <w:bottom w:val="single" w:sz="8" w:color="CFCFD2"/>
            </w:tcBorders>
          </w:tcPr>
          <w:p>
            <w:pPr>
              <w:jc w:val="right"/>
              <w:ind w:right="9"/>
              <w:spacing w:after="0"/>
              <w:rPr>
                <w:sz w:val="20"/>
                <w:szCs w:val="20"/>
                <w:color w:val="auto"/>
              </w:rPr>
            </w:pPr>
            <w:r>
              <w:rPr>
                <w:rFonts w:ascii="Arial" w:cs="Arial" w:eastAsia="Arial" w:hAnsi="Arial"/>
                <w:sz w:val="14"/>
                <w:szCs w:val="14"/>
                <w:color w:val="0E1020"/>
              </w:rPr>
              <w:t>1,488,820</w:t>
            </w:r>
          </w:p>
        </w:tc>
        <w:tc>
          <w:tcPr>
            <w:tcW w:w="140" w:type="dxa"/>
            <w:vAlign w:val="bottom"/>
            <w:tcBorders>
              <w:bottom w:val="single" w:sz="8" w:color="CFCFD2"/>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00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Raymond A. August</w:t>
            </w:r>
          </w:p>
        </w:tc>
        <w:tc>
          <w:tcPr>
            <w:tcW w:w="3120" w:type="dxa"/>
            <w:vAlign w:val="bottom"/>
            <w:tcBorders>
              <w:bottom w:val="single" w:sz="8" w:color="CFCFD2"/>
            </w:tcBorders>
          </w:tcPr>
          <w:p>
            <w:pPr>
              <w:jc w:val="right"/>
              <w:ind w:right="509"/>
              <w:spacing w:after="0"/>
              <w:rPr>
                <w:sz w:val="20"/>
                <w:szCs w:val="20"/>
                <w:color w:val="auto"/>
              </w:rPr>
            </w:pPr>
            <w:r>
              <w:rPr>
                <w:rFonts w:ascii="Arial" w:cs="Arial" w:eastAsia="Arial" w:hAnsi="Arial"/>
                <w:sz w:val="14"/>
                <w:szCs w:val="14"/>
                <w:color w:val="0E1020"/>
              </w:rPr>
              <w:t>88,421</w:t>
            </w:r>
          </w:p>
        </w:tc>
        <w:tc>
          <w:tcPr>
            <w:tcW w:w="1980" w:type="dxa"/>
            <w:vAlign w:val="bottom"/>
            <w:tcBorders>
              <w:bottom w:val="single" w:sz="8" w:color="CFCFD2"/>
            </w:tcBorders>
          </w:tcPr>
          <w:p>
            <w:pPr>
              <w:jc w:val="right"/>
              <w:ind w:right="9"/>
              <w:spacing w:after="0"/>
              <w:rPr>
                <w:sz w:val="20"/>
                <w:szCs w:val="20"/>
                <w:color w:val="auto"/>
              </w:rPr>
            </w:pPr>
            <w:r>
              <w:rPr>
                <w:rFonts w:ascii="Arial" w:cs="Arial" w:eastAsia="Arial" w:hAnsi="Arial"/>
                <w:sz w:val="14"/>
                <w:szCs w:val="14"/>
                <w:color w:val="0E1020"/>
              </w:rPr>
              <w:t>1,319,954</w:t>
            </w:r>
          </w:p>
        </w:tc>
        <w:tc>
          <w:tcPr>
            <w:tcW w:w="140" w:type="dxa"/>
            <w:vAlign w:val="bottom"/>
            <w:tcBorders>
              <w:bottom w:val="single" w:sz="8" w:color="CFCFD2"/>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00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Matthew K. Fawcett</w:t>
            </w:r>
          </w:p>
        </w:tc>
        <w:tc>
          <w:tcPr>
            <w:tcW w:w="3120" w:type="dxa"/>
            <w:vAlign w:val="bottom"/>
            <w:tcBorders>
              <w:bottom w:val="single" w:sz="8" w:color="CFCFD2"/>
            </w:tcBorders>
          </w:tcPr>
          <w:p>
            <w:pPr>
              <w:jc w:val="right"/>
              <w:ind w:right="509"/>
              <w:spacing w:after="0"/>
              <w:rPr>
                <w:sz w:val="20"/>
                <w:szCs w:val="20"/>
                <w:color w:val="auto"/>
              </w:rPr>
            </w:pPr>
            <w:r>
              <w:rPr>
                <w:rFonts w:ascii="Arial" w:cs="Arial" w:eastAsia="Arial" w:hAnsi="Arial"/>
                <w:sz w:val="14"/>
                <w:szCs w:val="14"/>
                <w:color w:val="0E1020"/>
              </w:rPr>
              <w:t>21,316</w:t>
            </w:r>
          </w:p>
        </w:tc>
        <w:tc>
          <w:tcPr>
            <w:tcW w:w="1980" w:type="dxa"/>
            <w:vAlign w:val="bottom"/>
            <w:tcBorders>
              <w:bottom w:val="single" w:sz="8" w:color="CFCFD2"/>
            </w:tcBorders>
          </w:tcPr>
          <w:p>
            <w:pPr>
              <w:jc w:val="right"/>
              <w:ind w:right="9"/>
              <w:spacing w:after="0"/>
              <w:rPr>
                <w:sz w:val="20"/>
                <w:szCs w:val="20"/>
                <w:color w:val="auto"/>
              </w:rPr>
            </w:pPr>
            <w:r>
              <w:rPr>
                <w:rFonts w:ascii="Arial" w:cs="Arial" w:eastAsia="Arial" w:hAnsi="Arial"/>
                <w:sz w:val="14"/>
                <w:szCs w:val="14"/>
                <w:color w:val="0E1020"/>
              </w:rPr>
              <w:t>314,624</w:t>
            </w:r>
          </w:p>
        </w:tc>
        <w:tc>
          <w:tcPr>
            <w:tcW w:w="140" w:type="dxa"/>
            <w:vAlign w:val="bottom"/>
            <w:tcBorders>
              <w:bottom w:val="single" w:sz="8" w:color="CFCFD2"/>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00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Howard Boville</w:t>
            </w:r>
          </w:p>
        </w:tc>
        <w:tc>
          <w:tcPr>
            <w:tcW w:w="3120" w:type="dxa"/>
            <w:vAlign w:val="bottom"/>
            <w:tcBorders>
              <w:bottom w:val="single" w:sz="8" w:color="CFCFD2"/>
            </w:tcBorders>
          </w:tcPr>
          <w:p>
            <w:pPr>
              <w:jc w:val="right"/>
              <w:ind w:right="509"/>
              <w:spacing w:after="0"/>
              <w:rPr>
                <w:sz w:val="20"/>
                <w:szCs w:val="20"/>
                <w:color w:val="auto"/>
              </w:rPr>
            </w:pPr>
            <w:r>
              <w:rPr>
                <w:rFonts w:ascii="Arial" w:cs="Arial" w:eastAsia="Arial" w:hAnsi="Arial"/>
                <w:sz w:val="14"/>
                <w:szCs w:val="14"/>
                <w:color w:val="0E1020"/>
              </w:rPr>
              <w:t>94,293</w:t>
            </w:r>
          </w:p>
        </w:tc>
        <w:tc>
          <w:tcPr>
            <w:tcW w:w="1980" w:type="dxa"/>
            <w:vAlign w:val="bottom"/>
            <w:tcBorders>
              <w:bottom w:val="single" w:sz="8" w:color="CFCFD2"/>
            </w:tcBorders>
          </w:tcPr>
          <w:p>
            <w:pPr>
              <w:jc w:val="right"/>
              <w:ind w:right="9"/>
              <w:spacing w:after="0"/>
              <w:rPr>
                <w:sz w:val="20"/>
                <w:szCs w:val="20"/>
                <w:color w:val="auto"/>
              </w:rPr>
            </w:pPr>
            <w:r>
              <w:rPr>
                <w:rFonts w:ascii="Arial" w:cs="Arial" w:eastAsia="Arial" w:hAnsi="Arial"/>
                <w:sz w:val="14"/>
                <w:szCs w:val="14"/>
                <w:color w:val="0E1020"/>
              </w:rPr>
              <w:t>1,372,943</w:t>
            </w:r>
          </w:p>
        </w:tc>
        <w:tc>
          <w:tcPr>
            <w:tcW w:w="140" w:type="dxa"/>
            <w:vAlign w:val="bottom"/>
            <w:tcBorders>
              <w:bottom w:val="single" w:sz="8" w:color="CFCFD2"/>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00" w:hanging="332"/>
        <w:spacing w:after="0"/>
        <w:tabs>
          <w:tab w:leader="none" w:pos="500" w:val="left"/>
        </w:tabs>
        <w:numPr>
          <w:ilvl w:val="0"/>
          <w:numId w:val="92"/>
        </w:numPr>
        <w:rPr>
          <w:rFonts w:ascii="Arial" w:cs="Arial" w:eastAsia="Arial" w:hAnsi="Arial"/>
          <w:sz w:val="14"/>
          <w:szCs w:val="14"/>
          <w:color w:val="0E1020"/>
        </w:rPr>
      </w:pPr>
      <w:r>
        <w:rPr>
          <w:rFonts w:ascii="Arial" w:cs="Arial" w:eastAsia="Arial" w:hAnsi="Arial"/>
          <w:sz w:val="14"/>
          <w:szCs w:val="14"/>
          <w:color w:val="0E1020"/>
        </w:rPr>
        <w:t>The values in this column equal the aggregate number of shares vested multiplied by the closing price of DXC’s common stock on the applicable vesting date(s).</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Pension Benefits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E1020"/>
        </w:rPr>
        <w:t>Our NEOs did not participate in any qualified or nonqualified defined-benefit pension plan during fiscal 2026.</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90</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98" w:name="page99"/>
    <w:bookmarkEnd w:id="98"/>
    <w:p>
      <w:pPr>
        <w:ind w:left="20"/>
        <w:spacing w:after="0"/>
        <w:tabs>
          <w:tab w:leader="none" w:pos="918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0E1020"/>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Fiscal 2026 Nonqualified Deferred Compensation</w:t>
      </w:r>
    </w:p>
    <w:p>
      <w:pPr>
        <w:spacing w:after="0" w:line="148" w:lineRule="exact"/>
        <w:rPr>
          <w:sz w:val="20"/>
          <w:szCs w:val="20"/>
          <w:color w:val="auto"/>
        </w:rPr>
      </w:pPr>
    </w:p>
    <w:p>
      <w:pPr>
        <w:ind w:right="120"/>
        <w:spacing w:after="0" w:line="316" w:lineRule="auto"/>
        <w:rPr>
          <w:sz w:val="20"/>
          <w:szCs w:val="20"/>
          <w:color w:val="auto"/>
        </w:rPr>
      </w:pPr>
      <w:r>
        <w:rPr>
          <w:rFonts w:ascii="Arial" w:cs="Arial" w:eastAsia="Arial" w:hAnsi="Arial"/>
          <w:sz w:val="16"/>
          <w:szCs w:val="16"/>
          <w:color w:val="0E1020"/>
        </w:rPr>
        <w:t>DXC’s Deferred Compensation Plan is an unfunded, nonqualified plan that permits employee participants to defer U.S. federal and most state income tax on up to 100% of their annual cash incentive award, up to 80% of their annual base salary, and up to 100% of amounts payable in cash and equity to non-employee directors for Board services.</w:t>
      </w:r>
    </w:p>
    <w:p>
      <w:pPr>
        <w:spacing w:after="0" w:line="37" w:lineRule="exact"/>
        <w:rPr>
          <w:sz w:val="20"/>
          <w:szCs w:val="20"/>
          <w:color w:val="auto"/>
        </w:rPr>
      </w:pPr>
    </w:p>
    <w:p>
      <w:pPr>
        <w:ind w:right="20"/>
        <w:spacing w:after="0" w:line="335" w:lineRule="auto"/>
        <w:rPr>
          <w:sz w:val="20"/>
          <w:szCs w:val="20"/>
          <w:color w:val="auto"/>
        </w:rPr>
      </w:pPr>
      <w:r>
        <w:rPr>
          <w:rFonts w:ascii="Arial" w:cs="Arial" w:eastAsia="Arial" w:hAnsi="Arial"/>
          <w:sz w:val="16"/>
          <w:szCs w:val="16"/>
          <w:color w:val="0E1020"/>
        </w:rPr>
        <w:t>Our NEOs did not participate in the Deferred Compensation Plan during fiscal 2026, nor in any prior fiscal years. There were no Company contributions to the Deferred Compensation Plan on behalf of any NEOs for fiscal 2026.</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Potential Payments Upon Change of Control and Termination of Employment</w:t>
      </w:r>
    </w:p>
    <w:p>
      <w:pPr>
        <w:spacing w:after="0" w:line="148" w:lineRule="exact"/>
        <w:rPr>
          <w:sz w:val="20"/>
          <w:szCs w:val="20"/>
          <w:color w:val="auto"/>
        </w:rPr>
      </w:pPr>
    </w:p>
    <w:p>
      <w:pPr>
        <w:ind w:right="20"/>
        <w:spacing w:after="0" w:line="316" w:lineRule="auto"/>
        <w:rPr>
          <w:sz w:val="20"/>
          <w:szCs w:val="20"/>
          <w:color w:val="auto"/>
        </w:rPr>
      </w:pPr>
      <w:r>
        <w:rPr>
          <w:rFonts w:ascii="Arial" w:cs="Arial" w:eastAsia="Arial" w:hAnsi="Arial"/>
          <w:sz w:val="16"/>
          <w:szCs w:val="16"/>
          <w:color w:val="0E1020"/>
        </w:rPr>
        <w:t>DXC offers certain post-employment benefits to a select group of executive officers, including the NEOs. With the exception of Mr. Fernandez, these post-employment benefits are limited to the payments and benefits provided under the Severance Plan, or individual offer letters and the terms of our equity award agreements.</w:t>
      </w:r>
    </w:p>
    <w:p>
      <w:pPr>
        <w:spacing w:after="0" w:line="37" w:lineRule="exact"/>
        <w:rPr>
          <w:sz w:val="20"/>
          <w:szCs w:val="20"/>
          <w:color w:val="auto"/>
        </w:rPr>
      </w:pPr>
    </w:p>
    <w:p>
      <w:pPr>
        <w:spacing w:after="0" w:line="335" w:lineRule="auto"/>
        <w:rPr>
          <w:sz w:val="20"/>
          <w:szCs w:val="20"/>
          <w:color w:val="auto"/>
        </w:rPr>
      </w:pPr>
      <w:r>
        <w:rPr>
          <w:rFonts w:ascii="Arial" w:cs="Arial" w:eastAsia="Arial" w:hAnsi="Arial"/>
          <w:sz w:val="16"/>
          <w:szCs w:val="16"/>
          <w:color w:val="0E1020"/>
        </w:rPr>
        <w:t>Mr. Fernandez did not participate in the Severance Plan, but is entitled to certain post-employment benefits under his Employment Agreement. Please refer to the “Vesting of Equity Awards” and “Employment Agreement with Mr. Fernandez” sections below for further details.</w:t>
      </w:r>
    </w:p>
    <w:p>
      <w:pPr>
        <w:spacing w:after="0" w:line="36" w:lineRule="exact"/>
        <w:rPr>
          <w:sz w:val="20"/>
          <w:szCs w:val="20"/>
          <w:color w:val="auto"/>
        </w:rPr>
      </w:pPr>
    </w:p>
    <w:p>
      <w:pPr>
        <w:ind w:right="220"/>
        <w:spacing w:after="0" w:line="318" w:lineRule="auto"/>
        <w:rPr>
          <w:sz w:val="20"/>
          <w:szCs w:val="20"/>
          <w:color w:val="auto"/>
        </w:rPr>
      </w:pPr>
      <w:r>
        <w:rPr>
          <w:rFonts w:ascii="Arial" w:cs="Arial" w:eastAsia="Arial" w:hAnsi="Arial"/>
          <w:sz w:val="16"/>
          <w:szCs w:val="16"/>
          <w:color w:val="0E1020"/>
        </w:rPr>
        <w:t>The post-employment arrangements offered to our NEOs during fiscal 2026 are described below. This description and the amounts in the tables that follow reflect the terms of arrangements in effect on March 31, 2026.</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Severance Plan for Senior Management and Key Employees (the “Severance Plan”)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0E1020"/>
        </w:rPr>
        <w:t>Each of the NEOs other than Mr. Fernandez participated in the Severance Plan, which provides certain benefits to participants in the event of a Change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0E1020"/>
        </w:rPr>
        <w:t>Control (as defined below) of DXC. If there were a Change of Control and any of the participating NEOs either:</w:t>
      </w:r>
    </w:p>
    <w:p>
      <w:pPr>
        <w:spacing w:after="0" w:line="124" w:lineRule="exact"/>
        <w:rPr>
          <w:sz w:val="20"/>
          <w:szCs w:val="20"/>
          <w:color w:val="auto"/>
        </w:rPr>
      </w:pPr>
    </w:p>
    <w:p>
      <w:pPr>
        <w:ind w:left="300" w:hanging="293"/>
        <w:spacing w:after="0"/>
        <w:tabs>
          <w:tab w:leader="none" w:pos="300" w:val="left"/>
        </w:tabs>
        <w:numPr>
          <w:ilvl w:val="0"/>
          <w:numId w:val="93"/>
        </w:numPr>
        <w:rPr>
          <w:rFonts w:ascii="Arial" w:cs="Arial" w:eastAsia="Arial" w:hAnsi="Arial"/>
          <w:sz w:val="16"/>
          <w:szCs w:val="16"/>
          <w:color w:val="0E1020"/>
        </w:rPr>
      </w:pPr>
      <w:r>
        <w:rPr>
          <w:rFonts w:ascii="Arial" w:cs="Arial" w:eastAsia="Arial" w:hAnsi="Arial"/>
          <w:sz w:val="16"/>
          <w:szCs w:val="16"/>
          <w:color w:val="0E1020"/>
        </w:rPr>
        <w:t>had a voluntary termination of employment for Good Reason (as defined below) within two years afterward, or</w:t>
      </w:r>
    </w:p>
    <w:p>
      <w:pPr>
        <w:spacing w:after="0" w:line="137" w:lineRule="exact"/>
        <w:rPr>
          <w:rFonts w:ascii="Arial" w:cs="Arial" w:eastAsia="Arial" w:hAnsi="Arial"/>
          <w:sz w:val="16"/>
          <w:szCs w:val="16"/>
          <w:color w:val="0E1020"/>
        </w:rPr>
      </w:pPr>
    </w:p>
    <w:p>
      <w:pPr>
        <w:ind w:left="300" w:hanging="293"/>
        <w:spacing w:after="0"/>
        <w:tabs>
          <w:tab w:leader="none" w:pos="300" w:val="left"/>
        </w:tabs>
        <w:numPr>
          <w:ilvl w:val="0"/>
          <w:numId w:val="93"/>
        </w:numPr>
        <w:rPr>
          <w:rFonts w:ascii="Arial" w:cs="Arial" w:eastAsia="Arial" w:hAnsi="Arial"/>
          <w:sz w:val="16"/>
          <w:szCs w:val="16"/>
          <w:color w:val="0E1020"/>
        </w:rPr>
      </w:pPr>
      <w:r>
        <w:rPr>
          <w:rFonts w:ascii="Arial" w:cs="Arial" w:eastAsia="Arial" w:hAnsi="Arial"/>
          <w:sz w:val="16"/>
          <w:szCs w:val="16"/>
          <w:color w:val="0E1020"/>
        </w:rPr>
        <w:t>had an involuntary termination of employment, other than for death, disability or Cause (as defined below), within three years afterward,</w:t>
      </w:r>
    </w:p>
    <w:p>
      <w:pPr>
        <w:spacing w:after="0" w:line="124" w:lineRule="exact"/>
        <w:rPr>
          <w:sz w:val="20"/>
          <w:szCs w:val="20"/>
          <w:color w:val="auto"/>
        </w:rPr>
      </w:pPr>
    </w:p>
    <w:p>
      <w:pPr>
        <w:spacing w:after="0" w:line="302" w:lineRule="auto"/>
        <w:rPr>
          <w:sz w:val="20"/>
          <w:szCs w:val="20"/>
          <w:color w:val="auto"/>
        </w:rPr>
      </w:pPr>
      <w:r>
        <w:rPr>
          <w:rFonts w:ascii="Arial" w:cs="Arial" w:eastAsia="Arial" w:hAnsi="Arial"/>
          <w:sz w:val="16"/>
          <w:szCs w:val="16"/>
          <w:color w:val="0E1020"/>
        </w:rPr>
        <w:t>then he/she would receive a one-time payment and certain health and welfare benefits during a specified period after termination. The amount of the one-time payment is generally equal to a multiple of annual base salary plus the greater of (i) the average of the three most recent annual cash incentive awards paid or determined, (ii) the target annual bonus for the year of termination, or (iii) the most recent annual bonus paid or determined prior to termination. For each of the participating NEOs, the multiple is 2x and the post-termination period for health and welfare benefit continuation is 24 months. Participating NEOs are also entitled to a pro-rata annual bonus for the year of termination.</w:t>
      </w:r>
    </w:p>
    <w:p>
      <w:pPr>
        <w:spacing w:after="0" w:line="62" w:lineRule="exact"/>
        <w:rPr>
          <w:sz w:val="20"/>
          <w:szCs w:val="20"/>
          <w:color w:val="auto"/>
        </w:rPr>
      </w:pPr>
    </w:p>
    <w:p>
      <w:pPr>
        <w:ind w:right="240"/>
        <w:spacing w:after="0" w:line="307" w:lineRule="auto"/>
        <w:rPr>
          <w:sz w:val="20"/>
          <w:szCs w:val="20"/>
          <w:color w:val="auto"/>
        </w:rPr>
      </w:pPr>
      <w:r>
        <w:rPr>
          <w:rFonts w:ascii="Arial" w:cs="Arial" w:eastAsia="Arial" w:hAnsi="Arial"/>
          <w:sz w:val="16"/>
          <w:szCs w:val="16"/>
          <w:color w:val="0E1020"/>
        </w:rPr>
        <w:t>There is a potential six-month delay in payments and benefits provided under the Severance Plan to certain specified employees (as determined under Section 409A). The Severance Plan provides for the crediting of earnings during any such payment or benefits delay period. The Severance Plan does not provide for any tax gross-ups on any amounts payable in connection with a Change of Control.</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0E1020"/>
        </w:rPr>
        <w:t>For purposes of the Severance Plan, the following definitions apply:</w:t>
      </w:r>
    </w:p>
    <w:p>
      <w:pPr>
        <w:spacing w:after="0" w:line="124" w:lineRule="exact"/>
        <w:rPr>
          <w:sz w:val="20"/>
          <w:szCs w:val="20"/>
          <w:color w:val="auto"/>
        </w:rPr>
      </w:pPr>
    </w:p>
    <w:p>
      <w:pPr>
        <w:ind w:left="320" w:hanging="313"/>
        <w:spacing w:after="0" w:line="335" w:lineRule="auto"/>
        <w:tabs>
          <w:tab w:leader="none" w:pos="282" w:val="left"/>
        </w:tabs>
        <w:numPr>
          <w:ilvl w:val="0"/>
          <w:numId w:val="94"/>
        </w:numPr>
        <w:rPr>
          <w:rFonts w:ascii="Arial" w:cs="Arial" w:eastAsia="Arial" w:hAnsi="Arial"/>
          <w:sz w:val="16"/>
          <w:szCs w:val="16"/>
          <w:color w:val="0E1020"/>
        </w:rPr>
      </w:pPr>
      <w:r>
        <w:rPr>
          <w:rFonts w:ascii="Arial" w:cs="Arial" w:eastAsia="Arial" w:hAnsi="Arial"/>
          <w:sz w:val="16"/>
          <w:szCs w:val="16"/>
          <w:color w:val="0E1020"/>
        </w:rPr>
        <w:t>Change of Control means the consummation of a change in the ownership of DXC, a change in effective control of DXC or a change in the ownership of a substantial portion of the assets of DXC, in each case, as defined under Section 409A of the Internal Revenue Code.</w:t>
      </w:r>
    </w:p>
    <w:p>
      <w:pPr>
        <w:spacing w:after="0" w:line="22" w:lineRule="exact"/>
        <w:rPr>
          <w:rFonts w:ascii="Arial" w:cs="Arial" w:eastAsia="Arial" w:hAnsi="Arial"/>
          <w:sz w:val="16"/>
          <w:szCs w:val="16"/>
          <w:color w:val="0E1020"/>
        </w:rPr>
      </w:pPr>
    </w:p>
    <w:p>
      <w:pPr>
        <w:ind w:left="320" w:right="740" w:hanging="313"/>
        <w:spacing w:after="0" w:line="335" w:lineRule="auto"/>
        <w:tabs>
          <w:tab w:leader="none" w:pos="282" w:val="left"/>
        </w:tabs>
        <w:numPr>
          <w:ilvl w:val="0"/>
          <w:numId w:val="94"/>
        </w:numPr>
        <w:rPr>
          <w:rFonts w:ascii="Arial" w:cs="Arial" w:eastAsia="Arial" w:hAnsi="Arial"/>
          <w:sz w:val="16"/>
          <w:szCs w:val="16"/>
          <w:color w:val="0E1020"/>
        </w:rPr>
      </w:pPr>
      <w:r>
        <w:rPr>
          <w:rFonts w:ascii="Arial" w:cs="Arial" w:eastAsia="Arial" w:hAnsi="Arial"/>
          <w:sz w:val="16"/>
          <w:szCs w:val="16"/>
          <w:color w:val="0E1020"/>
        </w:rPr>
        <w:t>A participant’s termination of employment with DXC is deemed for Good Reason if it occurs within six months of any of the following without the participant’s express written consent:</w:t>
      </w:r>
    </w:p>
    <w:p>
      <w:pPr>
        <w:spacing w:after="0" w:line="35" w:lineRule="exact"/>
        <w:rPr>
          <w:rFonts w:ascii="Arial" w:cs="Arial" w:eastAsia="Arial" w:hAnsi="Arial"/>
          <w:sz w:val="16"/>
          <w:szCs w:val="16"/>
          <w:color w:val="0E1020"/>
        </w:rPr>
      </w:pPr>
    </w:p>
    <w:p>
      <w:pPr>
        <w:ind w:left="660" w:right="420" w:hanging="331"/>
        <w:spacing w:after="0" w:line="335" w:lineRule="auto"/>
        <w:tabs>
          <w:tab w:leader="none" w:pos="673" w:val="left"/>
        </w:tabs>
        <w:numPr>
          <w:ilvl w:val="1"/>
          <w:numId w:val="94"/>
        </w:numPr>
        <w:rPr>
          <w:rFonts w:ascii="Arial" w:cs="Arial" w:eastAsia="Arial" w:hAnsi="Arial"/>
          <w:sz w:val="16"/>
          <w:szCs w:val="16"/>
          <w:color w:val="0E1020"/>
        </w:rPr>
      </w:pPr>
      <w:r>
        <w:rPr>
          <w:rFonts w:ascii="Arial" w:cs="Arial" w:eastAsia="Arial" w:hAnsi="Arial"/>
          <w:sz w:val="16"/>
          <w:szCs w:val="16"/>
          <w:color w:val="0E1020"/>
        </w:rPr>
        <w:t>A substantial change in the nature, or diminution in the status, of the participant’s duties or position from those in effect immediately prior to the Change of Control;</w:t>
      </w:r>
    </w:p>
    <w:p>
      <w:pPr>
        <w:spacing w:after="0" w:line="22" w:lineRule="exact"/>
        <w:rPr>
          <w:rFonts w:ascii="Arial" w:cs="Arial" w:eastAsia="Arial" w:hAnsi="Arial"/>
          <w:sz w:val="16"/>
          <w:szCs w:val="16"/>
          <w:color w:val="0E1020"/>
        </w:rPr>
      </w:pPr>
    </w:p>
    <w:p>
      <w:pPr>
        <w:ind w:left="660" w:right="860" w:hanging="331"/>
        <w:spacing w:after="0" w:line="335" w:lineRule="auto"/>
        <w:tabs>
          <w:tab w:leader="none" w:pos="647" w:val="left"/>
        </w:tabs>
        <w:numPr>
          <w:ilvl w:val="1"/>
          <w:numId w:val="94"/>
        </w:numPr>
        <w:rPr>
          <w:rFonts w:ascii="Arial" w:cs="Arial" w:eastAsia="Arial" w:hAnsi="Arial"/>
          <w:sz w:val="16"/>
          <w:szCs w:val="16"/>
          <w:color w:val="0E1020"/>
        </w:rPr>
      </w:pPr>
      <w:r>
        <w:rPr>
          <w:rFonts w:ascii="Arial" w:cs="Arial" w:eastAsia="Arial" w:hAnsi="Arial"/>
          <w:sz w:val="16"/>
          <w:szCs w:val="16"/>
          <w:color w:val="0E1020"/>
        </w:rPr>
        <w:t>A reduction by DXC in the participant’s annual base salary as in effect on the date of a Change of Control or as in effect thereafter if such compensation has been increased and such increase was approved prior to the Change of Control;</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91</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99" w:name="page100"/>
    <w:bookmarkEnd w:id="99"/>
    <w:p>
      <w:pPr>
        <w:ind w:left="20"/>
        <w:spacing w:after="0"/>
        <w:tabs>
          <w:tab w:leader="none" w:pos="10100" w:val="left"/>
        </w:tabs>
        <w:rPr>
          <w:sz w:val="20"/>
          <w:szCs w:val="20"/>
          <w:color w:val="auto"/>
        </w:rPr>
      </w:pPr>
      <w:r>
        <w:rPr>
          <w:rFonts w:ascii="Arial" w:cs="Arial" w:eastAsia="Arial" w:hAnsi="Arial"/>
          <w:sz w:val="14"/>
          <w:szCs w:val="14"/>
          <w:color w:val="0E1020"/>
        </w:rPr>
        <w:t>Executive Compensation Tables</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660" w:hanging="331"/>
        <w:spacing w:after="0" w:line="335" w:lineRule="auto"/>
        <w:tabs>
          <w:tab w:leader="none" w:pos="647" w:val="left"/>
        </w:tabs>
        <w:numPr>
          <w:ilvl w:val="0"/>
          <w:numId w:val="95"/>
        </w:numPr>
        <w:rPr>
          <w:rFonts w:ascii="Arial" w:cs="Arial" w:eastAsia="Arial" w:hAnsi="Arial"/>
          <w:sz w:val="16"/>
          <w:szCs w:val="16"/>
          <w:color w:val="0E1020"/>
        </w:rPr>
      </w:pPr>
      <w:r>
        <w:rPr>
          <w:rFonts w:ascii="Arial" w:cs="Arial" w:eastAsia="Arial" w:hAnsi="Arial"/>
          <w:sz w:val="16"/>
          <w:szCs w:val="16"/>
          <w:color w:val="0E1020"/>
        </w:rPr>
        <w:t>A reduction by DXC in the overall value of benefits provided to the participant, as in effect on the date of a Change of Control or as in effect thereafter if such benefits have been increased and the increase was approved prior to the Change of Control;</w:t>
      </w:r>
    </w:p>
    <w:p>
      <w:pPr>
        <w:spacing w:after="0" w:line="22" w:lineRule="exact"/>
        <w:rPr>
          <w:rFonts w:ascii="Arial" w:cs="Arial" w:eastAsia="Arial" w:hAnsi="Arial"/>
          <w:sz w:val="16"/>
          <w:szCs w:val="16"/>
          <w:color w:val="0E1020"/>
        </w:rPr>
      </w:pPr>
    </w:p>
    <w:p>
      <w:pPr>
        <w:ind w:left="660" w:hanging="331"/>
        <w:spacing w:after="0" w:line="316" w:lineRule="auto"/>
        <w:tabs>
          <w:tab w:leader="none" w:pos="647" w:val="left"/>
        </w:tabs>
        <w:numPr>
          <w:ilvl w:val="0"/>
          <w:numId w:val="95"/>
        </w:numPr>
        <w:rPr>
          <w:rFonts w:ascii="Arial" w:cs="Arial" w:eastAsia="Arial" w:hAnsi="Arial"/>
          <w:sz w:val="16"/>
          <w:szCs w:val="16"/>
          <w:color w:val="0E1020"/>
        </w:rPr>
      </w:pPr>
      <w:r>
        <w:rPr>
          <w:rFonts w:ascii="Arial" w:cs="Arial" w:eastAsia="Arial" w:hAnsi="Arial"/>
          <w:sz w:val="16"/>
          <w:szCs w:val="16"/>
          <w:color w:val="0E1020"/>
        </w:rPr>
        <w:t>A failure to continue in effect any stock option or other equity-based or non-equity based incentive compensation plan in effect immediately prior to the Change of Control, or a reduction in the participant’s participation in any such plan, unless the participant is afforded the opportunity to participate in an alternative incentive compensation plan of reasonably equivalent value;</w:t>
      </w:r>
    </w:p>
    <w:p>
      <w:pPr>
        <w:spacing w:after="0" w:line="37" w:lineRule="exact"/>
        <w:rPr>
          <w:rFonts w:ascii="Arial" w:cs="Arial" w:eastAsia="Arial" w:hAnsi="Arial"/>
          <w:sz w:val="16"/>
          <w:szCs w:val="16"/>
          <w:color w:val="0E1020"/>
        </w:rPr>
      </w:pPr>
    </w:p>
    <w:p>
      <w:pPr>
        <w:ind w:left="660" w:right="400" w:hanging="331"/>
        <w:spacing w:after="0" w:line="335" w:lineRule="auto"/>
        <w:tabs>
          <w:tab w:leader="none" w:pos="647" w:val="left"/>
        </w:tabs>
        <w:numPr>
          <w:ilvl w:val="0"/>
          <w:numId w:val="95"/>
        </w:numPr>
        <w:rPr>
          <w:rFonts w:ascii="Arial" w:cs="Arial" w:eastAsia="Arial" w:hAnsi="Arial"/>
          <w:sz w:val="16"/>
          <w:szCs w:val="16"/>
          <w:color w:val="0E1020"/>
        </w:rPr>
      </w:pPr>
      <w:r>
        <w:rPr>
          <w:rFonts w:ascii="Arial" w:cs="Arial" w:eastAsia="Arial" w:hAnsi="Arial"/>
          <w:sz w:val="16"/>
          <w:szCs w:val="16"/>
          <w:color w:val="0E1020"/>
        </w:rPr>
        <w:t>A failure to provide the participant the same number of paid vacation days per year available to him or her prior to the Change of Control, or any material reduction or the elimination of any material benefit or perquisite enjoyed by the participant immediately prior to the Change of Control;</w:t>
      </w:r>
    </w:p>
    <w:p>
      <w:pPr>
        <w:spacing w:after="0" w:line="35" w:lineRule="exact"/>
        <w:rPr>
          <w:rFonts w:ascii="Arial" w:cs="Arial" w:eastAsia="Arial" w:hAnsi="Arial"/>
          <w:sz w:val="16"/>
          <w:szCs w:val="16"/>
          <w:color w:val="0E1020"/>
        </w:rPr>
      </w:pPr>
    </w:p>
    <w:p>
      <w:pPr>
        <w:ind w:left="660" w:right="560" w:hanging="331"/>
        <w:spacing w:after="0" w:line="318" w:lineRule="auto"/>
        <w:tabs>
          <w:tab w:leader="none" w:pos="647" w:val="left"/>
        </w:tabs>
        <w:numPr>
          <w:ilvl w:val="0"/>
          <w:numId w:val="95"/>
        </w:numPr>
        <w:rPr>
          <w:rFonts w:ascii="Arial" w:cs="Arial" w:eastAsia="Arial" w:hAnsi="Arial"/>
          <w:sz w:val="16"/>
          <w:szCs w:val="16"/>
          <w:color w:val="0E1020"/>
        </w:rPr>
      </w:pPr>
      <w:r>
        <w:rPr>
          <w:rFonts w:ascii="Arial" w:cs="Arial" w:eastAsia="Arial" w:hAnsi="Arial"/>
          <w:sz w:val="16"/>
          <w:szCs w:val="16"/>
          <w:color w:val="0E1020"/>
        </w:rPr>
        <w:t>Relocation of the participant’s principal place of employment to any place more than 35 miles from the participant’s previous principal place of employment;</w:t>
      </w:r>
    </w:p>
    <w:p>
      <w:pPr>
        <w:spacing w:after="0" w:line="48" w:lineRule="exact"/>
        <w:rPr>
          <w:rFonts w:ascii="Arial" w:cs="Arial" w:eastAsia="Arial" w:hAnsi="Arial"/>
          <w:sz w:val="16"/>
          <w:szCs w:val="16"/>
          <w:color w:val="0E1020"/>
        </w:rPr>
      </w:pPr>
    </w:p>
    <w:p>
      <w:pPr>
        <w:ind w:left="660" w:right="180" w:hanging="331"/>
        <w:spacing w:after="0" w:line="335" w:lineRule="auto"/>
        <w:tabs>
          <w:tab w:leader="none" w:pos="647" w:val="left"/>
        </w:tabs>
        <w:numPr>
          <w:ilvl w:val="0"/>
          <w:numId w:val="95"/>
        </w:numPr>
        <w:rPr>
          <w:rFonts w:ascii="Arial" w:cs="Arial" w:eastAsia="Arial" w:hAnsi="Arial"/>
          <w:sz w:val="16"/>
          <w:szCs w:val="16"/>
          <w:color w:val="0E1020"/>
        </w:rPr>
      </w:pPr>
      <w:r>
        <w:rPr>
          <w:rFonts w:ascii="Arial" w:cs="Arial" w:eastAsia="Arial" w:hAnsi="Arial"/>
          <w:sz w:val="16"/>
          <w:szCs w:val="16"/>
          <w:color w:val="0E1020"/>
        </w:rPr>
        <w:t>Any material breach by DXC of any provision of the Severance Plan or of any agreement entered into pursuant to the Severance Plan or any stock option or restricted stock agreement;</w:t>
      </w:r>
    </w:p>
    <w:p>
      <w:pPr>
        <w:spacing w:after="0" w:line="22" w:lineRule="exact"/>
        <w:rPr>
          <w:rFonts w:ascii="Arial" w:cs="Arial" w:eastAsia="Arial" w:hAnsi="Arial"/>
          <w:sz w:val="16"/>
          <w:szCs w:val="16"/>
          <w:color w:val="0E1020"/>
        </w:rPr>
      </w:pPr>
    </w:p>
    <w:p>
      <w:pPr>
        <w:ind w:left="660" w:right="440" w:hanging="331"/>
        <w:spacing w:after="0" w:line="335" w:lineRule="auto"/>
        <w:tabs>
          <w:tab w:leader="none" w:pos="647" w:val="left"/>
        </w:tabs>
        <w:numPr>
          <w:ilvl w:val="0"/>
          <w:numId w:val="95"/>
        </w:numPr>
        <w:rPr>
          <w:rFonts w:ascii="Arial" w:cs="Arial" w:eastAsia="Arial" w:hAnsi="Arial"/>
          <w:sz w:val="16"/>
          <w:szCs w:val="16"/>
          <w:color w:val="0E1020"/>
        </w:rPr>
      </w:pPr>
      <w:r>
        <w:rPr>
          <w:rFonts w:ascii="Arial" w:cs="Arial" w:eastAsia="Arial" w:hAnsi="Arial"/>
          <w:sz w:val="16"/>
          <w:szCs w:val="16"/>
          <w:color w:val="0E1020"/>
        </w:rPr>
        <w:t>Conduct by DXC, against the participant’s volition, that would cause the participant to commit fraudulent acts or would expose the participant to criminal liability; or</w:t>
      </w:r>
    </w:p>
    <w:p>
      <w:pPr>
        <w:spacing w:after="0" w:line="22" w:lineRule="exact"/>
        <w:rPr>
          <w:rFonts w:ascii="Arial" w:cs="Arial" w:eastAsia="Arial" w:hAnsi="Arial"/>
          <w:sz w:val="16"/>
          <w:szCs w:val="16"/>
          <w:color w:val="0E1020"/>
        </w:rPr>
      </w:pPr>
    </w:p>
    <w:p>
      <w:pPr>
        <w:ind w:left="660" w:right="40" w:hanging="331"/>
        <w:spacing w:after="0" w:line="300" w:lineRule="auto"/>
        <w:tabs>
          <w:tab w:leader="none" w:pos="647" w:val="left"/>
        </w:tabs>
        <w:numPr>
          <w:ilvl w:val="0"/>
          <w:numId w:val="95"/>
        </w:numPr>
        <w:rPr>
          <w:rFonts w:ascii="Arial" w:cs="Arial" w:eastAsia="Arial" w:hAnsi="Arial"/>
          <w:sz w:val="16"/>
          <w:szCs w:val="16"/>
          <w:color w:val="0E1020"/>
        </w:rPr>
      </w:pPr>
      <w:r>
        <w:rPr>
          <w:rFonts w:ascii="Arial" w:cs="Arial" w:eastAsia="Arial" w:hAnsi="Arial"/>
          <w:sz w:val="16"/>
          <w:szCs w:val="16"/>
          <w:color w:val="0E1020"/>
        </w:rPr>
        <w:t>Any failure by DXC to obtain the assumption of the Severance Plan or any agreement entered into pursuant to the Severance Plan by any successor or assign of DXC provided that for purposes of bullets 2 through 5 above, Good Reason will not exist (i) if the aggregate value of all salary, benefits, incentive compensation arrangements, perquisites and other compensation is reasonably equivalent to the aggregate value of salary, benefits, incentive compensation arrangements, perquisites and other compensation as in effect immediately prior to the Change of Control, or as in effect thereafter if the aggregate value of such items has been increased and such increase was approved prior to the Change of Control, or (ii) if the reduction in aggregate value is due to reduced performance by DXC, the operating unit of DXC for which the participant is responsible, or the participant, in each case applying standards reasonably equivalent to those utilized by DXC prior to the Change of Control.</w:t>
      </w:r>
    </w:p>
    <w:p>
      <w:pPr>
        <w:spacing w:after="0" w:line="65" w:lineRule="exact"/>
        <w:rPr>
          <w:rFonts w:ascii="Arial" w:cs="Arial" w:eastAsia="Arial" w:hAnsi="Arial"/>
          <w:sz w:val="16"/>
          <w:szCs w:val="16"/>
          <w:color w:val="0E1020"/>
        </w:rPr>
      </w:pPr>
    </w:p>
    <w:p>
      <w:pPr>
        <w:ind w:left="660"/>
        <w:spacing w:after="0"/>
        <w:rPr>
          <w:rFonts w:ascii="Arial" w:cs="Arial" w:eastAsia="Arial" w:hAnsi="Arial"/>
          <w:sz w:val="16"/>
          <w:szCs w:val="16"/>
          <w:color w:val="0E1020"/>
        </w:rPr>
      </w:pPr>
      <w:r>
        <w:rPr>
          <w:rFonts w:ascii="Arial" w:cs="Arial" w:eastAsia="Arial" w:hAnsi="Arial"/>
          <w:sz w:val="16"/>
          <w:szCs w:val="16"/>
          <w:color w:val="0E1020"/>
        </w:rPr>
        <w:t>Cause means:</w:t>
      </w:r>
    </w:p>
    <w:p>
      <w:pPr>
        <w:spacing w:after="0" w:line="124" w:lineRule="exact"/>
        <w:rPr>
          <w:rFonts w:ascii="Arial" w:cs="Arial" w:eastAsia="Arial" w:hAnsi="Arial"/>
          <w:sz w:val="16"/>
          <w:szCs w:val="16"/>
          <w:color w:val="0E1020"/>
        </w:rPr>
      </w:pPr>
    </w:p>
    <w:p>
      <w:pPr>
        <w:ind w:left="1140" w:hanging="411"/>
        <w:spacing w:after="0"/>
        <w:tabs>
          <w:tab w:leader="none" w:pos="1140" w:val="left"/>
        </w:tabs>
        <w:numPr>
          <w:ilvl w:val="2"/>
          <w:numId w:val="95"/>
        </w:numPr>
        <w:rPr>
          <w:rFonts w:ascii="Arial" w:cs="Arial" w:eastAsia="Arial" w:hAnsi="Arial"/>
          <w:sz w:val="16"/>
          <w:szCs w:val="16"/>
          <w:color w:val="0E1020"/>
        </w:rPr>
      </w:pPr>
      <w:r>
        <w:rPr>
          <w:rFonts w:ascii="Arial" w:cs="Arial" w:eastAsia="Arial" w:hAnsi="Arial"/>
          <w:sz w:val="16"/>
          <w:szCs w:val="16"/>
          <w:color w:val="0E1020"/>
        </w:rPr>
        <w:t>fraud, misappropriation, embezzlement or other act of material misconduct against DXC or any of its affiliates;</w:t>
      </w:r>
    </w:p>
    <w:p>
      <w:pPr>
        <w:spacing w:after="0" w:line="124" w:lineRule="exact"/>
        <w:rPr>
          <w:rFonts w:ascii="Arial" w:cs="Arial" w:eastAsia="Arial" w:hAnsi="Arial"/>
          <w:sz w:val="16"/>
          <w:szCs w:val="16"/>
          <w:color w:val="0E1020"/>
        </w:rPr>
      </w:pPr>
    </w:p>
    <w:p>
      <w:pPr>
        <w:ind w:left="1120" w:hanging="429"/>
        <w:spacing w:after="0"/>
        <w:tabs>
          <w:tab w:leader="none" w:pos="1120" w:val="left"/>
        </w:tabs>
        <w:numPr>
          <w:ilvl w:val="2"/>
          <w:numId w:val="95"/>
        </w:numPr>
        <w:rPr>
          <w:rFonts w:ascii="Arial" w:cs="Arial" w:eastAsia="Arial" w:hAnsi="Arial"/>
          <w:sz w:val="16"/>
          <w:szCs w:val="16"/>
          <w:color w:val="0E1020"/>
        </w:rPr>
      </w:pPr>
      <w:r>
        <w:rPr>
          <w:rFonts w:ascii="Arial" w:cs="Arial" w:eastAsia="Arial" w:hAnsi="Arial"/>
          <w:sz w:val="16"/>
          <w:szCs w:val="16"/>
          <w:color w:val="0E1020"/>
        </w:rPr>
        <w:t>conviction of a felony involving a crime of moral turpitude;</w:t>
      </w:r>
    </w:p>
    <w:p>
      <w:pPr>
        <w:spacing w:after="0" w:line="137" w:lineRule="exact"/>
        <w:rPr>
          <w:rFonts w:ascii="Arial" w:cs="Arial" w:eastAsia="Arial" w:hAnsi="Arial"/>
          <w:sz w:val="16"/>
          <w:szCs w:val="16"/>
          <w:color w:val="0E1020"/>
        </w:rPr>
      </w:pPr>
    </w:p>
    <w:p>
      <w:pPr>
        <w:ind w:left="1120" w:hanging="467"/>
        <w:spacing w:after="0"/>
        <w:tabs>
          <w:tab w:leader="none" w:pos="1120" w:val="left"/>
        </w:tabs>
        <w:numPr>
          <w:ilvl w:val="2"/>
          <w:numId w:val="95"/>
        </w:numPr>
        <w:rPr>
          <w:rFonts w:ascii="Arial" w:cs="Arial" w:eastAsia="Arial" w:hAnsi="Arial"/>
          <w:sz w:val="16"/>
          <w:szCs w:val="16"/>
          <w:color w:val="0E1020"/>
        </w:rPr>
      </w:pPr>
      <w:r>
        <w:rPr>
          <w:rFonts w:ascii="Arial" w:cs="Arial" w:eastAsia="Arial" w:hAnsi="Arial"/>
          <w:sz w:val="16"/>
          <w:szCs w:val="16"/>
          <w:color w:val="0E1020"/>
        </w:rPr>
        <w:t>willful and knowing violation of any rules or regulations of any governmental or regulatory body material to the business of DXC; or</w:t>
      </w:r>
    </w:p>
    <w:p>
      <w:pPr>
        <w:spacing w:after="0" w:line="124" w:lineRule="exact"/>
        <w:rPr>
          <w:rFonts w:ascii="Arial" w:cs="Arial" w:eastAsia="Arial" w:hAnsi="Arial"/>
          <w:sz w:val="16"/>
          <w:szCs w:val="16"/>
          <w:color w:val="0E1020"/>
        </w:rPr>
      </w:pPr>
    </w:p>
    <w:p>
      <w:pPr>
        <w:ind w:left="1140" w:right="120" w:hanging="500"/>
        <w:spacing w:after="0" w:line="310" w:lineRule="auto"/>
        <w:tabs>
          <w:tab w:leader="none" w:pos="1117" w:val="left"/>
        </w:tabs>
        <w:numPr>
          <w:ilvl w:val="1"/>
          <w:numId w:val="95"/>
        </w:numPr>
        <w:rPr>
          <w:rFonts w:ascii="Arial" w:cs="Arial" w:eastAsia="Arial" w:hAnsi="Arial"/>
          <w:sz w:val="16"/>
          <w:szCs w:val="16"/>
          <w:color w:val="0E1020"/>
        </w:rPr>
      </w:pPr>
      <w:r>
        <w:rPr>
          <w:rFonts w:ascii="Arial" w:cs="Arial" w:eastAsia="Arial" w:hAnsi="Arial"/>
          <w:sz w:val="16"/>
          <w:szCs w:val="16"/>
          <w:color w:val="0E1020"/>
        </w:rPr>
        <w:t>substantial and willful failure to render services in accordance with the terms of the Severance Plan (other than as a result of illness, accident or other physical or mental incapacity), provided that (i) a demand for performance of services has been delivered to the participant in writing by or on behalf of the Board at least 60 days prior to termination identifying the manner in which the Board believes that the participant has failed to perform and (ii) the participant has thereafter failed to remedy such failure to perform.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Non-Change of Control Executive Officer Severance</w:t>
      </w:r>
    </w:p>
    <w:p>
      <w:pPr>
        <w:spacing w:after="0" w:line="13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0E1020"/>
        </w:rPr>
        <w:t>The Company does not currently maintain a Non-Change of Control Executive Officer Severance Policy, however, certain NEOs (including Messrs. Del Bene, Drumgoole, Fawcett, and Boville) are entitled under the terms of individual offer letters with the Company to severance benefits equal to 1x base salary plus target bonus, payable in a lump sum and may (in certain cases) be paid on a termination by the executive for Good Reason in addition to a termination by the Company without Cause. As disclosed in this Proxy Statement’s Summary Compensation Table above, Mr. Boville received a cash severance amount consisting of fiscal 2026 base salary plus his target annual bonus in accordance with the terms of his individual offer letter.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92</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00" w:name="page101"/>
    <w:bookmarkEnd w:id="100"/>
    <w:p>
      <w:pPr>
        <w:ind w:left="20"/>
        <w:spacing w:after="0"/>
        <w:tabs>
          <w:tab w:leader="none" w:pos="918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0E1020"/>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Vesting of Equity Awards</w:t>
      </w:r>
    </w:p>
    <w:p>
      <w:pPr>
        <w:spacing w:after="0" w:line="146" w:lineRule="exact"/>
        <w:rPr>
          <w:sz w:val="20"/>
          <w:szCs w:val="20"/>
          <w:color w:val="auto"/>
        </w:rPr>
      </w:pPr>
    </w:p>
    <w:p>
      <w:pPr>
        <w:spacing w:after="0" w:line="297" w:lineRule="auto"/>
        <w:rPr>
          <w:sz w:val="20"/>
          <w:szCs w:val="20"/>
          <w:color w:val="auto"/>
        </w:rPr>
      </w:pPr>
      <w:r>
        <w:rPr>
          <w:rFonts w:ascii="Arial" w:cs="Arial" w:eastAsia="Arial" w:hAnsi="Arial"/>
          <w:sz w:val="16"/>
          <w:szCs w:val="16"/>
          <w:color w:val="0E1020"/>
        </w:rPr>
        <w:t>Upon an NEO’s qualifying termination of employment within two years following a Change of Control (as defined above), RSUs and PSUs granted by DXC provide for accelerated vesting at the greater of target or actual performance achieved as of the Change of Control. In general, a qualifying termination of employment includes termination of the executive’s employment without Cause at a time when the employee is meeting performance expectations (or, for Mr. Fernandez, pursuant to the terms of his Employment Agreement, a termination without Cause or resignation for Good Reason), or termination due to death, Disability, or Retirement (for outstanding equity awards, executive qualifies for Retirement if separation from service occurs on or after age 55 with at least 5 years of service, with the exceptions of Mr. Fernandez who, pursuant to the terms of his Employment Agreement, qualifies for Retirement if age 55 with at least 5 years of service from his election date to the Board, Mr. Boville who, pursuant to the terms of his individual offer letter, qualifies for Retirement if age 55 with at least 3 years of service, and Mr. August who, pursuant to the terms of his individual retention agreement, qualifies for Retirement if age 55 with service at least through April 30, 2026). In May 2025, in connection with the grant of the Special Equity Awards, the Compensation Committee also approved the provision of two years of service credit to Mr. Del Bene for purposes of the retirement vesting provisions of his equity awards such that he will be retirement eligible on June 15, 2026.</w:t>
      </w:r>
    </w:p>
    <w:p>
      <w:pPr>
        <w:spacing w:after="0" w:line="5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0E1020"/>
        </w:rPr>
        <w:t>For terminations unrelated to a Change of Control, with the exception of Mr. Fernandez, DXC’s fiscal 2024 RSU awards provide for pro-rata accelerated vesting (unless the Compensation Committee determines otherwise) upon Retirement (as defined above), other than for Cause (as defined above), and, in the case of PSUs, provided at least one year has elapsed during the performance period, then a pro-rata fraction of the award will vest after the performance period based on actual achievement. For terminations unrelated to a Change of Control, with the exception of Mr. Fernandez, DXC’s fiscal 2025 and fiscal 2026 RSU awards provide for full continued vesting upon a Retirement (as defined above) one year or more after the grant date or pro-rata accelerated vesting for a Retirement (as defined above) less than one year after the grant date (unless the Compensation Committee determines otherwise), other than for Cause (as defined above). For Mr. Fernandez, for terminations unrelated to a Change of Control upon retirement, only for his fiscal 2025 annual RSUs, if the grant date is at least 12 months prior to the retirement date, then any outstanding RSUs will remain outstanding and continue to vest according to the award agreement’s vest schedule, and, only in the case of his fiscal 2024 and fiscal 2025 PSUs, provided at least one year has elapsed during the performance period, then the award’s target amount of shares will remain outstanding and vest after the performance period based on actual achievement. There are no retirement vesting provisions for Mr. Fernandez’s front-loaded fiscal 2026 PSU and front-loaded fiscal 2026 RSU awards. Mr. Fernandez (and only for his applicable awards mentioned above) is the only NEO eligible to retire under the definitions stated above, as of March 31, 2026, the last day of fiscal 2026. In addition, all annual equity awards provide for accelerated vesting upon an executive’s termination of employment due to death or permanent Disability, with vesting of annual-cycle PSUs occurring with respect to only a pro-rata fraction of the target amount (based on the executive’s full months</w:t>
      </w:r>
    </w:p>
    <w:p>
      <w:pPr>
        <w:spacing w:after="0" w:line="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0E1020"/>
        </w:rPr>
        <w:t>of service during the applicable performance period) for the fiscal 2024 PSUs and fiscal 2025 PSUs, and vesting of the full target amount for only the fiscal 2026 PSUs. Mr. Fernandez is entitled to accelerated vesting of equity awards in certain additional circumstances as described in “Employment Agreement with Mr. Fernandez,” below. Mr. Boville, pursuant to the terms of his individual offer letter, is entitled to pro-rata accelerated vesting of all DXC RSU awards, and, in the case of PSUs, a pro rata fraction of the target award (based on service during the applicable performance period) will vest after the performance period based on actual achievement, upon a termination by DXC without Cause or a resignation from DXC for Good Reason (as each term is defined above). In May 2025, in connection with the grant of the Special Equity Awards, the Compensation Committee also approved that Mr. Del Bene is entitled to pro-rata accelerated vesting solely for the front-loaded fiscal 2026 RSUs, and, solely in the case of Mr. Del Bene’s front-loaded fiscal 2026 PSUs, a pro rata fraction of the target award (based on service during the applicable performance period) will vest after the performance period based on actual achievement, upon a termination by DXC without Cause or a resignation from DXC for Good Reason (as each term is defined above). Upon a termination of employment not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0E1020"/>
        </w:rPr>
        <w:t>in connection with a Change of Control for any reason other than those set forth in this paragraph, all annual equity awards will be canceled.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93</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01" w:name="page102"/>
    <w:bookmarkEnd w:id="101"/>
    <w:p>
      <w:pPr>
        <w:ind w:left="20"/>
        <w:spacing w:after="0"/>
        <w:tabs>
          <w:tab w:leader="none" w:pos="10100" w:val="left"/>
        </w:tabs>
        <w:rPr>
          <w:sz w:val="20"/>
          <w:szCs w:val="20"/>
          <w:color w:val="auto"/>
        </w:rPr>
      </w:pPr>
      <w:r>
        <w:rPr>
          <w:rFonts w:ascii="Arial" w:cs="Arial" w:eastAsia="Arial" w:hAnsi="Arial"/>
          <w:sz w:val="14"/>
          <w:szCs w:val="14"/>
          <w:color w:val="0E1020"/>
        </w:rPr>
        <w:t>Executive Compensation Tables</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Employment Agreement with Mr. Fernandez</w:t>
      </w:r>
    </w:p>
    <w:p>
      <w:pPr>
        <w:spacing w:after="0" w:line="14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0E1020"/>
        </w:rPr>
        <w:t>Mr. Fernandez’s annual compensation opportunity is governed by his Employment Agreement as full-time President and CEO, which was effective as of April 1, 2024 (the first day of fiscal 2025). Pursuant to the Employment Agreement, DXC agreed to employ Mr. Fernandez as its President and Chief Executive Officer through March 31, 2025, with automatic additional one-year extensions unless either party provides notice of non-extension not later than six months prior to March 31, 2025 or any extended annual period, with annual compensation of a minimum annual base salary of $1,380,000 and an annual cash incentive award with a target opportunity of 200% of base salary and a maximum amount of 400% of base salary. Mr. Fernandez also received a fiscal 2025 annual equity award with an aggregate target value of $14,950,000, on the same terms and conditions that are generally consistent with those applicable to awards granted to other senior executive officers of DXC. The Employment Agreement also provides for certain benefits and perquisites and certain severance benefits described below. Mr. Fernandez reports directly to the Board, and his salary and target incentives are subject to annual review and increase by the Board.</w:t>
      </w:r>
    </w:p>
    <w:p>
      <w:pPr>
        <w:spacing w:after="0" w:line="5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0E1020"/>
        </w:rPr>
        <w:t>In fiscal 2026, pursuant to an amendment to Mr. Fernandez’s Employment Agreement, effective as of May 13, 2025, DXC agreed to continue to employ Mr. Fernandez as its President and Chief Executive Officer through March 31, 2028, with automatic additional one-year extensions unless either party provides notice of non-extension not later than six months prior to March 31, 2028 or any extended annual period, with annual compensation of a minimum annual base salary of $1,500,000, effective as of April 1, 2025 (the first day of fiscal 2026), and an annual cash incentive award with a target opportunity of 250% of base salary and a maximum amount of 500% of base salary, effective April 1, 2025 (the first day of fiscal 2026).</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0E1020"/>
        </w:rPr>
        <w:t>In the event that Mr. Fernandez is terminated by DXC without Cause or if he resigns from DXC for Good Reason (as each such term is defined in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0E1020"/>
        </w:rPr>
        <w:t>Employment Agreement and collectively referred to as a Qualifying Termination), he would receive the following payments under the terms of the agreement:</w:t>
      </w:r>
    </w:p>
    <w:p>
      <w:pPr>
        <w:spacing w:after="0" w:line="124" w:lineRule="exact"/>
        <w:rPr>
          <w:sz w:val="20"/>
          <w:szCs w:val="20"/>
          <w:color w:val="auto"/>
        </w:rPr>
      </w:pPr>
    </w:p>
    <w:p>
      <w:pPr>
        <w:ind w:left="320" w:right="480" w:hanging="313"/>
        <w:spacing w:after="0" w:line="335" w:lineRule="auto"/>
        <w:tabs>
          <w:tab w:leader="none" w:pos="282" w:val="left"/>
        </w:tabs>
        <w:numPr>
          <w:ilvl w:val="0"/>
          <w:numId w:val="96"/>
        </w:numPr>
        <w:rPr>
          <w:rFonts w:ascii="Arial" w:cs="Arial" w:eastAsia="Arial" w:hAnsi="Arial"/>
          <w:sz w:val="16"/>
          <w:szCs w:val="16"/>
          <w:color w:val="0E1020"/>
        </w:rPr>
      </w:pPr>
      <w:r>
        <w:rPr>
          <w:rFonts w:ascii="Arial" w:cs="Arial" w:eastAsia="Arial" w:hAnsi="Arial"/>
          <w:sz w:val="16"/>
          <w:szCs w:val="16"/>
          <w:color w:val="0E1020"/>
        </w:rPr>
        <w:t>a pro rata annual cash incentive award for the year in which the termination occurred, based on DXC’s actual performance for the entire fiscal year, payable at the time annual cash incentive awards are generally paid (the pro rata bonus);</w:t>
      </w:r>
    </w:p>
    <w:p>
      <w:pPr>
        <w:spacing w:after="0" w:line="35" w:lineRule="exact"/>
        <w:rPr>
          <w:rFonts w:ascii="Arial" w:cs="Arial" w:eastAsia="Arial" w:hAnsi="Arial"/>
          <w:sz w:val="16"/>
          <w:szCs w:val="16"/>
          <w:color w:val="0E1020"/>
        </w:rPr>
      </w:pPr>
    </w:p>
    <w:p>
      <w:pPr>
        <w:ind w:left="320" w:hanging="313"/>
        <w:spacing w:after="0" w:line="304" w:lineRule="auto"/>
        <w:tabs>
          <w:tab w:leader="none" w:pos="282" w:val="left"/>
        </w:tabs>
        <w:numPr>
          <w:ilvl w:val="0"/>
          <w:numId w:val="96"/>
        </w:numPr>
        <w:rPr>
          <w:rFonts w:ascii="Arial" w:cs="Arial" w:eastAsia="Arial" w:hAnsi="Arial"/>
          <w:sz w:val="16"/>
          <w:szCs w:val="16"/>
          <w:color w:val="0E1020"/>
        </w:rPr>
      </w:pPr>
      <w:r>
        <w:rPr>
          <w:rFonts w:ascii="Arial" w:cs="Arial" w:eastAsia="Arial" w:hAnsi="Arial"/>
          <w:sz w:val="16"/>
          <w:szCs w:val="16"/>
          <w:color w:val="0E1020"/>
        </w:rPr>
        <w:t>for a Qualifying Termination that is not in connection with a Change of Control of the Company (i.e., a termination by the Company without Cause that is prior to or more than 3 years after a Change of Control, or a termination by the CEO for Good Reason that is prior to or more than 2 years after a Change of Control), a severance payment equal to two times the sum of Mr. Fernandez’s (a) base salary and (b) target annual cash incentive award for the year of termination, payable in twenty-four equal monthly installments following Mr. Fernandez’s termination;</w:t>
      </w:r>
    </w:p>
    <w:p>
      <w:pPr>
        <w:spacing w:after="0" w:line="46" w:lineRule="exact"/>
        <w:rPr>
          <w:rFonts w:ascii="Arial" w:cs="Arial" w:eastAsia="Arial" w:hAnsi="Arial"/>
          <w:sz w:val="16"/>
          <w:szCs w:val="16"/>
          <w:color w:val="0E1020"/>
        </w:rPr>
      </w:pPr>
    </w:p>
    <w:p>
      <w:pPr>
        <w:ind w:left="320" w:right="20" w:hanging="313"/>
        <w:spacing w:after="0" w:line="301" w:lineRule="auto"/>
        <w:tabs>
          <w:tab w:leader="none" w:pos="282" w:val="left"/>
        </w:tabs>
        <w:numPr>
          <w:ilvl w:val="0"/>
          <w:numId w:val="96"/>
        </w:numPr>
        <w:rPr>
          <w:rFonts w:ascii="Arial" w:cs="Arial" w:eastAsia="Arial" w:hAnsi="Arial"/>
          <w:sz w:val="16"/>
          <w:szCs w:val="16"/>
          <w:color w:val="0E1020"/>
        </w:rPr>
      </w:pPr>
      <w:r>
        <w:rPr>
          <w:rFonts w:ascii="Arial" w:cs="Arial" w:eastAsia="Arial" w:hAnsi="Arial"/>
          <w:sz w:val="16"/>
          <w:szCs w:val="16"/>
          <w:color w:val="0E1020"/>
        </w:rPr>
        <w:t>for a Qualifying Termination that is in connection with a Change of Control of the Company (i.e., a termination by the Company without Cause that is within 3 years after a Change of Control or a termination by the CEO for Good Reason that is within 2 years after a Change of Control), a severance payment equal to three times the sum of Mr. Fernandez’s (a) base salary and (b) the greater of (i) the average of the three most recent annual cash incentive awards paid or determined, (ii) the target annual bonus for the year of termination, or (iii) the most recent annual bonus paid or determined prior to termination, payable in a lump sum if such termination occurs within 2 years following the date of the Change of Control and otherwise in monthly installments; and</w:t>
      </w:r>
    </w:p>
    <w:p>
      <w:pPr>
        <w:spacing w:after="0" w:line="63" w:lineRule="exact"/>
        <w:rPr>
          <w:rFonts w:ascii="Arial" w:cs="Arial" w:eastAsia="Arial" w:hAnsi="Arial"/>
          <w:sz w:val="16"/>
          <w:szCs w:val="16"/>
          <w:color w:val="0E1020"/>
        </w:rPr>
      </w:pPr>
    </w:p>
    <w:p>
      <w:pPr>
        <w:ind w:left="300" w:hanging="293"/>
        <w:spacing w:after="0"/>
        <w:tabs>
          <w:tab w:leader="none" w:pos="300" w:val="left"/>
        </w:tabs>
        <w:numPr>
          <w:ilvl w:val="0"/>
          <w:numId w:val="96"/>
        </w:numPr>
        <w:rPr>
          <w:rFonts w:ascii="Arial" w:cs="Arial" w:eastAsia="Arial" w:hAnsi="Arial"/>
          <w:sz w:val="16"/>
          <w:szCs w:val="16"/>
          <w:color w:val="0E1020"/>
        </w:rPr>
      </w:pPr>
      <w:r>
        <w:rPr>
          <w:rFonts w:ascii="Arial" w:cs="Arial" w:eastAsia="Arial" w:hAnsi="Arial"/>
          <w:sz w:val="16"/>
          <w:szCs w:val="16"/>
          <w:color w:val="0E1020"/>
        </w:rPr>
        <w:t>accelerated vesting of certain equity awards, as described below.</w:t>
      </w:r>
    </w:p>
    <w:p>
      <w:pPr>
        <w:spacing w:after="0" w:line="218"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0E1020"/>
        </w:rPr>
        <w:t>Mr. Fernandez’s front-loaded fiscal 2026 RSUs and front-loaded fiscal 2026 PSUs have no vesting provisions in the event of a Qualifying Termination that is not in connection with a Change of Control. For all Mr. Fernandez’s other outstanding awards, annual-cycle RSU awards would vest on a pro rata basis and annual-cycle PSU awards would remain outstanding on a pro-rata basis and eligible to vest, based on performance as if termination had not occurred. In the event of a Qualifying Termination in connection with a Change of Control, any outstanding RSUs or PSUs would vest in full (with PSUs vesting at the greater of target or actual performance achieved as of the date of the Change of Control). The Employment Agreement also provides that upon the termination of Mr. Fernandez’s employment due to death or Disability, he would be eligible to receive a pro rata bonus.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94</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102" w:name="page103"/>
    <w:bookmarkEnd w:id="102"/>
    <w:p>
      <w:pPr>
        <w:ind w:left="20"/>
        <w:spacing w:after="0"/>
        <w:tabs>
          <w:tab w:leader="none" w:pos="918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0E1020"/>
        </w:rPr>
        <w:t>Executive Compensation Tables</w:t>
      </w:r>
    </w:p>
    <w:p>
      <w:pPr>
        <w:spacing w:after="0" w:line="200" w:lineRule="exact"/>
        <w:rPr>
          <w:sz w:val="20"/>
          <w:szCs w:val="20"/>
          <w:color w:val="auto"/>
        </w:rPr>
      </w:pPr>
    </w:p>
    <w:p>
      <w:pPr>
        <w:spacing w:after="0" w:line="358" w:lineRule="exact"/>
        <w:rPr>
          <w:sz w:val="20"/>
          <w:szCs w:val="20"/>
          <w:color w:val="auto"/>
        </w:rPr>
      </w:pPr>
    </w:p>
    <w:p>
      <w:pPr>
        <w:spacing w:after="0" w:line="301" w:lineRule="auto"/>
        <w:rPr>
          <w:sz w:val="20"/>
          <w:szCs w:val="20"/>
          <w:color w:val="auto"/>
        </w:rPr>
      </w:pPr>
      <w:r>
        <w:rPr>
          <w:rFonts w:ascii="Arial" w:cs="Arial" w:eastAsia="Arial" w:hAnsi="Arial"/>
          <w:sz w:val="16"/>
          <w:szCs w:val="16"/>
          <w:color w:val="0E1020"/>
        </w:rPr>
        <w:t>The severance benefits described above are subject to Mr. Fernandez’s execution and non-revocation of a release of claims against the Company and certain related parties and his continued compliance with certain restrictive covenants as set forth in the Employment Agreement and the non-competition and non-solicitation agreement we have entered into with him. The non-competition and non-solicitation agreement provides that Mr. Fernandez will be subject to certain restrictive covenants, including (i) non-disclosure restrictions, (ii) non-solicitation of DXC’s employees, clients and prospective clients during the term of his employment and for a period of twelve months thereafter and (iii) non-competition during the term of his employment and for a period of twelve months thereafter.</w:t>
      </w:r>
    </w:p>
    <w:p>
      <w:pPr>
        <w:spacing w:after="0" w:line="50" w:lineRule="exact"/>
        <w:rPr>
          <w:sz w:val="20"/>
          <w:szCs w:val="20"/>
          <w:color w:val="auto"/>
        </w:rPr>
      </w:pPr>
    </w:p>
    <w:p>
      <w:pPr>
        <w:ind w:right="340"/>
        <w:spacing w:after="0" w:line="310" w:lineRule="auto"/>
        <w:rPr>
          <w:sz w:val="20"/>
          <w:szCs w:val="20"/>
          <w:color w:val="auto"/>
        </w:rPr>
      </w:pPr>
      <w:r>
        <w:rPr>
          <w:rFonts w:ascii="Arial" w:cs="Arial" w:eastAsia="Arial" w:hAnsi="Arial"/>
          <w:sz w:val="16"/>
          <w:szCs w:val="16"/>
          <w:color w:val="0E1020"/>
        </w:rPr>
        <w:t>There would be a six-month delay in payments and benefits provided under the Employment Agreement following certain terminations of Mr. Fernandez’s employment if such payments and benefits were determined to be subject to the provisions of Section 409A of the Internal Revenue Code at the time of termination. The Employment Agreement provides for the crediting of earnings during any such payment or benefits delay period. Mr. Fernandez’s Employment Agreement does not provide for any tax gross-ups on any amounts payable in connection with a Change of Control.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Change of Control and Termination of Employment Payment Tables</w:t>
      </w:r>
    </w:p>
    <w:p>
      <w:pPr>
        <w:spacing w:after="0" w:line="13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0E1020"/>
        </w:rPr>
        <w:t>The tables below reflect the value of compensation and benefits that would have become payable to each of the NEOs under DXC plans and arrangements existing as of March 31, 2026 (the final day of fiscal year 2026), if the executive’s employment had terminated on that date in the circumstances explained below. These amounts are reported based upon the executive’s compensation and service levels as of such date and, if applicable, in accordance with SEC regulations, based on DXC’s closing stock price of $12.57 on March 31, 2026. These benefits are in addition to benefits available prior to the occurrence of any termination of employment, including under retirement plans and deferred compensation plans, and benefits available generally to salaried employees, such as distributions under DXC’s broad-based 401(k) plan. The actual amounts that would be paid upon an NEO’s termination of employment can be determined only at the time of any such event. Due to the number of factors that affect the nature and amount of any benefits provided upon such an event, any actual amounts paid or distributed may be higher or lower than reported below. Factors that could affect these amounts include the timing during the year of any such event, DXC’s stock price and the executive’s age and service. Mr. Boville is not included in the tables because he was not a DXC employee on March 31, 2026.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Potential Payments Upon Change of Control and Termination of Employment</w:t>
      </w:r>
    </w:p>
    <w:p>
      <w:pPr>
        <w:spacing w:after="0" w:line="133" w:lineRule="exact"/>
        <w:rPr>
          <w:sz w:val="20"/>
          <w:szCs w:val="20"/>
          <w:color w:val="auto"/>
        </w:rPr>
      </w:pPr>
    </w:p>
    <w:p>
      <w:pPr>
        <w:ind w:right="440"/>
        <w:spacing w:after="0" w:line="335" w:lineRule="auto"/>
        <w:rPr>
          <w:sz w:val="20"/>
          <w:szCs w:val="20"/>
          <w:color w:val="auto"/>
        </w:rPr>
      </w:pPr>
      <w:r>
        <w:rPr>
          <w:rFonts w:ascii="Arial" w:cs="Arial" w:eastAsia="Arial" w:hAnsi="Arial"/>
          <w:sz w:val="16"/>
          <w:szCs w:val="16"/>
          <w:color w:val="0E1020"/>
        </w:rPr>
        <w:t>The amounts shown in the table below reflect the value of compensation and benefits payable to the NEOs upon a qualifying termination of employment related to a Change of Control. For this purpose, the Change of Control is assumed to occur on March 31, 2026.</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3160" w:type="dxa"/>
            <w:vAlign w:val="bottom"/>
            <w:tcBorders>
              <w:bottom w:val="single" w:sz="8" w:color="F6F3F0"/>
            </w:tcBorders>
            <w:shd w:val="clear" w:color="auto" w:fill="F6F3F0"/>
          </w:tcPr>
          <w:p>
            <w:pPr>
              <w:spacing w:after="0"/>
              <w:rPr>
                <w:sz w:val="24"/>
                <w:szCs w:val="24"/>
                <w:color w:val="auto"/>
              </w:rPr>
            </w:pPr>
          </w:p>
        </w:tc>
        <w:tc>
          <w:tcPr>
            <w:tcW w:w="3080" w:type="dxa"/>
            <w:vAlign w:val="bottom"/>
            <w:tcBorders>
              <w:bottom w:val="single" w:sz="8" w:color="F6F3F0"/>
            </w:tcBorders>
            <w:gridSpan w:val="2"/>
            <w:shd w:val="clear" w:color="auto" w:fill="F6F3F0"/>
          </w:tcPr>
          <w:p>
            <w:pPr>
              <w:jc w:val="right"/>
              <w:ind w:right="709"/>
              <w:spacing w:after="0"/>
              <w:rPr>
                <w:sz w:val="20"/>
                <w:szCs w:val="20"/>
                <w:color w:val="auto"/>
              </w:rPr>
            </w:pPr>
            <w:r>
              <w:rPr>
                <w:rFonts w:ascii="Arial" w:cs="Arial" w:eastAsia="Arial" w:hAnsi="Arial"/>
                <w:sz w:val="14"/>
                <w:szCs w:val="14"/>
                <w:b w:val="1"/>
                <w:bCs w:val="1"/>
                <w:color w:val="0E1020"/>
              </w:rPr>
              <w:t>Cash-based Payments</w:t>
            </w:r>
          </w:p>
        </w:tc>
        <w:tc>
          <w:tcPr>
            <w:tcW w:w="240" w:type="dxa"/>
            <w:vAlign w:val="bottom"/>
            <w:tcBorders>
              <w:bottom w:val="single" w:sz="8" w:color="F6F3F0"/>
            </w:tcBorders>
            <w:shd w:val="clear" w:color="auto" w:fill="F6F3F0"/>
          </w:tcPr>
          <w:p>
            <w:pPr>
              <w:spacing w:after="0"/>
              <w:rPr>
                <w:sz w:val="24"/>
                <w:szCs w:val="24"/>
                <w:color w:val="auto"/>
              </w:rPr>
            </w:pPr>
          </w:p>
        </w:tc>
        <w:tc>
          <w:tcPr>
            <w:tcW w:w="3060" w:type="dxa"/>
            <w:vAlign w:val="bottom"/>
            <w:tcBorders>
              <w:bottom w:val="single" w:sz="8" w:color="F6F3F0"/>
            </w:tcBorders>
            <w:gridSpan w:val="3"/>
            <w:shd w:val="clear" w:color="auto" w:fill="F6F3F0"/>
          </w:tcPr>
          <w:p>
            <w:pPr>
              <w:ind w:left="540"/>
              <w:spacing w:after="0"/>
              <w:rPr>
                <w:sz w:val="20"/>
                <w:szCs w:val="20"/>
                <w:color w:val="auto"/>
              </w:rPr>
            </w:pPr>
            <w:r>
              <w:rPr>
                <w:rFonts w:ascii="Arial" w:cs="Arial" w:eastAsia="Arial" w:hAnsi="Arial"/>
                <w:sz w:val="14"/>
                <w:szCs w:val="14"/>
                <w:b w:val="1"/>
                <w:bCs w:val="1"/>
                <w:color w:val="0E1020"/>
              </w:rPr>
              <w:t>Equity-based Payments</w:t>
            </w:r>
            <w:r>
              <w:rPr>
                <w:rFonts w:ascii="Arial" w:cs="Arial" w:eastAsia="Arial" w:hAnsi="Arial"/>
                <w:sz w:val="18"/>
                <w:szCs w:val="18"/>
                <w:b w:val="1"/>
                <w:bCs w:val="1"/>
                <w:color w:val="0E1020"/>
                <w:vertAlign w:val="superscript"/>
              </w:rPr>
              <w:t>(1)</w:t>
            </w:r>
          </w:p>
        </w:tc>
        <w:tc>
          <w:tcPr>
            <w:tcW w:w="1700" w:type="dxa"/>
            <w:vAlign w:val="bottom"/>
            <w:tcBorders>
              <w:bottom w:val="single" w:sz="8" w:color="F6F3F0"/>
            </w:tcBorders>
            <w:shd w:val="clear" w:color="auto" w:fill="F6F3F0"/>
          </w:tcPr>
          <w:p>
            <w:pPr>
              <w:jc w:val="right"/>
              <w:ind w:right="269"/>
              <w:spacing w:after="0"/>
              <w:rPr>
                <w:sz w:val="20"/>
                <w:szCs w:val="20"/>
                <w:color w:val="auto"/>
              </w:rPr>
            </w:pPr>
            <w:r>
              <w:rPr>
                <w:rFonts w:ascii="Arial" w:cs="Arial" w:eastAsia="Arial" w:hAnsi="Arial"/>
                <w:sz w:val="14"/>
                <w:szCs w:val="14"/>
                <w:b w:val="1"/>
                <w:bCs w:val="1"/>
                <w:color w:val="0E1020"/>
              </w:rPr>
              <w:t>Total Payments</w:t>
            </w:r>
            <w:r>
              <w:rPr>
                <w:rFonts w:ascii="Arial" w:cs="Arial" w:eastAsia="Arial" w:hAnsi="Arial"/>
                <w:sz w:val="18"/>
                <w:szCs w:val="18"/>
                <w:b w:val="1"/>
                <w:bCs w:val="1"/>
                <w:color w:val="0E1020"/>
                <w:vertAlign w:val="superscript"/>
              </w:rPr>
              <w:t>(6)</w:t>
            </w:r>
          </w:p>
        </w:tc>
        <w:tc>
          <w:tcPr>
            <w:tcW w:w="0" w:type="dxa"/>
            <w:vAlign w:val="bottom"/>
          </w:tcPr>
          <w:p>
            <w:pPr>
              <w:spacing w:after="0"/>
              <w:rPr>
                <w:sz w:val="1"/>
                <w:szCs w:val="1"/>
                <w:color w:val="auto"/>
              </w:rPr>
            </w:pPr>
          </w:p>
        </w:tc>
      </w:tr>
      <w:tr>
        <w:trPr>
          <w:trHeight w:val="225"/>
        </w:trPr>
        <w:tc>
          <w:tcPr>
            <w:tcW w:w="3160" w:type="dxa"/>
            <w:vAlign w:val="bottom"/>
            <w:tcBorders>
              <w:top w:val="single" w:sz="8" w:color="F6F3F0"/>
            </w:tcBorders>
            <w:shd w:val="clear" w:color="auto" w:fill="F6F3F0"/>
          </w:tcPr>
          <w:p>
            <w:pPr>
              <w:spacing w:after="0"/>
              <w:rPr>
                <w:sz w:val="19"/>
                <w:szCs w:val="19"/>
                <w:color w:val="auto"/>
              </w:rPr>
            </w:pPr>
          </w:p>
        </w:tc>
        <w:tc>
          <w:tcPr>
            <w:tcW w:w="1540" w:type="dxa"/>
            <w:vAlign w:val="bottom"/>
            <w:tcBorders>
              <w:top w:val="single" w:sz="8" w:color="CFCFD2"/>
            </w:tcBorders>
            <w:shd w:val="clear" w:color="auto" w:fill="F6F3F0"/>
          </w:tcPr>
          <w:p>
            <w:pPr>
              <w:spacing w:after="0"/>
              <w:rPr>
                <w:sz w:val="19"/>
                <w:szCs w:val="19"/>
                <w:color w:val="auto"/>
              </w:rPr>
            </w:pPr>
          </w:p>
        </w:tc>
        <w:tc>
          <w:tcPr>
            <w:tcW w:w="1540" w:type="dxa"/>
            <w:vAlign w:val="bottom"/>
            <w:tcBorders>
              <w:top w:val="single" w:sz="8" w:color="CFCFD2"/>
            </w:tcBorders>
            <w:shd w:val="clear" w:color="auto" w:fill="F6F3F0"/>
          </w:tcPr>
          <w:p>
            <w:pPr>
              <w:jc w:val="right"/>
              <w:spacing w:after="0"/>
              <w:rPr>
                <w:sz w:val="20"/>
                <w:szCs w:val="20"/>
                <w:color w:val="auto"/>
              </w:rPr>
            </w:pPr>
            <w:r>
              <w:rPr>
                <w:rFonts w:ascii="Arial" w:cs="Arial" w:eastAsia="Arial" w:hAnsi="Arial"/>
                <w:sz w:val="14"/>
                <w:szCs w:val="14"/>
                <w:b w:val="1"/>
                <w:bCs w:val="1"/>
                <w:color w:val="0E1020"/>
              </w:rPr>
              <w:t>Misc. Benefits</w:t>
            </w:r>
          </w:p>
        </w:tc>
        <w:tc>
          <w:tcPr>
            <w:tcW w:w="240" w:type="dxa"/>
            <w:vAlign w:val="bottom"/>
            <w:tcBorders>
              <w:top w:val="single" w:sz="8" w:color="F6F3F0"/>
            </w:tcBorders>
            <w:shd w:val="clear" w:color="auto" w:fill="F6F3F0"/>
          </w:tcPr>
          <w:p>
            <w:pPr>
              <w:spacing w:after="0"/>
              <w:rPr>
                <w:sz w:val="19"/>
                <w:szCs w:val="19"/>
                <w:color w:val="auto"/>
              </w:rPr>
            </w:pPr>
          </w:p>
        </w:tc>
        <w:tc>
          <w:tcPr>
            <w:tcW w:w="1560" w:type="dxa"/>
            <w:vAlign w:val="bottom"/>
            <w:tcBorders>
              <w:top w:val="single" w:sz="8" w:color="CFCFD2"/>
            </w:tcBorders>
            <w:shd w:val="clear" w:color="auto" w:fill="F6F3F0"/>
          </w:tcPr>
          <w:p>
            <w:pPr>
              <w:spacing w:after="0"/>
              <w:rPr>
                <w:sz w:val="19"/>
                <w:szCs w:val="19"/>
                <w:color w:val="auto"/>
              </w:rPr>
            </w:pPr>
          </w:p>
        </w:tc>
        <w:tc>
          <w:tcPr>
            <w:tcW w:w="1260" w:type="dxa"/>
            <w:vAlign w:val="bottom"/>
            <w:tcBorders>
              <w:top w:val="single" w:sz="8" w:color="CFCFD2"/>
            </w:tcBorders>
            <w:shd w:val="clear" w:color="auto" w:fill="F6F3F0"/>
          </w:tcPr>
          <w:p>
            <w:pPr>
              <w:spacing w:after="0"/>
              <w:rPr>
                <w:sz w:val="19"/>
                <w:szCs w:val="19"/>
                <w:color w:val="auto"/>
              </w:rPr>
            </w:pPr>
          </w:p>
        </w:tc>
        <w:tc>
          <w:tcPr>
            <w:tcW w:w="240" w:type="dxa"/>
            <w:vAlign w:val="bottom"/>
            <w:tcBorders>
              <w:top w:val="single" w:sz="8" w:color="F6F3F0"/>
            </w:tcBorders>
            <w:shd w:val="clear" w:color="auto" w:fill="F6F3F0"/>
          </w:tcPr>
          <w:p>
            <w:pPr>
              <w:spacing w:after="0"/>
              <w:rPr>
                <w:sz w:val="19"/>
                <w:szCs w:val="19"/>
                <w:color w:val="auto"/>
              </w:rPr>
            </w:pPr>
          </w:p>
        </w:tc>
        <w:tc>
          <w:tcPr>
            <w:tcW w:w="1700" w:type="dxa"/>
            <w:vAlign w:val="bottom"/>
            <w:tcBorders>
              <w:top w:val="single" w:sz="8" w:color="CFCFD2"/>
            </w:tcBorders>
            <w:shd w:val="clear" w:color="auto" w:fill="F6F3F0"/>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F6F3F0"/>
          </w:tcPr>
          <w:p>
            <w:pPr>
              <w:spacing w:after="0"/>
              <w:rPr>
                <w:sz w:val="14"/>
                <w:szCs w:val="14"/>
                <w:color w:val="auto"/>
              </w:rPr>
            </w:pPr>
          </w:p>
        </w:tc>
        <w:tc>
          <w:tcPr>
            <w:tcW w:w="1540" w:type="dxa"/>
            <w:vAlign w:val="bottom"/>
            <w:vMerge w:val="restart"/>
            <w:shd w:val="clear" w:color="auto" w:fill="F6F3F0"/>
          </w:tcPr>
          <w:p>
            <w:pPr>
              <w:jc w:val="right"/>
              <w:spacing w:after="0"/>
              <w:rPr>
                <w:sz w:val="20"/>
                <w:szCs w:val="20"/>
                <w:color w:val="auto"/>
              </w:rPr>
            </w:pPr>
            <w:r>
              <w:rPr>
                <w:rFonts w:ascii="Arial" w:cs="Arial" w:eastAsia="Arial" w:hAnsi="Arial"/>
                <w:sz w:val="14"/>
                <w:szCs w:val="14"/>
                <w:b w:val="1"/>
                <w:bCs w:val="1"/>
                <w:color w:val="0E1020"/>
              </w:rPr>
              <w:t>Cash Severance</w:t>
            </w:r>
            <w:r>
              <w:rPr>
                <w:rFonts w:ascii="Arial" w:cs="Arial" w:eastAsia="Arial" w:hAnsi="Arial"/>
                <w:sz w:val="18"/>
                <w:szCs w:val="18"/>
                <w:b w:val="1"/>
                <w:bCs w:val="1"/>
                <w:color w:val="0E1020"/>
                <w:vertAlign w:val="superscript"/>
              </w:rPr>
              <w:t>(2)</w:t>
            </w:r>
          </w:p>
        </w:tc>
        <w:tc>
          <w:tcPr>
            <w:tcW w:w="15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Continuation</w:t>
            </w:r>
          </w:p>
        </w:tc>
        <w:tc>
          <w:tcPr>
            <w:tcW w:w="240" w:type="dxa"/>
            <w:vAlign w:val="bottom"/>
            <w:shd w:val="clear" w:color="auto" w:fill="F6F3F0"/>
          </w:tcPr>
          <w:p>
            <w:pPr>
              <w:spacing w:after="0"/>
              <w:rPr>
                <w:sz w:val="14"/>
                <w:szCs w:val="14"/>
                <w:color w:val="auto"/>
              </w:rPr>
            </w:pPr>
          </w:p>
        </w:tc>
        <w:tc>
          <w:tcPr>
            <w:tcW w:w="1560" w:type="dxa"/>
            <w:vAlign w:val="bottom"/>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Performance-</w:t>
            </w:r>
          </w:p>
        </w:tc>
        <w:tc>
          <w:tcPr>
            <w:tcW w:w="1500" w:type="dxa"/>
            <w:vAlign w:val="bottom"/>
            <w:gridSpan w:val="2"/>
            <w:shd w:val="clear" w:color="auto" w:fill="F6F3F0"/>
          </w:tcPr>
          <w:p>
            <w:pPr>
              <w:jc w:val="right"/>
              <w:ind w:right="260"/>
              <w:spacing w:after="0"/>
              <w:rPr>
                <w:sz w:val="20"/>
                <w:szCs w:val="20"/>
                <w:color w:val="auto"/>
              </w:rPr>
            </w:pPr>
            <w:r>
              <w:rPr>
                <w:rFonts w:ascii="Arial" w:cs="Arial" w:eastAsia="Arial" w:hAnsi="Arial"/>
                <w:sz w:val="14"/>
                <w:szCs w:val="14"/>
                <w:b w:val="1"/>
                <w:bCs w:val="1"/>
                <w:color w:val="0E1020"/>
              </w:rPr>
              <w:t>Service-Vesting</w:t>
            </w:r>
          </w:p>
        </w:tc>
        <w:tc>
          <w:tcPr>
            <w:tcW w:w="1700" w:type="dxa"/>
            <w:vAlign w:val="bottom"/>
            <w:vMerge w:val="restart"/>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(Cash + Equity)</w:t>
            </w:r>
          </w:p>
        </w:tc>
        <w:tc>
          <w:tcPr>
            <w:tcW w:w="0" w:type="dxa"/>
            <w:vAlign w:val="bottom"/>
          </w:tcPr>
          <w:p>
            <w:pPr>
              <w:spacing w:after="0"/>
              <w:rPr>
                <w:sz w:val="1"/>
                <w:szCs w:val="1"/>
                <w:color w:val="auto"/>
              </w:rPr>
            </w:pPr>
          </w:p>
        </w:tc>
      </w:tr>
      <w:tr>
        <w:trPr>
          <w:trHeight w:val="163"/>
        </w:trPr>
        <w:tc>
          <w:tcPr>
            <w:tcW w:w="3160" w:type="dxa"/>
            <w:vAlign w:val="bottom"/>
            <w:shd w:val="clear" w:color="auto" w:fill="F6F3F0"/>
          </w:tcPr>
          <w:p>
            <w:pPr>
              <w:spacing w:after="0"/>
              <w:rPr>
                <w:sz w:val="14"/>
                <w:szCs w:val="14"/>
                <w:color w:val="auto"/>
              </w:rPr>
            </w:pPr>
          </w:p>
        </w:tc>
        <w:tc>
          <w:tcPr>
            <w:tcW w:w="1540" w:type="dxa"/>
            <w:vAlign w:val="bottom"/>
            <w:vMerge w:val="continue"/>
            <w:shd w:val="clear" w:color="auto" w:fill="F6F3F0"/>
          </w:tcPr>
          <w:p>
            <w:pPr>
              <w:spacing w:after="0"/>
              <w:rPr>
                <w:sz w:val="14"/>
                <w:szCs w:val="14"/>
                <w:color w:val="auto"/>
              </w:rPr>
            </w:pPr>
          </w:p>
        </w:tc>
        <w:tc>
          <w:tcPr>
            <w:tcW w:w="1540" w:type="dxa"/>
            <w:vAlign w:val="bottom"/>
            <w:shd w:val="clear" w:color="auto" w:fill="F6F3F0"/>
          </w:tcPr>
          <w:p>
            <w:pPr>
              <w:jc w:val="right"/>
              <w:spacing w:after="0" w:line="163" w:lineRule="exact"/>
              <w:rPr>
                <w:sz w:val="20"/>
                <w:szCs w:val="20"/>
                <w:color w:val="auto"/>
              </w:rPr>
            </w:pPr>
            <w:r>
              <w:rPr>
                <w:rFonts w:ascii="Arial" w:cs="Arial" w:eastAsia="Arial" w:hAnsi="Arial"/>
                <w:sz w:val="14"/>
                <w:szCs w:val="14"/>
                <w:b w:val="1"/>
                <w:bCs w:val="1"/>
                <w:color w:val="0E1020"/>
              </w:rPr>
              <w:t>(COBRA)</w:t>
            </w:r>
            <w:r>
              <w:rPr>
                <w:rFonts w:ascii="Arial" w:cs="Arial" w:eastAsia="Arial" w:hAnsi="Arial"/>
                <w:sz w:val="18"/>
                <w:szCs w:val="18"/>
                <w:b w:val="1"/>
                <w:bCs w:val="1"/>
                <w:color w:val="0E1020"/>
                <w:vertAlign w:val="superscript"/>
              </w:rPr>
              <w:t>(3)</w:t>
            </w:r>
          </w:p>
        </w:tc>
        <w:tc>
          <w:tcPr>
            <w:tcW w:w="240" w:type="dxa"/>
            <w:vAlign w:val="bottom"/>
            <w:shd w:val="clear" w:color="auto" w:fill="F6F3F0"/>
          </w:tcPr>
          <w:p>
            <w:pPr>
              <w:spacing w:after="0"/>
              <w:rPr>
                <w:sz w:val="14"/>
                <w:szCs w:val="14"/>
                <w:color w:val="auto"/>
              </w:rPr>
            </w:pPr>
          </w:p>
        </w:tc>
        <w:tc>
          <w:tcPr>
            <w:tcW w:w="1560" w:type="dxa"/>
            <w:vAlign w:val="bottom"/>
            <w:shd w:val="clear" w:color="auto" w:fill="F6F3F0"/>
          </w:tcPr>
          <w:p>
            <w:pPr>
              <w:jc w:val="right"/>
              <w:ind w:right="89"/>
              <w:spacing w:after="0" w:line="163" w:lineRule="exact"/>
              <w:rPr>
                <w:sz w:val="20"/>
                <w:szCs w:val="20"/>
                <w:color w:val="auto"/>
              </w:rPr>
            </w:pPr>
            <w:r>
              <w:rPr>
                <w:rFonts w:ascii="Arial" w:cs="Arial" w:eastAsia="Arial" w:hAnsi="Arial"/>
                <w:sz w:val="14"/>
                <w:szCs w:val="14"/>
                <w:b w:val="1"/>
                <w:bCs w:val="1"/>
                <w:color w:val="0E1020"/>
              </w:rPr>
              <w:t>Vesting RSUs</w:t>
            </w:r>
            <w:r>
              <w:rPr>
                <w:rFonts w:ascii="Arial" w:cs="Arial" w:eastAsia="Arial" w:hAnsi="Arial"/>
                <w:sz w:val="18"/>
                <w:szCs w:val="18"/>
                <w:b w:val="1"/>
                <w:bCs w:val="1"/>
                <w:color w:val="0E1020"/>
                <w:vertAlign w:val="superscript"/>
              </w:rPr>
              <w:t>(4)</w:t>
            </w:r>
          </w:p>
        </w:tc>
        <w:tc>
          <w:tcPr>
            <w:tcW w:w="1500" w:type="dxa"/>
            <w:vAlign w:val="bottom"/>
            <w:gridSpan w:val="2"/>
            <w:shd w:val="clear" w:color="auto" w:fill="F6F3F0"/>
          </w:tcPr>
          <w:p>
            <w:pPr>
              <w:jc w:val="right"/>
              <w:ind w:right="260"/>
              <w:spacing w:after="0" w:line="163" w:lineRule="exact"/>
              <w:rPr>
                <w:sz w:val="20"/>
                <w:szCs w:val="20"/>
                <w:color w:val="auto"/>
              </w:rPr>
            </w:pPr>
            <w:r>
              <w:rPr>
                <w:rFonts w:ascii="Arial" w:cs="Arial" w:eastAsia="Arial" w:hAnsi="Arial"/>
                <w:sz w:val="14"/>
                <w:szCs w:val="14"/>
                <w:b w:val="1"/>
                <w:bCs w:val="1"/>
                <w:color w:val="0E1020"/>
              </w:rPr>
              <w:t>RSUs</w:t>
            </w:r>
            <w:r>
              <w:rPr>
                <w:rFonts w:ascii="Arial" w:cs="Arial" w:eastAsia="Arial" w:hAnsi="Arial"/>
                <w:sz w:val="18"/>
                <w:szCs w:val="18"/>
                <w:b w:val="1"/>
                <w:bCs w:val="1"/>
                <w:color w:val="0E1020"/>
                <w:vertAlign w:val="superscript"/>
              </w:rPr>
              <w:t>(5)</w:t>
            </w:r>
          </w:p>
        </w:tc>
        <w:tc>
          <w:tcPr>
            <w:tcW w:w="1700" w:type="dxa"/>
            <w:vAlign w:val="bottom"/>
            <w:vMerge w:val="continue"/>
            <w:shd w:val="clear" w:color="auto" w:fill="F6F3F0"/>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3160" w:type="dxa"/>
            <w:vAlign w:val="bottom"/>
            <w:tcBorders>
              <w:bottom w:val="single" w:sz="8" w:color="F6F3F0"/>
            </w:tcBorders>
            <w:shd w:val="clear" w:color="auto" w:fill="F6F3F0"/>
          </w:tcPr>
          <w:p>
            <w:pPr>
              <w:spacing w:after="0"/>
              <w:rPr>
                <w:sz w:val="22"/>
                <w:szCs w:val="22"/>
                <w:color w:val="auto"/>
              </w:rPr>
            </w:pPr>
          </w:p>
        </w:tc>
        <w:tc>
          <w:tcPr>
            <w:tcW w:w="154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154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240" w:type="dxa"/>
            <w:vAlign w:val="bottom"/>
            <w:tcBorders>
              <w:bottom w:val="single" w:sz="8" w:color="F6F3F0"/>
            </w:tcBorders>
            <w:shd w:val="clear" w:color="auto" w:fill="F6F3F0"/>
          </w:tcPr>
          <w:p>
            <w:pPr>
              <w:spacing w:after="0"/>
              <w:rPr>
                <w:sz w:val="22"/>
                <w:szCs w:val="22"/>
                <w:color w:val="auto"/>
              </w:rPr>
            </w:pPr>
          </w:p>
        </w:tc>
        <w:tc>
          <w:tcPr>
            <w:tcW w:w="1560" w:type="dxa"/>
            <w:vAlign w:val="bottom"/>
            <w:tcBorders>
              <w:bottom w:val="single" w:sz="8" w:color="F6F3F0"/>
            </w:tcBorders>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w:t>
            </w:r>
          </w:p>
        </w:tc>
        <w:tc>
          <w:tcPr>
            <w:tcW w:w="126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240" w:type="dxa"/>
            <w:vAlign w:val="bottom"/>
            <w:tcBorders>
              <w:bottom w:val="single" w:sz="8" w:color="F6F3F0"/>
            </w:tcBorders>
            <w:shd w:val="clear" w:color="auto" w:fill="F6F3F0"/>
          </w:tcPr>
          <w:p>
            <w:pPr>
              <w:spacing w:after="0"/>
              <w:rPr>
                <w:sz w:val="22"/>
                <w:szCs w:val="22"/>
                <w:color w:val="auto"/>
              </w:rPr>
            </w:pPr>
          </w:p>
        </w:tc>
        <w:tc>
          <w:tcPr>
            <w:tcW w:w="1700" w:type="dxa"/>
            <w:vAlign w:val="bottom"/>
            <w:tcBorders>
              <w:bottom w:val="single" w:sz="8" w:color="F6F3F0"/>
            </w:tcBorders>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w:t>
            </w:r>
          </w:p>
        </w:tc>
        <w:tc>
          <w:tcPr>
            <w:tcW w:w="0" w:type="dxa"/>
            <w:vAlign w:val="bottom"/>
          </w:tcPr>
          <w:p>
            <w:pPr>
              <w:spacing w:after="0"/>
              <w:rPr>
                <w:sz w:val="1"/>
                <w:szCs w:val="1"/>
                <w:color w:val="auto"/>
              </w:rPr>
            </w:pPr>
          </w:p>
        </w:tc>
      </w:tr>
      <w:tr>
        <w:trPr>
          <w:trHeight w:val="215"/>
        </w:trPr>
        <w:tc>
          <w:tcPr>
            <w:tcW w:w="3160" w:type="dxa"/>
            <w:vAlign w:val="bottom"/>
            <w:tcBorders>
              <w:top w:val="single" w:sz="8" w:color="CFCFD2"/>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Raul J. Fernandez</w:t>
            </w:r>
          </w:p>
        </w:tc>
        <w:tc>
          <w:tcPr>
            <w:tcW w:w="1540" w:type="dxa"/>
            <w:vAlign w:val="bottom"/>
            <w:tcBorders>
              <w:top w:val="single" w:sz="8" w:color="CFCFD2"/>
              <w:bottom w:val="single" w:sz="8" w:color="CFCFD2"/>
            </w:tcBorders>
          </w:tcPr>
          <w:p>
            <w:pPr>
              <w:jc w:val="right"/>
              <w:spacing w:after="0"/>
              <w:rPr>
                <w:sz w:val="20"/>
                <w:szCs w:val="20"/>
                <w:color w:val="auto"/>
              </w:rPr>
            </w:pPr>
            <w:r>
              <w:rPr>
                <w:rFonts w:ascii="Arial" w:cs="Arial" w:eastAsia="Arial" w:hAnsi="Arial"/>
                <w:sz w:val="14"/>
                <w:szCs w:val="14"/>
                <w:color w:val="0E1020"/>
              </w:rPr>
              <w:t>18,637,500</w:t>
            </w:r>
          </w:p>
        </w:tc>
        <w:tc>
          <w:tcPr>
            <w:tcW w:w="1540" w:type="dxa"/>
            <w:vAlign w:val="bottom"/>
            <w:tcBorders>
              <w:top w:val="single" w:sz="8" w:color="CFCFD2"/>
              <w:bottom w:val="single" w:sz="8" w:color="CFCFD2"/>
            </w:tcBorders>
          </w:tcPr>
          <w:p>
            <w:pPr>
              <w:jc w:val="right"/>
              <w:spacing w:after="0"/>
              <w:rPr>
                <w:sz w:val="20"/>
                <w:szCs w:val="20"/>
                <w:color w:val="auto"/>
              </w:rPr>
            </w:pPr>
            <w:r>
              <w:rPr>
                <w:rFonts w:ascii="Arial" w:cs="Arial" w:eastAsia="Arial" w:hAnsi="Arial"/>
                <w:sz w:val="14"/>
                <w:szCs w:val="14"/>
                <w:color w:val="0E1020"/>
              </w:rPr>
              <w:t>—</w:t>
            </w:r>
          </w:p>
        </w:tc>
        <w:tc>
          <w:tcPr>
            <w:tcW w:w="1800" w:type="dxa"/>
            <w:vAlign w:val="bottom"/>
            <w:tcBorders>
              <w:top w:val="single" w:sz="8" w:color="CFCFD2"/>
              <w:bottom w:val="single" w:sz="8" w:color="CFCFD2"/>
            </w:tcBorders>
            <w:gridSpan w:val="2"/>
          </w:tcPr>
          <w:p>
            <w:pPr>
              <w:jc w:val="right"/>
              <w:ind w:right="149"/>
              <w:spacing w:after="0"/>
              <w:rPr>
                <w:sz w:val="20"/>
                <w:szCs w:val="20"/>
                <w:color w:val="auto"/>
              </w:rPr>
            </w:pPr>
            <w:r>
              <w:rPr>
                <w:rFonts w:ascii="Arial" w:cs="Arial" w:eastAsia="Arial" w:hAnsi="Arial"/>
                <w:sz w:val="14"/>
                <w:szCs w:val="14"/>
                <w:color w:val="0E1020"/>
              </w:rPr>
              <w:t>36,505,882</w:t>
            </w:r>
          </w:p>
        </w:tc>
        <w:tc>
          <w:tcPr>
            <w:tcW w:w="1260" w:type="dxa"/>
            <w:vAlign w:val="bottom"/>
            <w:tcBorders>
              <w:top w:val="single" w:sz="8" w:color="CFCFD2"/>
              <w:bottom w:val="single" w:sz="8" w:color="CFCFD2"/>
            </w:tcBorders>
          </w:tcPr>
          <w:p>
            <w:pPr>
              <w:jc w:val="right"/>
              <w:spacing w:after="0"/>
              <w:rPr>
                <w:sz w:val="20"/>
                <w:szCs w:val="20"/>
                <w:color w:val="auto"/>
              </w:rPr>
            </w:pPr>
            <w:r>
              <w:rPr>
                <w:rFonts w:ascii="Arial" w:cs="Arial" w:eastAsia="Arial" w:hAnsi="Arial"/>
                <w:sz w:val="14"/>
                <w:szCs w:val="14"/>
                <w:color w:val="0E1020"/>
              </w:rPr>
              <w:t>6,912,457</w:t>
            </w:r>
          </w:p>
        </w:tc>
        <w:tc>
          <w:tcPr>
            <w:tcW w:w="240" w:type="dxa"/>
            <w:vAlign w:val="bottom"/>
            <w:tcBorders>
              <w:top w:val="single" w:sz="8" w:color="CFCFD2"/>
              <w:bottom w:val="single" w:sz="8" w:color="CFCFD2"/>
            </w:tcBorders>
          </w:tcPr>
          <w:p>
            <w:pPr>
              <w:spacing w:after="0"/>
              <w:rPr>
                <w:sz w:val="18"/>
                <w:szCs w:val="18"/>
                <w:color w:val="auto"/>
              </w:rPr>
            </w:pPr>
          </w:p>
        </w:tc>
        <w:tc>
          <w:tcPr>
            <w:tcW w:w="1700" w:type="dxa"/>
            <w:vAlign w:val="bottom"/>
            <w:tcBorders>
              <w:top w:val="single" w:sz="8" w:color="CFCFD2"/>
              <w:bottom w:val="single" w:sz="8" w:color="CFCFD2"/>
            </w:tcBorders>
          </w:tcPr>
          <w:p>
            <w:pPr>
              <w:jc w:val="right"/>
              <w:ind w:right="149"/>
              <w:spacing w:after="0"/>
              <w:rPr>
                <w:sz w:val="20"/>
                <w:szCs w:val="20"/>
                <w:color w:val="auto"/>
              </w:rPr>
            </w:pPr>
            <w:r>
              <w:rPr>
                <w:rFonts w:ascii="Arial" w:cs="Arial" w:eastAsia="Arial" w:hAnsi="Arial"/>
                <w:sz w:val="14"/>
                <w:szCs w:val="14"/>
                <w:color w:val="0E1020"/>
              </w:rPr>
              <w:t>62,055,839</w:t>
            </w:r>
          </w:p>
        </w:tc>
        <w:tc>
          <w:tcPr>
            <w:tcW w:w="0" w:type="dxa"/>
            <w:vAlign w:val="bottom"/>
          </w:tcPr>
          <w:p>
            <w:pPr>
              <w:spacing w:after="0"/>
              <w:rPr>
                <w:sz w:val="1"/>
                <w:szCs w:val="1"/>
                <w:color w:val="auto"/>
              </w:rPr>
            </w:pPr>
          </w:p>
        </w:tc>
      </w:tr>
      <w:tr>
        <w:trPr>
          <w:trHeight w:val="221"/>
        </w:trPr>
        <w:tc>
          <w:tcPr>
            <w:tcW w:w="316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Robert Del Bene</w:t>
            </w:r>
          </w:p>
        </w:tc>
        <w:tc>
          <w:tcPr>
            <w:tcW w:w="154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4,840,000</w:t>
            </w:r>
          </w:p>
        </w:tc>
        <w:tc>
          <w:tcPr>
            <w:tcW w:w="154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27,353</w:t>
            </w:r>
          </w:p>
        </w:tc>
        <w:tc>
          <w:tcPr>
            <w:tcW w:w="1800" w:type="dxa"/>
            <w:vAlign w:val="bottom"/>
            <w:tcBorders>
              <w:bottom w:val="single" w:sz="8" w:color="CFCFD2"/>
            </w:tcBorders>
            <w:gridSpan w:val="2"/>
          </w:tcPr>
          <w:p>
            <w:pPr>
              <w:jc w:val="right"/>
              <w:ind w:right="149"/>
              <w:spacing w:after="0"/>
              <w:rPr>
                <w:sz w:val="20"/>
                <w:szCs w:val="20"/>
                <w:color w:val="auto"/>
              </w:rPr>
            </w:pPr>
            <w:r>
              <w:rPr>
                <w:rFonts w:ascii="Arial" w:cs="Arial" w:eastAsia="Arial" w:hAnsi="Arial"/>
                <w:sz w:val="14"/>
                <w:szCs w:val="14"/>
                <w:color w:val="0E1020"/>
              </w:rPr>
              <w:t>16,101,780</w:t>
            </w:r>
          </w:p>
        </w:tc>
        <w:tc>
          <w:tcPr>
            <w:tcW w:w="126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3,640,473</w:t>
            </w:r>
          </w:p>
        </w:tc>
        <w:tc>
          <w:tcPr>
            <w:tcW w:w="240" w:type="dxa"/>
            <w:vAlign w:val="bottom"/>
            <w:tcBorders>
              <w:bottom w:val="single" w:sz="8" w:color="CFCFD2"/>
            </w:tcBorders>
          </w:tcPr>
          <w:p>
            <w:pPr>
              <w:spacing w:after="0"/>
              <w:rPr>
                <w:sz w:val="19"/>
                <w:szCs w:val="19"/>
                <w:color w:val="auto"/>
              </w:rPr>
            </w:pPr>
          </w:p>
        </w:tc>
        <w:tc>
          <w:tcPr>
            <w:tcW w:w="1700" w:type="dxa"/>
            <w:vAlign w:val="bottom"/>
            <w:tcBorders>
              <w:bottom w:val="single" w:sz="8" w:color="CFCFD2"/>
            </w:tcBorders>
          </w:tcPr>
          <w:p>
            <w:pPr>
              <w:jc w:val="right"/>
              <w:ind w:right="149"/>
              <w:spacing w:after="0"/>
              <w:rPr>
                <w:sz w:val="20"/>
                <w:szCs w:val="20"/>
                <w:color w:val="auto"/>
              </w:rPr>
            </w:pPr>
            <w:r>
              <w:rPr>
                <w:rFonts w:ascii="Arial" w:cs="Arial" w:eastAsia="Arial" w:hAnsi="Arial"/>
                <w:sz w:val="14"/>
                <w:szCs w:val="14"/>
                <w:color w:val="0E1020"/>
              </w:rPr>
              <w:t>24,609,606</w:t>
            </w:r>
          </w:p>
        </w:tc>
        <w:tc>
          <w:tcPr>
            <w:tcW w:w="0" w:type="dxa"/>
            <w:vAlign w:val="bottom"/>
          </w:tcPr>
          <w:p>
            <w:pPr>
              <w:spacing w:after="0"/>
              <w:rPr>
                <w:sz w:val="1"/>
                <w:szCs w:val="1"/>
                <w:color w:val="auto"/>
              </w:rPr>
            </w:pPr>
          </w:p>
        </w:tc>
      </w:tr>
      <w:tr>
        <w:trPr>
          <w:trHeight w:val="221"/>
        </w:trPr>
        <w:tc>
          <w:tcPr>
            <w:tcW w:w="316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Christopher Drumgoole</w:t>
            </w:r>
          </w:p>
        </w:tc>
        <w:tc>
          <w:tcPr>
            <w:tcW w:w="154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4,840,000</w:t>
            </w:r>
          </w:p>
        </w:tc>
        <w:tc>
          <w:tcPr>
            <w:tcW w:w="154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83,073</w:t>
            </w:r>
          </w:p>
        </w:tc>
        <w:tc>
          <w:tcPr>
            <w:tcW w:w="1800" w:type="dxa"/>
            <w:vAlign w:val="bottom"/>
            <w:tcBorders>
              <w:bottom w:val="single" w:sz="8" w:color="CFCFD2"/>
            </w:tcBorders>
            <w:gridSpan w:val="2"/>
          </w:tcPr>
          <w:p>
            <w:pPr>
              <w:jc w:val="right"/>
              <w:ind w:right="149"/>
              <w:spacing w:after="0"/>
              <w:rPr>
                <w:sz w:val="20"/>
                <w:szCs w:val="20"/>
                <w:color w:val="auto"/>
              </w:rPr>
            </w:pPr>
            <w:r>
              <w:rPr>
                <w:rFonts w:ascii="Arial" w:cs="Arial" w:eastAsia="Arial" w:hAnsi="Arial"/>
                <w:sz w:val="14"/>
                <w:szCs w:val="14"/>
                <w:color w:val="0E1020"/>
              </w:rPr>
              <w:t>6,105,161</w:t>
            </w:r>
          </w:p>
        </w:tc>
        <w:tc>
          <w:tcPr>
            <w:tcW w:w="126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3,089,618</w:t>
            </w:r>
          </w:p>
        </w:tc>
        <w:tc>
          <w:tcPr>
            <w:tcW w:w="240" w:type="dxa"/>
            <w:vAlign w:val="bottom"/>
            <w:tcBorders>
              <w:bottom w:val="single" w:sz="8" w:color="CFCFD2"/>
            </w:tcBorders>
          </w:tcPr>
          <w:p>
            <w:pPr>
              <w:spacing w:after="0"/>
              <w:rPr>
                <w:sz w:val="19"/>
                <w:szCs w:val="19"/>
                <w:color w:val="auto"/>
              </w:rPr>
            </w:pPr>
          </w:p>
        </w:tc>
        <w:tc>
          <w:tcPr>
            <w:tcW w:w="1700" w:type="dxa"/>
            <w:vAlign w:val="bottom"/>
            <w:tcBorders>
              <w:bottom w:val="single" w:sz="8" w:color="CFCFD2"/>
            </w:tcBorders>
          </w:tcPr>
          <w:p>
            <w:pPr>
              <w:jc w:val="right"/>
              <w:ind w:right="149"/>
              <w:spacing w:after="0"/>
              <w:rPr>
                <w:sz w:val="20"/>
                <w:szCs w:val="20"/>
                <w:color w:val="auto"/>
              </w:rPr>
            </w:pPr>
            <w:r>
              <w:rPr>
                <w:rFonts w:ascii="Arial" w:cs="Arial" w:eastAsia="Arial" w:hAnsi="Arial"/>
                <w:sz w:val="14"/>
                <w:szCs w:val="14"/>
                <w:color w:val="0E1020"/>
              </w:rPr>
              <w:t>14,117,852</w:t>
            </w:r>
          </w:p>
        </w:tc>
        <w:tc>
          <w:tcPr>
            <w:tcW w:w="0" w:type="dxa"/>
            <w:vAlign w:val="bottom"/>
          </w:tcPr>
          <w:p>
            <w:pPr>
              <w:spacing w:after="0"/>
              <w:rPr>
                <w:sz w:val="1"/>
                <w:szCs w:val="1"/>
                <w:color w:val="auto"/>
              </w:rPr>
            </w:pPr>
          </w:p>
        </w:tc>
      </w:tr>
      <w:tr>
        <w:trPr>
          <w:trHeight w:val="221"/>
        </w:trPr>
        <w:tc>
          <w:tcPr>
            <w:tcW w:w="316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Raymond A. August</w:t>
            </w:r>
          </w:p>
        </w:tc>
        <w:tc>
          <w:tcPr>
            <w:tcW w:w="154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3,815,000</w:t>
            </w:r>
          </w:p>
        </w:tc>
        <w:tc>
          <w:tcPr>
            <w:tcW w:w="154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58,414</w:t>
            </w:r>
          </w:p>
        </w:tc>
        <w:tc>
          <w:tcPr>
            <w:tcW w:w="1800" w:type="dxa"/>
            <w:vAlign w:val="bottom"/>
            <w:tcBorders>
              <w:bottom w:val="single" w:sz="8" w:color="CFCFD2"/>
            </w:tcBorders>
            <w:gridSpan w:val="2"/>
          </w:tcPr>
          <w:p>
            <w:pPr>
              <w:jc w:val="right"/>
              <w:ind w:right="149"/>
              <w:spacing w:after="0"/>
              <w:rPr>
                <w:sz w:val="20"/>
                <w:szCs w:val="20"/>
                <w:color w:val="auto"/>
              </w:rPr>
            </w:pPr>
            <w:r>
              <w:rPr>
                <w:rFonts w:ascii="Arial" w:cs="Arial" w:eastAsia="Arial" w:hAnsi="Arial"/>
                <w:sz w:val="14"/>
                <w:szCs w:val="14"/>
                <w:color w:val="0E1020"/>
              </w:rPr>
              <w:t>3,076,985</w:t>
            </w:r>
          </w:p>
        </w:tc>
        <w:tc>
          <w:tcPr>
            <w:tcW w:w="126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3,015,367</w:t>
            </w:r>
          </w:p>
        </w:tc>
        <w:tc>
          <w:tcPr>
            <w:tcW w:w="240" w:type="dxa"/>
            <w:vAlign w:val="bottom"/>
            <w:tcBorders>
              <w:bottom w:val="single" w:sz="8" w:color="CFCFD2"/>
            </w:tcBorders>
          </w:tcPr>
          <w:p>
            <w:pPr>
              <w:spacing w:after="0"/>
              <w:rPr>
                <w:sz w:val="19"/>
                <w:szCs w:val="19"/>
                <w:color w:val="auto"/>
              </w:rPr>
            </w:pPr>
          </w:p>
        </w:tc>
        <w:tc>
          <w:tcPr>
            <w:tcW w:w="1700" w:type="dxa"/>
            <w:vAlign w:val="bottom"/>
            <w:tcBorders>
              <w:bottom w:val="single" w:sz="8" w:color="CFCFD2"/>
            </w:tcBorders>
          </w:tcPr>
          <w:p>
            <w:pPr>
              <w:jc w:val="right"/>
              <w:ind w:right="149"/>
              <w:spacing w:after="0"/>
              <w:rPr>
                <w:sz w:val="20"/>
                <w:szCs w:val="20"/>
                <w:color w:val="auto"/>
              </w:rPr>
            </w:pPr>
            <w:r>
              <w:rPr>
                <w:rFonts w:ascii="Arial" w:cs="Arial" w:eastAsia="Arial" w:hAnsi="Arial"/>
                <w:sz w:val="14"/>
                <w:szCs w:val="14"/>
                <w:color w:val="0E1020"/>
              </w:rPr>
              <w:t>9,965,766</w:t>
            </w:r>
          </w:p>
        </w:tc>
        <w:tc>
          <w:tcPr>
            <w:tcW w:w="0" w:type="dxa"/>
            <w:vAlign w:val="bottom"/>
          </w:tcPr>
          <w:p>
            <w:pPr>
              <w:spacing w:after="0"/>
              <w:rPr>
                <w:sz w:val="1"/>
                <w:szCs w:val="1"/>
                <w:color w:val="auto"/>
              </w:rPr>
            </w:pPr>
          </w:p>
        </w:tc>
      </w:tr>
      <w:tr>
        <w:trPr>
          <w:trHeight w:val="221"/>
        </w:trPr>
        <w:tc>
          <w:tcPr>
            <w:tcW w:w="316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Matthew K. Fawcett</w:t>
            </w:r>
          </w:p>
        </w:tc>
        <w:tc>
          <w:tcPr>
            <w:tcW w:w="154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3,577,500</w:t>
            </w:r>
          </w:p>
        </w:tc>
        <w:tc>
          <w:tcPr>
            <w:tcW w:w="154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w:t>
            </w:r>
          </w:p>
        </w:tc>
        <w:tc>
          <w:tcPr>
            <w:tcW w:w="1800" w:type="dxa"/>
            <w:vAlign w:val="bottom"/>
            <w:tcBorders>
              <w:bottom w:val="single" w:sz="8" w:color="CFCFD2"/>
            </w:tcBorders>
            <w:gridSpan w:val="2"/>
          </w:tcPr>
          <w:p>
            <w:pPr>
              <w:jc w:val="right"/>
              <w:ind w:right="149"/>
              <w:spacing w:after="0"/>
              <w:rPr>
                <w:sz w:val="20"/>
                <w:szCs w:val="20"/>
                <w:color w:val="auto"/>
              </w:rPr>
            </w:pPr>
            <w:r>
              <w:rPr>
                <w:rFonts w:ascii="Arial" w:cs="Arial" w:eastAsia="Arial" w:hAnsi="Arial"/>
                <w:sz w:val="14"/>
                <w:szCs w:val="14"/>
                <w:color w:val="0E1020"/>
              </w:rPr>
              <w:t>2,882,301</w:t>
            </w:r>
          </w:p>
        </w:tc>
        <w:tc>
          <w:tcPr>
            <w:tcW w:w="126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1,653,596</w:t>
            </w:r>
          </w:p>
        </w:tc>
        <w:tc>
          <w:tcPr>
            <w:tcW w:w="240" w:type="dxa"/>
            <w:vAlign w:val="bottom"/>
            <w:tcBorders>
              <w:bottom w:val="single" w:sz="8" w:color="CFCFD2"/>
            </w:tcBorders>
          </w:tcPr>
          <w:p>
            <w:pPr>
              <w:spacing w:after="0"/>
              <w:rPr>
                <w:sz w:val="19"/>
                <w:szCs w:val="19"/>
                <w:color w:val="auto"/>
              </w:rPr>
            </w:pPr>
          </w:p>
        </w:tc>
        <w:tc>
          <w:tcPr>
            <w:tcW w:w="1700" w:type="dxa"/>
            <w:vAlign w:val="bottom"/>
            <w:tcBorders>
              <w:bottom w:val="single" w:sz="8" w:color="CFCFD2"/>
            </w:tcBorders>
          </w:tcPr>
          <w:p>
            <w:pPr>
              <w:jc w:val="right"/>
              <w:ind w:right="149"/>
              <w:spacing w:after="0"/>
              <w:rPr>
                <w:sz w:val="20"/>
                <w:szCs w:val="20"/>
                <w:color w:val="auto"/>
              </w:rPr>
            </w:pPr>
            <w:r>
              <w:rPr>
                <w:rFonts w:ascii="Arial" w:cs="Arial" w:eastAsia="Arial" w:hAnsi="Arial"/>
                <w:sz w:val="14"/>
                <w:szCs w:val="14"/>
                <w:color w:val="0E1020"/>
              </w:rPr>
              <w:t>8,113,397</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00" w:hanging="332"/>
        <w:spacing w:after="0"/>
        <w:tabs>
          <w:tab w:leader="none" w:pos="500" w:val="left"/>
        </w:tabs>
        <w:numPr>
          <w:ilvl w:val="0"/>
          <w:numId w:val="97"/>
        </w:numPr>
        <w:rPr>
          <w:rFonts w:ascii="Arial" w:cs="Arial" w:eastAsia="Arial" w:hAnsi="Arial"/>
          <w:sz w:val="14"/>
          <w:szCs w:val="14"/>
          <w:color w:val="0E1020"/>
        </w:rPr>
      </w:pPr>
      <w:r>
        <w:rPr>
          <w:rFonts w:ascii="Arial" w:cs="Arial" w:eastAsia="Arial" w:hAnsi="Arial"/>
          <w:sz w:val="14"/>
          <w:szCs w:val="14"/>
          <w:color w:val="0E1020"/>
        </w:rPr>
        <w:t>DXC closing stock price of $12.57 on March 31, 2026 was used for equity values.</w:t>
      </w:r>
    </w:p>
    <w:p>
      <w:pPr>
        <w:spacing w:after="0" w:line="66" w:lineRule="exact"/>
        <w:rPr>
          <w:rFonts w:ascii="Arial" w:cs="Arial" w:eastAsia="Arial" w:hAnsi="Arial"/>
          <w:sz w:val="14"/>
          <w:szCs w:val="14"/>
          <w:color w:val="0E1020"/>
        </w:rPr>
      </w:pPr>
    </w:p>
    <w:p>
      <w:pPr>
        <w:ind w:left="480" w:right="220" w:hanging="312"/>
        <w:spacing w:after="0" w:line="270" w:lineRule="auto"/>
        <w:tabs>
          <w:tab w:leader="none" w:pos="453" w:val="left"/>
        </w:tabs>
        <w:numPr>
          <w:ilvl w:val="0"/>
          <w:numId w:val="97"/>
        </w:numPr>
        <w:rPr>
          <w:rFonts w:ascii="Arial" w:cs="Arial" w:eastAsia="Arial" w:hAnsi="Arial"/>
          <w:sz w:val="14"/>
          <w:szCs w:val="14"/>
          <w:color w:val="0E1020"/>
        </w:rPr>
      </w:pPr>
      <w:r>
        <w:rPr>
          <w:rFonts w:ascii="Arial" w:cs="Arial" w:eastAsia="Arial" w:hAnsi="Arial"/>
          <w:sz w:val="14"/>
          <w:szCs w:val="14"/>
          <w:color w:val="0E1020"/>
        </w:rPr>
        <w:t>Cash severance for Messrs. Del Bene, Drumgoole, August and Fawcett is calculated using two times (the fiscal year end 2026 base salary plus the fiscal 2026 target bonus), plus the pro rata fiscal 2026 target annual cash bonus. Cash severance for Mr. Fernandez is calculated using three times (the fiscal year end 2026 base salary plus the fiscal 2026 target bonus), plus the pro rata fiscal 2026 annual cash bonus paid.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95</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03" w:name="page104"/>
    <w:bookmarkEnd w:id="103"/>
    <w:p>
      <w:pPr>
        <w:ind w:left="20"/>
        <w:spacing w:after="0"/>
        <w:tabs>
          <w:tab w:leader="none" w:pos="10100" w:val="left"/>
        </w:tabs>
        <w:rPr>
          <w:sz w:val="20"/>
          <w:szCs w:val="20"/>
          <w:color w:val="auto"/>
        </w:rPr>
      </w:pPr>
      <w:r>
        <w:rPr>
          <w:rFonts w:ascii="Arial" w:cs="Arial" w:eastAsia="Arial" w:hAnsi="Arial"/>
          <w:sz w:val="14"/>
          <w:szCs w:val="14"/>
          <w:color w:val="0E1020"/>
        </w:rPr>
        <w:t>Executive Compensation Tables</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80" w:right="700" w:hanging="312"/>
        <w:spacing w:after="0" w:line="299" w:lineRule="auto"/>
        <w:tabs>
          <w:tab w:leader="none" w:pos="453" w:val="left"/>
        </w:tabs>
        <w:numPr>
          <w:ilvl w:val="0"/>
          <w:numId w:val="98"/>
        </w:numPr>
        <w:rPr>
          <w:rFonts w:ascii="Arial" w:cs="Arial" w:eastAsia="Arial" w:hAnsi="Arial"/>
          <w:sz w:val="14"/>
          <w:szCs w:val="14"/>
          <w:color w:val="0E1020"/>
        </w:rPr>
      </w:pPr>
      <w:r>
        <w:rPr>
          <w:rFonts w:ascii="Arial" w:cs="Arial" w:eastAsia="Arial" w:hAnsi="Arial"/>
          <w:sz w:val="14"/>
          <w:szCs w:val="14"/>
          <w:color w:val="0E1020"/>
        </w:rPr>
        <w:t>24 months of COBRA (i.e., health care continuation) benefits were used for Messrs. Del Bene, Drumgoole, and August. Messrs. Fernandez and Fawcett did not participate in DXC’s group health plan in fiscal 2026.</w:t>
      </w:r>
    </w:p>
    <w:p>
      <w:pPr>
        <w:spacing w:after="0" w:line="1" w:lineRule="exact"/>
        <w:rPr>
          <w:rFonts w:ascii="Arial" w:cs="Arial" w:eastAsia="Arial" w:hAnsi="Arial"/>
          <w:sz w:val="14"/>
          <w:szCs w:val="14"/>
          <w:color w:val="0E1020"/>
        </w:rPr>
      </w:pPr>
    </w:p>
    <w:p>
      <w:pPr>
        <w:ind w:left="480" w:hanging="312"/>
        <w:spacing w:after="0" w:line="264" w:lineRule="auto"/>
        <w:tabs>
          <w:tab w:leader="none" w:pos="453" w:val="left"/>
        </w:tabs>
        <w:numPr>
          <w:ilvl w:val="0"/>
          <w:numId w:val="98"/>
        </w:numPr>
        <w:rPr>
          <w:rFonts w:ascii="Arial" w:cs="Arial" w:eastAsia="Arial" w:hAnsi="Arial"/>
          <w:sz w:val="14"/>
          <w:szCs w:val="14"/>
          <w:color w:val="0E1020"/>
        </w:rPr>
      </w:pPr>
      <w:r>
        <w:rPr>
          <w:rFonts w:ascii="Arial" w:cs="Arial" w:eastAsia="Arial" w:hAnsi="Arial"/>
          <w:sz w:val="14"/>
          <w:szCs w:val="14"/>
          <w:color w:val="0E1020"/>
        </w:rPr>
        <w:t>Unvested regular-cycle fiscal 2024, 2025 and 2026 PSUs, and fiscal 2024 CEO PSUs were assumed to vest at the greater of target or actual performance achieved as of the date of the Change of Control. For fiscal 2024 PSUs, actual performance achieved as of the assumed Change of Control date of March 31, 2026 would have resulted in 100% vesting of the awards. Fiscal 2024 CEO PSUs are reflected as vesting at target (100%), as actual performance achieved as of the assumed Change of Control date of March 31, 2026 would have resulted in 0% vesting of the award. Fiscal 2025 PSUs are reflected as vesting at target (100%), as actual performance achieved as of the assumed Change of Control date of March 31, 2026 would have resulted in 100% vesting of the awards. Fiscal 2026 PSUs are reflected as vesting at target (100%), based on performance as of the assumed Change of Control date of March 31, 2026.</w:t>
      </w:r>
    </w:p>
    <w:p>
      <w:pPr>
        <w:spacing w:after="0" w:line="9" w:lineRule="exact"/>
        <w:rPr>
          <w:rFonts w:ascii="Arial" w:cs="Arial" w:eastAsia="Arial" w:hAnsi="Arial"/>
          <w:sz w:val="14"/>
          <w:szCs w:val="14"/>
          <w:color w:val="0E1020"/>
        </w:rPr>
      </w:pPr>
    </w:p>
    <w:p>
      <w:pPr>
        <w:ind w:left="460" w:hanging="292"/>
        <w:spacing w:after="0"/>
        <w:tabs>
          <w:tab w:leader="none" w:pos="460" w:val="left"/>
        </w:tabs>
        <w:numPr>
          <w:ilvl w:val="0"/>
          <w:numId w:val="98"/>
        </w:numPr>
        <w:rPr>
          <w:rFonts w:ascii="Arial" w:cs="Arial" w:eastAsia="Arial" w:hAnsi="Arial"/>
          <w:sz w:val="14"/>
          <w:szCs w:val="14"/>
          <w:color w:val="0E1020"/>
        </w:rPr>
      </w:pPr>
      <w:r>
        <w:rPr>
          <w:rFonts w:ascii="Arial" w:cs="Arial" w:eastAsia="Arial" w:hAnsi="Arial"/>
          <w:sz w:val="14"/>
          <w:szCs w:val="14"/>
          <w:color w:val="0E1020"/>
        </w:rPr>
        <w:t>Unvested time-vesting restricted stock units (RSUs) were assumed to vest upon a Change of Control.</w:t>
      </w:r>
    </w:p>
    <w:p>
      <w:pPr>
        <w:spacing w:after="0" w:line="66" w:lineRule="exact"/>
        <w:rPr>
          <w:rFonts w:ascii="Arial" w:cs="Arial" w:eastAsia="Arial" w:hAnsi="Arial"/>
          <w:sz w:val="14"/>
          <w:szCs w:val="14"/>
          <w:color w:val="0E1020"/>
        </w:rPr>
      </w:pPr>
    </w:p>
    <w:p>
      <w:pPr>
        <w:ind w:left="480" w:right="540" w:hanging="312"/>
        <w:spacing w:after="0" w:line="302" w:lineRule="auto"/>
        <w:tabs>
          <w:tab w:leader="none" w:pos="453" w:val="left"/>
        </w:tabs>
        <w:numPr>
          <w:ilvl w:val="0"/>
          <w:numId w:val="98"/>
        </w:numPr>
        <w:rPr>
          <w:rFonts w:ascii="Arial" w:cs="Arial" w:eastAsia="Arial" w:hAnsi="Arial"/>
          <w:sz w:val="14"/>
          <w:szCs w:val="14"/>
          <w:color w:val="0E1020"/>
        </w:rPr>
      </w:pPr>
      <w:r>
        <w:rPr>
          <w:rFonts w:ascii="Arial" w:cs="Arial" w:eastAsia="Arial" w:hAnsi="Arial"/>
          <w:sz w:val="14"/>
          <w:szCs w:val="14"/>
          <w:color w:val="0E1020"/>
        </w:rPr>
        <w:t>Total Payments do not reflect any potential excise taxes paid by executives subject to Section 280G of the Internal Revenue Code or any potential reduction in the payments to avoid any 280G excise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Potential Payments Upon Non-Change of Control Termination of Employment</w:t>
      </w:r>
    </w:p>
    <w:p>
      <w:pPr>
        <w:spacing w:after="0" w:line="133" w:lineRule="exact"/>
        <w:rPr>
          <w:sz w:val="20"/>
          <w:szCs w:val="20"/>
          <w:color w:val="auto"/>
        </w:rPr>
      </w:pPr>
    </w:p>
    <w:p>
      <w:pPr>
        <w:ind w:right="160"/>
        <w:spacing w:after="0" w:line="335" w:lineRule="auto"/>
        <w:rPr>
          <w:sz w:val="20"/>
          <w:szCs w:val="20"/>
          <w:color w:val="auto"/>
        </w:rPr>
      </w:pPr>
      <w:r>
        <w:rPr>
          <w:rFonts w:ascii="Arial" w:cs="Arial" w:eastAsia="Arial" w:hAnsi="Arial"/>
          <w:sz w:val="16"/>
          <w:szCs w:val="16"/>
          <w:color w:val="0E1020"/>
        </w:rPr>
        <w:t>The amounts shown in the table below reflect the value of the compensation and benefits payable to the NEOs upon a qualifying termination of employment unrelated to a Change of Control.</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360" w:type="dxa"/>
            <w:vAlign w:val="bottom"/>
            <w:shd w:val="clear" w:color="auto" w:fill="F6F3F0"/>
          </w:tcPr>
          <w:p>
            <w:pPr>
              <w:spacing w:after="0"/>
              <w:rPr>
                <w:sz w:val="20"/>
                <w:szCs w:val="20"/>
                <w:color w:val="auto"/>
              </w:rPr>
            </w:pPr>
          </w:p>
        </w:tc>
        <w:tc>
          <w:tcPr>
            <w:tcW w:w="3880" w:type="dxa"/>
            <w:vAlign w:val="bottom"/>
            <w:shd w:val="clear" w:color="auto" w:fill="F6F3F0"/>
          </w:tcPr>
          <w:p>
            <w:pPr>
              <w:spacing w:after="0"/>
              <w:rPr>
                <w:sz w:val="20"/>
                <w:szCs w:val="20"/>
                <w:color w:val="auto"/>
              </w:rPr>
            </w:pPr>
          </w:p>
        </w:tc>
        <w:tc>
          <w:tcPr>
            <w:tcW w:w="1300" w:type="dxa"/>
            <w:vAlign w:val="bottom"/>
            <w:shd w:val="clear" w:color="auto" w:fill="F6F3F0"/>
          </w:tcPr>
          <w:p>
            <w:pPr>
              <w:jc w:val="right"/>
              <w:ind w:right="129"/>
              <w:spacing w:after="0"/>
              <w:rPr>
                <w:sz w:val="20"/>
                <w:szCs w:val="20"/>
                <w:color w:val="auto"/>
              </w:rPr>
            </w:pPr>
            <w:r>
              <w:rPr>
                <w:rFonts w:ascii="Arial" w:cs="Arial" w:eastAsia="Arial" w:hAnsi="Arial"/>
                <w:sz w:val="14"/>
                <w:szCs w:val="14"/>
                <w:b w:val="1"/>
                <w:bCs w:val="1"/>
                <w:color w:val="0E1020"/>
              </w:rPr>
              <w:t>Cash</w:t>
            </w:r>
          </w:p>
        </w:tc>
        <w:tc>
          <w:tcPr>
            <w:tcW w:w="1300" w:type="dxa"/>
            <w:vAlign w:val="bottom"/>
            <w:shd w:val="clear" w:color="auto" w:fill="F6F3F0"/>
          </w:tcPr>
          <w:p>
            <w:pPr>
              <w:spacing w:after="0"/>
              <w:rPr>
                <w:sz w:val="20"/>
                <w:szCs w:val="20"/>
                <w:color w:val="auto"/>
              </w:rPr>
            </w:pPr>
          </w:p>
        </w:tc>
        <w:tc>
          <w:tcPr>
            <w:tcW w:w="1160" w:type="dxa"/>
            <w:vAlign w:val="bottom"/>
            <w:shd w:val="clear" w:color="auto" w:fill="F6F3F0"/>
          </w:tcPr>
          <w:p>
            <w:pPr>
              <w:spacing w:after="0"/>
              <w:rPr>
                <w:sz w:val="20"/>
                <w:szCs w:val="20"/>
                <w:color w:val="auto"/>
              </w:rPr>
            </w:pPr>
          </w:p>
        </w:tc>
        <w:tc>
          <w:tcPr>
            <w:tcW w:w="1240" w:type="dxa"/>
            <w:vAlign w:val="bottom"/>
            <w:shd w:val="clear" w:color="auto" w:fill="F6F3F0"/>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360" w:type="dxa"/>
            <w:vAlign w:val="bottom"/>
            <w:shd w:val="clear" w:color="auto" w:fill="F6F3F0"/>
          </w:tcPr>
          <w:p>
            <w:pPr>
              <w:spacing w:after="0"/>
              <w:rPr>
                <w:sz w:val="15"/>
                <w:szCs w:val="15"/>
                <w:color w:val="auto"/>
              </w:rPr>
            </w:pPr>
          </w:p>
        </w:tc>
        <w:tc>
          <w:tcPr>
            <w:tcW w:w="3880" w:type="dxa"/>
            <w:vAlign w:val="bottom"/>
            <w:shd w:val="clear" w:color="auto" w:fill="F6F3F0"/>
          </w:tcPr>
          <w:p>
            <w:pPr>
              <w:spacing w:after="0"/>
              <w:rPr>
                <w:sz w:val="15"/>
                <w:szCs w:val="15"/>
                <w:color w:val="auto"/>
              </w:rPr>
            </w:pPr>
          </w:p>
        </w:tc>
        <w:tc>
          <w:tcPr>
            <w:tcW w:w="1300" w:type="dxa"/>
            <w:vAlign w:val="bottom"/>
            <w:shd w:val="clear" w:color="auto" w:fill="F6F3F0"/>
          </w:tcPr>
          <w:p>
            <w:pPr>
              <w:jc w:val="right"/>
              <w:ind w:right="129"/>
              <w:spacing w:after="0"/>
              <w:rPr>
                <w:sz w:val="20"/>
                <w:szCs w:val="20"/>
                <w:color w:val="auto"/>
              </w:rPr>
            </w:pPr>
            <w:r>
              <w:rPr>
                <w:rFonts w:ascii="Arial" w:cs="Arial" w:eastAsia="Arial" w:hAnsi="Arial"/>
                <w:sz w:val="14"/>
                <w:szCs w:val="14"/>
                <w:b w:val="1"/>
                <w:bCs w:val="1"/>
                <w:color w:val="0E1020"/>
              </w:rPr>
              <w:t>Severance</w:t>
            </w:r>
          </w:p>
        </w:tc>
        <w:tc>
          <w:tcPr>
            <w:tcW w:w="1300" w:type="dxa"/>
            <w:vAlign w:val="bottom"/>
            <w:shd w:val="clear" w:color="auto" w:fill="F6F3F0"/>
          </w:tcPr>
          <w:p>
            <w:pPr>
              <w:jc w:val="right"/>
              <w:ind w:right="16"/>
              <w:spacing w:after="0"/>
              <w:rPr>
                <w:sz w:val="20"/>
                <w:szCs w:val="20"/>
                <w:color w:val="auto"/>
              </w:rPr>
            </w:pPr>
            <w:r>
              <w:rPr>
                <w:rFonts w:ascii="Arial" w:cs="Arial" w:eastAsia="Arial" w:hAnsi="Arial"/>
                <w:sz w:val="14"/>
                <w:szCs w:val="14"/>
                <w:b w:val="1"/>
                <w:bCs w:val="1"/>
                <w:color w:val="0E1020"/>
              </w:rPr>
              <w:t>Performance-</w:t>
            </w:r>
          </w:p>
        </w:tc>
        <w:tc>
          <w:tcPr>
            <w:tcW w:w="116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Service-</w:t>
            </w:r>
          </w:p>
        </w:tc>
        <w:tc>
          <w:tcPr>
            <w:tcW w:w="1240" w:type="dxa"/>
            <w:vAlign w:val="bottom"/>
            <w:shd w:val="clear" w:color="auto" w:fill="F6F3F0"/>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360" w:type="dxa"/>
            <w:vAlign w:val="bottom"/>
            <w:shd w:val="clear" w:color="auto" w:fill="F6F3F0"/>
          </w:tcPr>
          <w:p>
            <w:pPr>
              <w:spacing w:after="0"/>
              <w:rPr>
                <w:sz w:val="13"/>
                <w:szCs w:val="13"/>
                <w:color w:val="auto"/>
              </w:rPr>
            </w:pPr>
          </w:p>
        </w:tc>
        <w:tc>
          <w:tcPr>
            <w:tcW w:w="3880" w:type="dxa"/>
            <w:vAlign w:val="bottom"/>
            <w:shd w:val="clear" w:color="auto" w:fill="F6F3F0"/>
          </w:tcPr>
          <w:p>
            <w:pPr>
              <w:spacing w:after="0"/>
              <w:rPr>
                <w:sz w:val="13"/>
                <w:szCs w:val="13"/>
                <w:color w:val="auto"/>
              </w:rPr>
            </w:pPr>
          </w:p>
        </w:tc>
        <w:tc>
          <w:tcPr>
            <w:tcW w:w="1300" w:type="dxa"/>
            <w:vAlign w:val="bottom"/>
            <w:shd w:val="clear" w:color="auto" w:fill="F6F3F0"/>
          </w:tcPr>
          <w:p>
            <w:pPr>
              <w:jc w:val="right"/>
              <w:ind w:right="129"/>
              <w:spacing w:after="0"/>
              <w:rPr>
                <w:sz w:val="20"/>
                <w:szCs w:val="20"/>
                <w:color w:val="auto"/>
              </w:rPr>
            </w:pPr>
            <w:r>
              <w:rPr>
                <w:rFonts w:ascii="Arial" w:cs="Arial" w:eastAsia="Arial" w:hAnsi="Arial"/>
                <w:sz w:val="14"/>
                <w:szCs w:val="14"/>
                <w:b w:val="1"/>
                <w:bCs w:val="1"/>
                <w:color w:val="0E1020"/>
              </w:rPr>
              <w:t>Benefit</w:t>
            </w:r>
            <w:r>
              <w:rPr>
                <w:rFonts w:ascii="Arial" w:cs="Arial" w:eastAsia="Arial" w:hAnsi="Arial"/>
                <w:sz w:val="9"/>
                <w:szCs w:val="9"/>
                <w:b w:val="1"/>
                <w:bCs w:val="1"/>
                <w:color w:val="0E1020"/>
              </w:rPr>
              <w:t>(1)</w:t>
            </w:r>
          </w:p>
        </w:tc>
        <w:tc>
          <w:tcPr>
            <w:tcW w:w="1300" w:type="dxa"/>
            <w:vAlign w:val="bottom"/>
            <w:shd w:val="clear" w:color="auto" w:fill="F6F3F0"/>
          </w:tcPr>
          <w:p>
            <w:pPr>
              <w:jc w:val="right"/>
              <w:ind w:right="16"/>
              <w:spacing w:after="0"/>
              <w:rPr>
                <w:sz w:val="20"/>
                <w:szCs w:val="20"/>
                <w:color w:val="auto"/>
              </w:rPr>
            </w:pPr>
            <w:r>
              <w:rPr>
                <w:rFonts w:ascii="Arial" w:cs="Arial" w:eastAsia="Arial" w:hAnsi="Arial"/>
                <w:sz w:val="14"/>
                <w:szCs w:val="14"/>
                <w:b w:val="1"/>
                <w:bCs w:val="1"/>
                <w:color w:val="0E1020"/>
              </w:rPr>
              <w:t>Vesting RSUs</w:t>
            </w:r>
            <w:r>
              <w:rPr>
                <w:rFonts w:ascii="Arial" w:cs="Arial" w:eastAsia="Arial" w:hAnsi="Arial"/>
                <w:sz w:val="9"/>
                <w:szCs w:val="9"/>
                <w:b w:val="1"/>
                <w:bCs w:val="1"/>
                <w:color w:val="0E1020"/>
              </w:rPr>
              <w:t>(2)</w:t>
            </w:r>
          </w:p>
        </w:tc>
        <w:tc>
          <w:tcPr>
            <w:tcW w:w="116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Vesting RSUs</w:t>
            </w:r>
            <w:r>
              <w:rPr>
                <w:rFonts w:ascii="Arial" w:cs="Arial" w:eastAsia="Arial" w:hAnsi="Arial"/>
                <w:sz w:val="9"/>
                <w:szCs w:val="9"/>
                <w:b w:val="1"/>
                <w:bCs w:val="1"/>
                <w:color w:val="0E1020"/>
              </w:rPr>
              <w:t>(2)</w:t>
            </w:r>
          </w:p>
        </w:tc>
        <w:tc>
          <w:tcPr>
            <w:tcW w:w="1240" w:type="dxa"/>
            <w:vAlign w:val="bottom"/>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Total Payments</w:t>
            </w:r>
          </w:p>
        </w:tc>
        <w:tc>
          <w:tcPr>
            <w:tcW w:w="0" w:type="dxa"/>
            <w:vAlign w:val="bottom"/>
          </w:tcPr>
          <w:p>
            <w:pPr>
              <w:spacing w:after="0"/>
              <w:rPr>
                <w:sz w:val="1"/>
                <w:szCs w:val="1"/>
                <w:color w:val="auto"/>
              </w:rPr>
            </w:pPr>
          </w:p>
        </w:tc>
      </w:tr>
      <w:tr>
        <w:trPr>
          <w:trHeight w:val="209"/>
        </w:trPr>
        <w:tc>
          <w:tcPr>
            <w:tcW w:w="2360" w:type="dxa"/>
            <w:vAlign w:val="bottom"/>
            <w:shd w:val="clear" w:color="auto" w:fill="F6F3F0"/>
          </w:tcPr>
          <w:p>
            <w:pPr>
              <w:spacing w:after="0"/>
              <w:rPr>
                <w:sz w:val="18"/>
                <w:szCs w:val="18"/>
                <w:color w:val="auto"/>
              </w:rPr>
            </w:pPr>
          </w:p>
        </w:tc>
        <w:tc>
          <w:tcPr>
            <w:tcW w:w="3880" w:type="dxa"/>
            <w:vAlign w:val="bottom"/>
            <w:shd w:val="clear" w:color="auto" w:fill="F6F3F0"/>
          </w:tcPr>
          <w:p>
            <w:pPr>
              <w:spacing w:after="0"/>
              <w:rPr>
                <w:sz w:val="18"/>
                <w:szCs w:val="18"/>
                <w:color w:val="auto"/>
              </w:rPr>
            </w:pPr>
          </w:p>
        </w:tc>
        <w:tc>
          <w:tcPr>
            <w:tcW w:w="1300" w:type="dxa"/>
            <w:vAlign w:val="bottom"/>
            <w:shd w:val="clear" w:color="auto" w:fill="F6F3F0"/>
          </w:tcPr>
          <w:p>
            <w:pPr>
              <w:jc w:val="right"/>
              <w:ind w:right="129"/>
              <w:spacing w:after="0"/>
              <w:rPr>
                <w:sz w:val="20"/>
                <w:szCs w:val="20"/>
                <w:color w:val="auto"/>
              </w:rPr>
            </w:pPr>
            <w:r>
              <w:rPr>
                <w:rFonts w:ascii="Arial" w:cs="Arial" w:eastAsia="Arial" w:hAnsi="Arial"/>
                <w:sz w:val="14"/>
                <w:szCs w:val="14"/>
                <w:b w:val="1"/>
                <w:bCs w:val="1"/>
                <w:color w:val="0E1020"/>
              </w:rPr>
              <w:t>($)</w:t>
            </w:r>
          </w:p>
        </w:tc>
        <w:tc>
          <w:tcPr>
            <w:tcW w:w="1300" w:type="dxa"/>
            <w:vAlign w:val="bottom"/>
            <w:shd w:val="clear" w:color="auto" w:fill="F6F3F0"/>
          </w:tcPr>
          <w:p>
            <w:pPr>
              <w:jc w:val="right"/>
              <w:ind w:right="16"/>
              <w:spacing w:after="0"/>
              <w:rPr>
                <w:sz w:val="20"/>
                <w:szCs w:val="20"/>
                <w:color w:val="auto"/>
              </w:rPr>
            </w:pPr>
            <w:r>
              <w:rPr>
                <w:rFonts w:ascii="Arial" w:cs="Arial" w:eastAsia="Arial" w:hAnsi="Arial"/>
                <w:sz w:val="14"/>
                <w:szCs w:val="14"/>
                <w:b w:val="1"/>
                <w:bCs w:val="1"/>
                <w:color w:val="0E1020"/>
              </w:rPr>
              <w:t>($)</w:t>
            </w:r>
          </w:p>
        </w:tc>
        <w:tc>
          <w:tcPr>
            <w:tcW w:w="116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1240" w:type="dxa"/>
            <w:vAlign w:val="bottom"/>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w:t>
            </w:r>
          </w:p>
        </w:tc>
        <w:tc>
          <w:tcPr>
            <w:tcW w:w="0" w:type="dxa"/>
            <w:vAlign w:val="bottom"/>
          </w:tcPr>
          <w:p>
            <w:pPr>
              <w:spacing w:after="0"/>
              <w:rPr>
                <w:sz w:val="1"/>
                <w:szCs w:val="1"/>
                <w:color w:val="auto"/>
              </w:rPr>
            </w:pPr>
          </w:p>
        </w:tc>
      </w:tr>
      <w:tr>
        <w:trPr>
          <w:trHeight w:val="69"/>
        </w:trPr>
        <w:tc>
          <w:tcPr>
            <w:tcW w:w="2360" w:type="dxa"/>
            <w:vAlign w:val="bottom"/>
            <w:tcBorders>
              <w:bottom w:val="single" w:sz="8" w:color="CFCFD2"/>
            </w:tcBorders>
            <w:shd w:val="clear" w:color="auto" w:fill="F6F3F0"/>
          </w:tcPr>
          <w:p>
            <w:pPr>
              <w:spacing w:after="0"/>
              <w:rPr>
                <w:sz w:val="5"/>
                <w:szCs w:val="5"/>
                <w:color w:val="auto"/>
              </w:rPr>
            </w:pPr>
          </w:p>
        </w:tc>
        <w:tc>
          <w:tcPr>
            <w:tcW w:w="3880" w:type="dxa"/>
            <w:vAlign w:val="bottom"/>
            <w:tcBorders>
              <w:bottom w:val="single" w:sz="8" w:color="CFCFD2"/>
            </w:tcBorders>
            <w:shd w:val="clear" w:color="auto" w:fill="F6F3F0"/>
          </w:tcPr>
          <w:p>
            <w:pPr>
              <w:spacing w:after="0"/>
              <w:rPr>
                <w:sz w:val="5"/>
                <w:szCs w:val="5"/>
                <w:color w:val="auto"/>
              </w:rPr>
            </w:pPr>
          </w:p>
        </w:tc>
        <w:tc>
          <w:tcPr>
            <w:tcW w:w="1300" w:type="dxa"/>
            <w:vAlign w:val="bottom"/>
            <w:tcBorders>
              <w:bottom w:val="single" w:sz="8" w:color="CFCFD2"/>
            </w:tcBorders>
            <w:shd w:val="clear" w:color="auto" w:fill="F6F3F0"/>
          </w:tcPr>
          <w:p>
            <w:pPr>
              <w:spacing w:after="0"/>
              <w:rPr>
                <w:sz w:val="5"/>
                <w:szCs w:val="5"/>
                <w:color w:val="auto"/>
              </w:rPr>
            </w:pPr>
          </w:p>
        </w:tc>
        <w:tc>
          <w:tcPr>
            <w:tcW w:w="1300" w:type="dxa"/>
            <w:vAlign w:val="bottom"/>
            <w:tcBorders>
              <w:bottom w:val="single" w:sz="8" w:color="CFCFD2"/>
            </w:tcBorders>
            <w:shd w:val="clear" w:color="auto" w:fill="F6F3F0"/>
          </w:tcPr>
          <w:p>
            <w:pPr>
              <w:spacing w:after="0"/>
              <w:rPr>
                <w:sz w:val="5"/>
                <w:szCs w:val="5"/>
                <w:color w:val="auto"/>
              </w:rPr>
            </w:pPr>
          </w:p>
        </w:tc>
        <w:tc>
          <w:tcPr>
            <w:tcW w:w="1160" w:type="dxa"/>
            <w:vAlign w:val="bottom"/>
            <w:tcBorders>
              <w:bottom w:val="single" w:sz="8" w:color="CFCFD2"/>
            </w:tcBorders>
            <w:shd w:val="clear" w:color="auto" w:fill="F6F3F0"/>
          </w:tcPr>
          <w:p>
            <w:pPr>
              <w:spacing w:after="0"/>
              <w:rPr>
                <w:sz w:val="5"/>
                <w:szCs w:val="5"/>
                <w:color w:val="auto"/>
              </w:rPr>
            </w:pPr>
          </w:p>
        </w:tc>
        <w:tc>
          <w:tcPr>
            <w:tcW w:w="1240" w:type="dxa"/>
            <w:vAlign w:val="bottom"/>
            <w:tcBorders>
              <w:bottom w:val="single" w:sz="8" w:color="CFCFD2"/>
            </w:tcBorders>
            <w:shd w:val="clear" w:color="auto" w:fill="F6F3F0"/>
          </w:tcPr>
          <w:p>
            <w:pPr>
              <w:spacing w:after="0"/>
              <w:rPr>
                <w:sz w:val="5"/>
                <w:szCs w:val="5"/>
                <w:color w:val="auto"/>
              </w:rPr>
            </w:pPr>
          </w:p>
        </w:tc>
        <w:tc>
          <w:tcPr>
            <w:tcW w:w="0" w:type="dxa"/>
            <w:vAlign w:val="bottom"/>
          </w:tcPr>
          <w:p>
            <w:pPr>
              <w:spacing w:after="0"/>
              <w:rPr>
                <w:sz w:val="1"/>
                <w:szCs w:val="1"/>
                <w:color w:val="auto"/>
              </w:rPr>
            </w:pPr>
          </w:p>
        </w:tc>
      </w:tr>
      <w:tr>
        <w:trPr>
          <w:trHeight w:val="342"/>
        </w:trPr>
        <w:tc>
          <w:tcPr>
            <w:tcW w:w="2360" w:type="dxa"/>
            <w:vAlign w:val="bottom"/>
          </w:tcPr>
          <w:p>
            <w:pPr>
              <w:spacing w:after="0"/>
              <w:rPr>
                <w:sz w:val="24"/>
                <w:szCs w:val="24"/>
                <w:color w:val="auto"/>
              </w:rPr>
            </w:pPr>
          </w:p>
        </w:tc>
        <w:tc>
          <w:tcPr>
            <w:tcW w:w="3880" w:type="dxa"/>
            <w:vAlign w:val="bottom"/>
            <w:tcBorders>
              <w:bottom w:val="single" w:sz="8" w:color="CFCFD2"/>
            </w:tcBorders>
          </w:tcPr>
          <w:p>
            <w:pPr>
              <w:ind w:left="20"/>
              <w:spacing w:after="0"/>
              <w:rPr>
                <w:sz w:val="20"/>
                <w:szCs w:val="20"/>
                <w:color w:val="auto"/>
              </w:rPr>
            </w:pPr>
            <w:r>
              <w:rPr>
                <w:rFonts w:ascii="Arial" w:cs="Arial" w:eastAsia="Arial" w:hAnsi="Arial"/>
                <w:sz w:val="14"/>
                <w:szCs w:val="14"/>
                <w:color w:val="0E1020"/>
              </w:rPr>
              <w:t>Termination without Cause/for Good Reason</w:t>
            </w:r>
          </w:p>
        </w:tc>
        <w:tc>
          <w:tcPr>
            <w:tcW w:w="1300" w:type="dxa"/>
            <w:vAlign w:val="bottom"/>
            <w:tcBorders>
              <w:bottom w:val="single" w:sz="8" w:color="CFCFD2"/>
            </w:tcBorders>
          </w:tcPr>
          <w:p>
            <w:pPr>
              <w:jc w:val="right"/>
              <w:ind w:right="169"/>
              <w:spacing w:after="0"/>
              <w:rPr>
                <w:sz w:val="20"/>
                <w:szCs w:val="20"/>
                <w:color w:val="auto"/>
              </w:rPr>
            </w:pPr>
            <w:r>
              <w:rPr>
                <w:rFonts w:ascii="Arial" w:cs="Arial" w:eastAsia="Arial" w:hAnsi="Arial"/>
                <w:sz w:val="14"/>
                <w:szCs w:val="14"/>
                <w:color w:val="0E1020"/>
              </w:rPr>
              <w:t>13,387,500</w:t>
            </w:r>
          </w:p>
        </w:tc>
        <w:tc>
          <w:tcPr>
            <w:tcW w:w="1300" w:type="dxa"/>
            <w:vAlign w:val="bottom"/>
            <w:tcBorders>
              <w:bottom w:val="single" w:sz="8" w:color="CFCFD2"/>
            </w:tcBorders>
          </w:tcPr>
          <w:p>
            <w:pPr>
              <w:jc w:val="right"/>
              <w:ind w:right="16"/>
              <w:spacing w:after="0"/>
              <w:rPr>
                <w:sz w:val="20"/>
                <w:szCs w:val="20"/>
                <w:color w:val="auto"/>
              </w:rPr>
            </w:pPr>
            <w:r>
              <w:rPr>
                <w:rFonts w:ascii="Arial" w:cs="Arial" w:eastAsia="Arial" w:hAnsi="Arial"/>
                <w:sz w:val="28"/>
                <w:szCs w:val="28"/>
                <w:color w:val="0E1020"/>
                <w:vertAlign w:val="subscript"/>
              </w:rPr>
              <w:t>—</w:t>
            </w:r>
            <w:r>
              <w:rPr>
                <w:rFonts w:ascii="Arial" w:cs="Arial" w:eastAsia="Arial" w:hAnsi="Arial"/>
                <w:sz w:val="9"/>
                <w:szCs w:val="9"/>
                <w:color w:val="0E1020"/>
              </w:rPr>
              <w:t>(3)</w:t>
            </w:r>
          </w:p>
        </w:tc>
        <w:tc>
          <w:tcPr>
            <w:tcW w:w="1160" w:type="dxa"/>
            <w:vAlign w:val="bottom"/>
            <w:tcBorders>
              <w:bottom w:val="single" w:sz="8" w:color="CFCFD2"/>
            </w:tcBorders>
          </w:tcPr>
          <w:p>
            <w:pPr>
              <w:jc w:val="right"/>
              <w:spacing w:after="0"/>
              <w:rPr>
                <w:sz w:val="20"/>
                <w:szCs w:val="20"/>
                <w:color w:val="auto"/>
              </w:rPr>
            </w:pPr>
            <w:r>
              <w:rPr>
                <w:rFonts w:ascii="Arial" w:cs="Arial" w:eastAsia="Arial" w:hAnsi="Arial"/>
                <w:sz w:val="28"/>
                <w:szCs w:val="28"/>
                <w:color w:val="0E1020"/>
                <w:vertAlign w:val="subscript"/>
              </w:rPr>
              <w:t>—</w:t>
            </w:r>
            <w:r>
              <w:rPr>
                <w:rFonts w:ascii="Arial" w:cs="Arial" w:eastAsia="Arial" w:hAnsi="Arial"/>
                <w:sz w:val="9"/>
                <w:szCs w:val="9"/>
                <w:color w:val="0E1020"/>
              </w:rPr>
              <w:t>(3)</w:t>
            </w:r>
          </w:p>
        </w:tc>
        <w:tc>
          <w:tcPr>
            <w:tcW w:w="1240" w:type="dxa"/>
            <w:vAlign w:val="bottom"/>
            <w:tcBorders>
              <w:bottom w:val="single" w:sz="8" w:color="CFCFD2"/>
            </w:tcBorders>
          </w:tcPr>
          <w:p>
            <w:pPr>
              <w:jc w:val="right"/>
              <w:ind w:right="149"/>
              <w:spacing w:after="0"/>
              <w:rPr>
                <w:sz w:val="20"/>
                <w:szCs w:val="20"/>
                <w:color w:val="auto"/>
              </w:rPr>
            </w:pPr>
            <w:r>
              <w:rPr>
                <w:rFonts w:ascii="Arial" w:cs="Arial" w:eastAsia="Arial" w:hAnsi="Arial"/>
                <w:sz w:val="14"/>
                <w:szCs w:val="14"/>
                <w:color w:val="0E1020"/>
              </w:rPr>
              <w:t>13,387,500</w:t>
            </w:r>
          </w:p>
        </w:tc>
        <w:tc>
          <w:tcPr>
            <w:tcW w:w="0" w:type="dxa"/>
            <w:vAlign w:val="bottom"/>
          </w:tcPr>
          <w:p>
            <w:pPr>
              <w:spacing w:after="0"/>
              <w:rPr>
                <w:sz w:val="1"/>
                <w:szCs w:val="1"/>
                <w:color w:val="auto"/>
              </w:rPr>
            </w:pPr>
          </w:p>
        </w:tc>
      </w:tr>
      <w:tr>
        <w:trPr>
          <w:trHeight w:val="342"/>
        </w:trPr>
        <w:tc>
          <w:tcPr>
            <w:tcW w:w="2360" w:type="dxa"/>
            <w:vAlign w:val="bottom"/>
          </w:tcPr>
          <w:p>
            <w:pPr>
              <w:ind w:left="100"/>
              <w:spacing w:after="0"/>
              <w:rPr>
                <w:sz w:val="20"/>
                <w:szCs w:val="20"/>
                <w:color w:val="auto"/>
              </w:rPr>
            </w:pPr>
            <w:r>
              <w:rPr>
                <w:rFonts w:ascii="Arial" w:cs="Arial" w:eastAsia="Arial" w:hAnsi="Arial"/>
                <w:sz w:val="14"/>
                <w:szCs w:val="14"/>
                <w:b w:val="1"/>
                <w:bCs w:val="1"/>
                <w:color w:val="004AAC"/>
              </w:rPr>
              <w:t>Raul J. Fernandez</w:t>
            </w:r>
          </w:p>
        </w:tc>
        <w:tc>
          <w:tcPr>
            <w:tcW w:w="3880" w:type="dxa"/>
            <w:vAlign w:val="bottom"/>
            <w:tcBorders>
              <w:bottom w:val="single" w:sz="8" w:color="CFCFD2"/>
            </w:tcBorders>
          </w:tcPr>
          <w:p>
            <w:pPr>
              <w:ind w:left="20"/>
              <w:spacing w:after="0"/>
              <w:rPr>
                <w:sz w:val="20"/>
                <w:szCs w:val="20"/>
                <w:color w:val="auto"/>
              </w:rPr>
            </w:pPr>
            <w:r>
              <w:rPr>
                <w:rFonts w:ascii="Arial" w:cs="Arial" w:eastAsia="Arial" w:hAnsi="Arial"/>
                <w:sz w:val="14"/>
                <w:szCs w:val="14"/>
                <w:color w:val="0E1020"/>
              </w:rPr>
              <w:t>Retirement</w:t>
            </w:r>
          </w:p>
        </w:tc>
        <w:tc>
          <w:tcPr>
            <w:tcW w:w="1300" w:type="dxa"/>
            <w:vAlign w:val="bottom"/>
            <w:tcBorders>
              <w:bottom w:val="single" w:sz="8" w:color="CFCFD2"/>
            </w:tcBorders>
          </w:tcPr>
          <w:p>
            <w:pPr>
              <w:jc w:val="right"/>
              <w:ind w:right="169"/>
              <w:spacing w:after="0"/>
              <w:rPr>
                <w:sz w:val="20"/>
                <w:szCs w:val="20"/>
                <w:color w:val="auto"/>
              </w:rPr>
            </w:pPr>
            <w:r>
              <w:rPr>
                <w:rFonts w:ascii="Arial" w:cs="Arial" w:eastAsia="Arial" w:hAnsi="Arial"/>
                <w:sz w:val="14"/>
                <w:szCs w:val="14"/>
                <w:color w:val="0E1020"/>
              </w:rPr>
              <w:t>—</w:t>
            </w:r>
          </w:p>
        </w:tc>
        <w:tc>
          <w:tcPr>
            <w:tcW w:w="1300" w:type="dxa"/>
            <w:vAlign w:val="bottom"/>
            <w:tcBorders>
              <w:bottom w:val="single" w:sz="8" w:color="CFCFD2"/>
            </w:tcBorders>
          </w:tcPr>
          <w:p>
            <w:pPr>
              <w:jc w:val="right"/>
              <w:ind w:right="16"/>
              <w:spacing w:after="0"/>
              <w:rPr>
                <w:sz w:val="20"/>
                <w:szCs w:val="20"/>
                <w:color w:val="auto"/>
              </w:rPr>
            </w:pPr>
            <w:r>
              <w:rPr>
                <w:rFonts w:ascii="Arial" w:cs="Arial" w:eastAsia="Arial" w:hAnsi="Arial"/>
                <w:sz w:val="28"/>
                <w:szCs w:val="28"/>
                <w:color w:val="0E1020"/>
                <w:vertAlign w:val="subscript"/>
              </w:rPr>
              <w:t>—</w:t>
            </w:r>
            <w:r>
              <w:rPr>
                <w:rFonts w:ascii="Arial" w:cs="Arial" w:eastAsia="Arial" w:hAnsi="Arial"/>
                <w:sz w:val="9"/>
                <w:szCs w:val="9"/>
                <w:color w:val="0E1020"/>
              </w:rPr>
              <w:t>(3)</w:t>
            </w:r>
          </w:p>
        </w:tc>
        <w:tc>
          <w:tcPr>
            <w:tcW w:w="1160" w:type="dxa"/>
            <w:vAlign w:val="bottom"/>
            <w:tcBorders>
              <w:bottom w:val="single" w:sz="8" w:color="CFCFD2"/>
            </w:tcBorders>
          </w:tcPr>
          <w:p>
            <w:pPr>
              <w:jc w:val="right"/>
              <w:spacing w:after="0"/>
              <w:rPr>
                <w:sz w:val="20"/>
                <w:szCs w:val="20"/>
                <w:color w:val="auto"/>
              </w:rPr>
            </w:pPr>
            <w:r>
              <w:rPr>
                <w:rFonts w:ascii="Arial" w:cs="Arial" w:eastAsia="Arial" w:hAnsi="Arial"/>
                <w:sz w:val="28"/>
                <w:szCs w:val="28"/>
                <w:color w:val="0E1020"/>
                <w:vertAlign w:val="subscript"/>
              </w:rPr>
              <w:t>—</w:t>
            </w:r>
            <w:r>
              <w:rPr>
                <w:rFonts w:ascii="Arial" w:cs="Arial" w:eastAsia="Arial" w:hAnsi="Arial"/>
                <w:sz w:val="9"/>
                <w:szCs w:val="9"/>
                <w:color w:val="0E1020"/>
              </w:rPr>
              <w:t>(3)</w:t>
            </w:r>
          </w:p>
        </w:tc>
        <w:tc>
          <w:tcPr>
            <w:tcW w:w="1240" w:type="dxa"/>
            <w:vAlign w:val="bottom"/>
            <w:tcBorders>
              <w:bottom w:val="single" w:sz="8" w:color="CFCFD2"/>
            </w:tcBorders>
          </w:tcPr>
          <w:p>
            <w:pPr>
              <w:jc w:val="right"/>
              <w:ind w:right="149"/>
              <w:spacing w:after="0"/>
              <w:rPr>
                <w:sz w:val="20"/>
                <w:szCs w:val="20"/>
                <w:color w:val="auto"/>
              </w:rPr>
            </w:pPr>
            <w:r>
              <w:rPr>
                <w:rFonts w:ascii="Arial" w:cs="Arial" w:eastAsia="Arial" w:hAnsi="Arial"/>
                <w:sz w:val="14"/>
                <w:szCs w:val="14"/>
                <w:color w:val="0E1020"/>
              </w:rPr>
              <w:t>—</w:t>
            </w:r>
          </w:p>
        </w:tc>
        <w:tc>
          <w:tcPr>
            <w:tcW w:w="0" w:type="dxa"/>
            <w:vAlign w:val="bottom"/>
          </w:tcPr>
          <w:p>
            <w:pPr>
              <w:spacing w:after="0"/>
              <w:rPr>
                <w:sz w:val="1"/>
                <w:szCs w:val="1"/>
                <w:color w:val="auto"/>
              </w:rPr>
            </w:pPr>
          </w:p>
        </w:tc>
      </w:tr>
      <w:tr>
        <w:trPr>
          <w:trHeight w:val="310"/>
        </w:trPr>
        <w:tc>
          <w:tcPr>
            <w:tcW w:w="2360" w:type="dxa"/>
            <w:vAlign w:val="bottom"/>
          </w:tcPr>
          <w:p>
            <w:pPr>
              <w:spacing w:after="0"/>
              <w:rPr>
                <w:sz w:val="24"/>
                <w:szCs w:val="24"/>
                <w:color w:val="auto"/>
              </w:rPr>
            </w:pPr>
          </w:p>
        </w:tc>
        <w:tc>
          <w:tcPr>
            <w:tcW w:w="3880" w:type="dxa"/>
            <w:vAlign w:val="bottom"/>
          </w:tcPr>
          <w:p>
            <w:pPr>
              <w:ind w:left="20"/>
              <w:spacing w:after="0"/>
              <w:rPr>
                <w:sz w:val="20"/>
                <w:szCs w:val="20"/>
                <w:color w:val="auto"/>
              </w:rPr>
            </w:pPr>
            <w:r>
              <w:rPr>
                <w:rFonts w:ascii="Arial" w:cs="Arial" w:eastAsia="Arial" w:hAnsi="Arial"/>
                <w:sz w:val="14"/>
                <w:szCs w:val="14"/>
                <w:color w:val="0E1020"/>
              </w:rPr>
              <w:t>Death/Disability</w:t>
            </w:r>
          </w:p>
        </w:tc>
        <w:tc>
          <w:tcPr>
            <w:tcW w:w="1300" w:type="dxa"/>
            <w:vAlign w:val="bottom"/>
          </w:tcPr>
          <w:p>
            <w:pPr>
              <w:jc w:val="right"/>
              <w:ind w:right="169"/>
              <w:spacing w:after="0"/>
              <w:rPr>
                <w:sz w:val="20"/>
                <w:szCs w:val="20"/>
                <w:color w:val="auto"/>
              </w:rPr>
            </w:pPr>
            <w:r>
              <w:rPr>
                <w:rFonts w:ascii="Arial" w:cs="Arial" w:eastAsia="Arial" w:hAnsi="Arial"/>
                <w:sz w:val="14"/>
                <w:szCs w:val="14"/>
                <w:color w:val="0E1020"/>
              </w:rPr>
              <w:t>2,887,500</w:t>
            </w:r>
          </w:p>
        </w:tc>
        <w:tc>
          <w:tcPr>
            <w:tcW w:w="1300" w:type="dxa"/>
            <w:vAlign w:val="bottom"/>
          </w:tcPr>
          <w:p>
            <w:pPr>
              <w:jc w:val="right"/>
              <w:ind w:right="16"/>
              <w:spacing w:after="0"/>
              <w:rPr>
                <w:sz w:val="20"/>
                <w:szCs w:val="20"/>
                <w:color w:val="auto"/>
              </w:rPr>
            </w:pPr>
            <w:r>
              <w:rPr>
                <w:rFonts w:ascii="Arial" w:cs="Arial" w:eastAsia="Arial" w:hAnsi="Arial"/>
                <w:sz w:val="14"/>
                <w:szCs w:val="14"/>
                <w:color w:val="0E1020"/>
              </w:rPr>
              <w:t>34,349,050</w:t>
            </w:r>
            <w:r>
              <w:rPr>
                <w:rFonts w:ascii="Arial" w:cs="Arial" w:eastAsia="Arial" w:hAnsi="Arial"/>
                <w:sz w:val="18"/>
                <w:szCs w:val="18"/>
                <w:color w:val="0E1020"/>
                <w:vertAlign w:val="superscript"/>
              </w:rPr>
              <w:t>(4)</w:t>
            </w:r>
          </w:p>
        </w:tc>
        <w:tc>
          <w:tcPr>
            <w:tcW w:w="1160" w:type="dxa"/>
            <w:vAlign w:val="bottom"/>
          </w:tcPr>
          <w:p>
            <w:pPr>
              <w:jc w:val="right"/>
              <w:spacing w:after="0"/>
              <w:rPr>
                <w:sz w:val="20"/>
                <w:szCs w:val="20"/>
                <w:color w:val="auto"/>
              </w:rPr>
            </w:pPr>
            <w:r>
              <w:rPr>
                <w:rFonts w:ascii="Arial" w:cs="Arial" w:eastAsia="Arial" w:hAnsi="Arial"/>
                <w:sz w:val="14"/>
                <w:szCs w:val="14"/>
                <w:color w:val="0E1020"/>
              </w:rPr>
              <w:t>6,912,457</w:t>
            </w:r>
            <w:r>
              <w:rPr>
                <w:rFonts w:ascii="Arial" w:cs="Arial" w:eastAsia="Arial" w:hAnsi="Arial"/>
                <w:sz w:val="18"/>
                <w:szCs w:val="18"/>
                <w:color w:val="0E1020"/>
                <w:vertAlign w:val="superscript"/>
              </w:rPr>
              <w:t>(4)</w:t>
            </w:r>
          </w:p>
        </w:tc>
        <w:tc>
          <w:tcPr>
            <w:tcW w:w="1240" w:type="dxa"/>
            <w:vAlign w:val="bottom"/>
          </w:tcPr>
          <w:p>
            <w:pPr>
              <w:jc w:val="right"/>
              <w:ind w:right="149"/>
              <w:spacing w:after="0"/>
              <w:rPr>
                <w:sz w:val="20"/>
                <w:szCs w:val="20"/>
                <w:color w:val="auto"/>
              </w:rPr>
            </w:pPr>
            <w:r>
              <w:rPr>
                <w:rFonts w:ascii="Arial" w:cs="Arial" w:eastAsia="Arial" w:hAnsi="Arial"/>
                <w:sz w:val="14"/>
                <w:szCs w:val="14"/>
                <w:color w:val="0E1020"/>
              </w:rPr>
              <w:t>44,149,007</w:t>
            </w:r>
          </w:p>
        </w:tc>
        <w:tc>
          <w:tcPr>
            <w:tcW w:w="0" w:type="dxa"/>
            <w:vAlign w:val="bottom"/>
          </w:tcPr>
          <w:p>
            <w:pPr>
              <w:spacing w:after="0"/>
              <w:rPr>
                <w:sz w:val="1"/>
                <w:szCs w:val="1"/>
                <w:color w:val="auto"/>
              </w:rPr>
            </w:pPr>
          </w:p>
        </w:tc>
      </w:tr>
      <w:tr>
        <w:trPr>
          <w:trHeight w:val="85"/>
        </w:trPr>
        <w:tc>
          <w:tcPr>
            <w:tcW w:w="2360" w:type="dxa"/>
            <w:vAlign w:val="bottom"/>
            <w:tcBorders>
              <w:bottom w:val="single" w:sz="8" w:color="CFCFD2"/>
            </w:tcBorders>
          </w:tcPr>
          <w:p>
            <w:pPr>
              <w:spacing w:after="0"/>
              <w:rPr>
                <w:sz w:val="7"/>
                <w:szCs w:val="7"/>
                <w:color w:val="auto"/>
              </w:rPr>
            </w:pPr>
          </w:p>
        </w:tc>
        <w:tc>
          <w:tcPr>
            <w:tcW w:w="3880" w:type="dxa"/>
            <w:vAlign w:val="bottom"/>
            <w:tcBorders>
              <w:bottom w:val="single" w:sz="8" w:color="CFCFD2"/>
            </w:tcBorders>
          </w:tcPr>
          <w:p>
            <w:pPr>
              <w:spacing w:after="0"/>
              <w:rPr>
                <w:sz w:val="7"/>
                <w:szCs w:val="7"/>
                <w:color w:val="auto"/>
              </w:rPr>
            </w:pPr>
          </w:p>
        </w:tc>
        <w:tc>
          <w:tcPr>
            <w:tcW w:w="1300" w:type="dxa"/>
            <w:vAlign w:val="bottom"/>
            <w:tcBorders>
              <w:bottom w:val="single" w:sz="8" w:color="CFCFD2"/>
            </w:tcBorders>
          </w:tcPr>
          <w:p>
            <w:pPr>
              <w:spacing w:after="0"/>
              <w:rPr>
                <w:sz w:val="7"/>
                <w:szCs w:val="7"/>
                <w:color w:val="auto"/>
              </w:rPr>
            </w:pPr>
          </w:p>
        </w:tc>
        <w:tc>
          <w:tcPr>
            <w:tcW w:w="1300" w:type="dxa"/>
            <w:vAlign w:val="bottom"/>
            <w:tcBorders>
              <w:bottom w:val="single" w:sz="8" w:color="CFCFD2"/>
            </w:tcBorders>
          </w:tcPr>
          <w:p>
            <w:pPr>
              <w:spacing w:after="0"/>
              <w:rPr>
                <w:sz w:val="7"/>
                <w:szCs w:val="7"/>
                <w:color w:val="auto"/>
              </w:rPr>
            </w:pPr>
          </w:p>
        </w:tc>
        <w:tc>
          <w:tcPr>
            <w:tcW w:w="1160" w:type="dxa"/>
            <w:vAlign w:val="bottom"/>
            <w:tcBorders>
              <w:bottom w:val="single" w:sz="8" w:color="CFCFD2"/>
            </w:tcBorders>
          </w:tcPr>
          <w:p>
            <w:pPr>
              <w:spacing w:after="0"/>
              <w:rPr>
                <w:sz w:val="7"/>
                <w:szCs w:val="7"/>
                <w:color w:val="auto"/>
              </w:rPr>
            </w:pPr>
          </w:p>
        </w:tc>
        <w:tc>
          <w:tcPr>
            <w:tcW w:w="1240" w:type="dxa"/>
            <w:vAlign w:val="bottom"/>
            <w:tcBorders>
              <w:bottom w:val="single" w:sz="8" w:color="CFCFD2"/>
            </w:tcBorders>
          </w:tcPr>
          <w:p>
            <w:pPr>
              <w:spacing w:after="0"/>
              <w:rPr>
                <w:sz w:val="7"/>
                <w:szCs w:val="7"/>
                <w:color w:val="auto"/>
              </w:rPr>
            </w:pPr>
          </w:p>
        </w:tc>
        <w:tc>
          <w:tcPr>
            <w:tcW w:w="0" w:type="dxa"/>
            <w:vAlign w:val="bottom"/>
          </w:tcPr>
          <w:p>
            <w:pPr>
              <w:spacing w:after="0"/>
              <w:rPr>
                <w:sz w:val="1"/>
                <w:szCs w:val="1"/>
                <w:color w:val="auto"/>
              </w:rPr>
            </w:pPr>
          </w:p>
        </w:tc>
      </w:tr>
      <w:tr>
        <w:trPr>
          <w:trHeight w:val="389"/>
        </w:trPr>
        <w:tc>
          <w:tcPr>
            <w:tcW w:w="2360" w:type="dxa"/>
            <w:vAlign w:val="bottom"/>
          </w:tcPr>
          <w:p>
            <w:pPr>
              <w:spacing w:after="0"/>
              <w:rPr>
                <w:sz w:val="24"/>
                <w:szCs w:val="24"/>
                <w:color w:val="auto"/>
              </w:rPr>
            </w:pPr>
          </w:p>
        </w:tc>
        <w:tc>
          <w:tcPr>
            <w:tcW w:w="3880" w:type="dxa"/>
            <w:vAlign w:val="bottom"/>
            <w:tcBorders>
              <w:bottom w:val="single" w:sz="8" w:color="CFCFD2"/>
            </w:tcBorders>
          </w:tcPr>
          <w:p>
            <w:pPr>
              <w:ind w:left="20"/>
              <w:spacing w:after="0"/>
              <w:rPr>
                <w:sz w:val="20"/>
                <w:szCs w:val="20"/>
                <w:color w:val="auto"/>
              </w:rPr>
            </w:pPr>
            <w:r>
              <w:rPr>
                <w:rFonts w:ascii="Arial" w:cs="Arial" w:eastAsia="Arial" w:hAnsi="Arial"/>
                <w:sz w:val="14"/>
                <w:szCs w:val="14"/>
                <w:color w:val="0E1020"/>
              </w:rPr>
              <w:t>Termination without Cause</w:t>
            </w:r>
          </w:p>
        </w:tc>
        <w:tc>
          <w:tcPr>
            <w:tcW w:w="1300" w:type="dxa"/>
            <w:vAlign w:val="bottom"/>
            <w:tcBorders>
              <w:bottom w:val="single" w:sz="8" w:color="CFCFD2"/>
            </w:tcBorders>
          </w:tcPr>
          <w:p>
            <w:pPr>
              <w:jc w:val="right"/>
              <w:ind w:right="169"/>
              <w:spacing w:after="0"/>
              <w:rPr>
                <w:sz w:val="20"/>
                <w:szCs w:val="20"/>
                <w:color w:val="auto"/>
              </w:rPr>
            </w:pPr>
            <w:r>
              <w:rPr>
                <w:rFonts w:ascii="Arial" w:cs="Arial" w:eastAsia="Arial" w:hAnsi="Arial"/>
                <w:sz w:val="14"/>
                <w:szCs w:val="14"/>
                <w:color w:val="0E1020"/>
              </w:rPr>
              <w:t>1,880,000</w:t>
            </w:r>
          </w:p>
        </w:tc>
        <w:tc>
          <w:tcPr>
            <w:tcW w:w="1300" w:type="dxa"/>
            <w:vAlign w:val="bottom"/>
            <w:tcBorders>
              <w:bottom w:val="single" w:sz="8" w:color="CFCFD2"/>
            </w:tcBorders>
          </w:tcPr>
          <w:p>
            <w:pPr>
              <w:jc w:val="right"/>
              <w:ind w:right="16"/>
              <w:spacing w:after="0"/>
              <w:rPr>
                <w:sz w:val="20"/>
                <w:szCs w:val="20"/>
                <w:color w:val="auto"/>
              </w:rPr>
            </w:pPr>
            <w:r>
              <w:rPr>
                <w:rFonts w:ascii="Arial" w:cs="Arial" w:eastAsia="Arial" w:hAnsi="Arial"/>
                <w:sz w:val="28"/>
                <w:szCs w:val="28"/>
                <w:color w:val="0E1020"/>
                <w:vertAlign w:val="subscript"/>
              </w:rPr>
              <w:t>—</w:t>
            </w:r>
            <w:r>
              <w:rPr>
                <w:rFonts w:ascii="Arial" w:cs="Arial" w:eastAsia="Arial" w:hAnsi="Arial"/>
                <w:sz w:val="9"/>
                <w:szCs w:val="9"/>
                <w:color w:val="0E1020"/>
              </w:rPr>
              <w:t>(5)</w:t>
            </w:r>
          </w:p>
        </w:tc>
        <w:tc>
          <w:tcPr>
            <w:tcW w:w="116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647,317</w:t>
            </w:r>
            <w:r>
              <w:rPr>
                <w:rFonts w:ascii="Arial" w:cs="Arial" w:eastAsia="Arial" w:hAnsi="Arial"/>
                <w:sz w:val="18"/>
                <w:szCs w:val="18"/>
                <w:color w:val="0E1020"/>
                <w:vertAlign w:val="superscript"/>
              </w:rPr>
              <w:t>(5)</w:t>
            </w:r>
          </w:p>
        </w:tc>
        <w:tc>
          <w:tcPr>
            <w:tcW w:w="1240" w:type="dxa"/>
            <w:vAlign w:val="bottom"/>
            <w:tcBorders>
              <w:bottom w:val="single" w:sz="8" w:color="CFCFD2"/>
            </w:tcBorders>
          </w:tcPr>
          <w:p>
            <w:pPr>
              <w:jc w:val="right"/>
              <w:ind w:right="149"/>
              <w:spacing w:after="0"/>
              <w:rPr>
                <w:sz w:val="20"/>
                <w:szCs w:val="20"/>
                <w:color w:val="auto"/>
              </w:rPr>
            </w:pPr>
            <w:r>
              <w:rPr>
                <w:rFonts w:ascii="Arial" w:cs="Arial" w:eastAsia="Arial" w:hAnsi="Arial"/>
                <w:sz w:val="14"/>
                <w:szCs w:val="14"/>
                <w:color w:val="0E1020"/>
              </w:rPr>
              <w:t>2,527,317</w:t>
            </w:r>
          </w:p>
        </w:tc>
        <w:tc>
          <w:tcPr>
            <w:tcW w:w="0" w:type="dxa"/>
            <w:vAlign w:val="bottom"/>
          </w:tcPr>
          <w:p>
            <w:pPr>
              <w:spacing w:after="0"/>
              <w:rPr>
                <w:sz w:val="1"/>
                <w:szCs w:val="1"/>
                <w:color w:val="auto"/>
              </w:rPr>
            </w:pPr>
          </w:p>
        </w:tc>
      </w:tr>
      <w:tr>
        <w:trPr>
          <w:trHeight w:val="349"/>
        </w:trPr>
        <w:tc>
          <w:tcPr>
            <w:tcW w:w="2360" w:type="dxa"/>
            <w:vAlign w:val="bottom"/>
          </w:tcPr>
          <w:p>
            <w:pPr>
              <w:ind w:left="100"/>
              <w:spacing w:after="0"/>
              <w:rPr>
                <w:sz w:val="20"/>
                <w:szCs w:val="20"/>
                <w:color w:val="auto"/>
              </w:rPr>
            </w:pPr>
            <w:r>
              <w:rPr>
                <w:rFonts w:ascii="Arial" w:cs="Arial" w:eastAsia="Arial" w:hAnsi="Arial"/>
                <w:sz w:val="14"/>
                <w:szCs w:val="14"/>
                <w:b w:val="1"/>
                <w:bCs w:val="1"/>
                <w:color w:val="004AAC"/>
              </w:rPr>
              <w:t>Robert Del Bene</w:t>
            </w:r>
          </w:p>
        </w:tc>
        <w:tc>
          <w:tcPr>
            <w:tcW w:w="3880" w:type="dxa"/>
            <w:vAlign w:val="bottom"/>
            <w:tcBorders>
              <w:bottom w:val="single" w:sz="8" w:color="CFCFD2"/>
            </w:tcBorders>
          </w:tcPr>
          <w:p>
            <w:pPr>
              <w:ind w:left="20"/>
              <w:spacing w:after="0"/>
              <w:rPr>
                <w:sz w:val="20"/>
                <w:szCs w:val="20"/>
                <w:color w:val="auto"/>
              </w:rPr>
            </w:pPr>
            <w:r>
              <w:rPr>
                <w:rFonts w:ascii="Arial" w:cs="Arial" w:eastAsia="Arial" w:hAnsi="Arial"/>
                <w:sz w:val="14"/>
                <w:szCs w:val="14"/>
                <w:color w:val="0E1020"/>
              </w:rPr>
              <w:t>Termination for Good Reason</w:t>
            </w:r>
          </w:p>
        </w:tc>
        <w:tc>
          <w:tcPr>
            <w:tcW w:w="1300" w:type="dxa"/>
            <w:vAlign w:val="bottom"/>
            <w:tcBorders>
              <w:bottom w:val="single" w:sz="8" w:color="CFCFD2"/>
            </w:tcBorders>
          </w:tcPr>
          <w:p>
            <w:pPr>
              <w:jc w:val="right"/>
              <w:ind w:right="169"/>
              <w:spacing w:after="0"/>
              <w:rPr>
                <w:sz w:val="20"/>
                <w:szCs w:val="20"/>
                <w:color w:val="auto"/>
              </w:rPr>
            </w:pPr>
            <w:r>
              <w:rPr>
                <w:rFonts w:ascii="Arial" w:cs="Arial" w:eastAsia="Arial" w:hAnsi="Arial"/>
                <w:sz w:val="14"/>
                <w:szCs w:val="14"/>
                <w:color w:val="0E1020"/>
              </w:rPr>
              <w:t>—</w:t>
            </w:r>
          </w:p>
        </w:tc>
        <w:tc>
          <w:tcPr>
            <w:tcW w:w="1300" w:type="dxa"/>
            <w:vAlign w:val="bottom"/>
            <w:tcBorders>
              <w:bottom w:val="single" w:sz="8" w:color="CFCFD2"/>
            </w:tcBorders>
          </w:tcPr>
          <w:p>
            <w:pPr>
              <w:jc w:val="right"/>
              <w:ind w:right="16"/>
              <w:spacing w:after="0"/>
              <w:rPr>
                <w:sz w:val="20"/>
                <w:szCs w:val="20"/>
                <w:color w:val="auto"/>
              </w:rPr>
            </w:pPr>
            <w:r>
              <w:rPr>
                <w:rFonts w:ascii="Arial" w:cs="Arial" w:eastAsia="Arial" w:hAnsi="Arial"/>
                <w:sz w:val="28"/>
                <w:szCs w:val="28"/>
                <w:color w:val="0E1020"/>
                <w:vertAlign w:val="subscript"/>
              </w:rPr>
              <w:t>—</w:t>
            </w:r>
            <w:r>
              <w:rPr>
                <w:rFonts w:ascii="Arial" w:cs="Arial" w:eastAsia="Arial" w:hAnsi="Arial"/>
                <w:sz w:val="9"/>
                <w:szCs w:val="9"/>
                <w:color w:val="0E1020"/>
              </w:rPr>
              <w:t>(5)</w:t>
            </w:r>
          </w:p>
        </w:tc>
        <w:tc>
          <w:tcPr>
            <w:tcW w:w="116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647,317</w:t>
            </w:r>
            <w:r>
              <w:rPr>
                <w:rFonts w:ascii="Arial" w:cs="Arial" w:eastAsia="Arial" w:hAnsi="Arial"/>
                <w:sz w:val="18"/>
                <w:szCs w:val="18"/>
                <w:color w:val="0E1020"/>
                <w:vertAlign w:val="superscript"/>
              </w:rPr>
              <w:t>(5)</w:t>
            </w:r>
          </w:p>
        </w:tc>
        <w:tc>
          <w:tcPr>
            <w:tcW w:w="1240" w:type="dxa"/>
            <w:vAlign w:val="bottom"/>
            <w:tcBorders>
              <w:bottom w:val="single" w:sz="8" w:color="CFCFD2"/>
            </w:tcBorders>
          </w:tcPr>
          <w:p>
            <w:pPr>
              <w:jc w:val="right"/>
              <w:ind w:right="149"/>
              <w:spacing w:after="0"/>
              <w:rPr>
                <w:sz w:val="20"/>
                <w:szCs w:val="20"/>
                <w:color w:val="auto"/>
              </w:rPr>
            </w:pPr>
            <w:r>
              <w:rPr>
                <w:rFonts w:ascii="Arial" w:cs="Arial" w:eastAsia="Arial" w:hAnsi="Arial"/>
                <w:sz w:val="14"/>
                <w:szCs w:val="14"/>
                <w:color w:val="0E1020"/>
              </w:rPr>
              <w:t>647,317</w:t>
            </w:r>
          </w:p>
        </w:tc>
        <w:tc>
          <w:tcPr>
            <w:tcW w:w="0" w:type="dxa"/>
            <w:vAlign w:val="bottom"/>
          </w:tcPr>
          <w:p>
            <w:pPr>
              <w:spacing w:after="0"/>
              <w:rPr>
                <w:sz w:val="1"/>
                <w:szCs w:val="1"/>
                <w:color w:val="auto"/>
              </w:rPr>
            </w:pPr>
          </w:p>
        </w:tc>
      </w:tr>
      <w:tr>
        <w:trPr>
          <w:trHeight w:val="310"/>
        </w:trPr>
        <w:tc>
          <w:tcPr>
            <w:tcW w:w="2360" w:type="dxa"/>
            <w:vAlign w:val="bottom"/>
          </w:tcPr>
          <w:p>
            <w:pPr>
              <w:spacing w:after="0"/>
              <w:rPr>
                <w:sz w:val="24"/>
                <w:szCs w:val="24"/>
                <w:color w:val="auto"/>
              </w:rPr>
            </w:pPr>
          </w:p>
        </w:tc>
        <w:tc>
          <w:tcPr>
            <w:tcW w:w="3880" w:type="dxa"/>
            <w:vAlign w:val="bottom"/>
          </w:tcPr>
          <w:p>
            <w:pPr>
              <w:ind w:left="20"/>
              <w:spacing w:after="0"/>
              <w:rPr>
                <w:sz w:val="20"/>
                <w:szCs w:val="20"/>
                <w:color w:val="auto"/>
              </w:rPr>
            </w:pPr>
            <w:r>
              <w:rPr>
                <w:rFonts w:ascii="Arial" w:cs="Arial" w:eastAsia="Arial" w:hAnsi="Arial"/>
                <w:sz w:val="14"/>
                <w:szCs w:val="14"/>
                <w:color w:val="0E1020"/>
              </w:rPr>
              <w:t>Death/Disability</w:t>
            </w:r>
          </w:p>
        </w:tc>
        <w:tc>
          <w:tcPr>
            <w:tcW w:w="1300" w:type="dxa"/>
            <w:vAlign w:val="bottom"/>
          </w:tcPr>
          <w:p>
            <w:pPr>
              <w:jc w:val="right"/>
              <w:ind w:right="169"/>
              <w:spacing w:after="0"/>
              <w:rPr>
                <w:sz w:val="20"/>
                <w:szCs w:val="20"/>
                <w:color w:val="auto"/>
              </w:rPr>
            </w:pPr>
            <w:r>
              <w:rPr>
                <w:rFonts w:ascii="Arial" w:cs="Arial" w:eastAsia="Arial" w:hAnsi="Arial"/>
                <w:sz w:val="14"/>
                <w:szCs w:val="14"/>
                <w:color w:val="0E1020"/>
              </w:rPr>
              <w:t>831,600</w:t>
            </w:r>
          </w:p>
        </w:tc>
        <w:tc>
          <w:tcPr>
            <w:tcW w:w="1300" w:type="dxa"/>
            <w:vAlign w:val="bottom"/>
          </w:tcPr>
          <w:p>
            <w:pPr>
              <w:jc w:val="right"/>
              <w:ind w:right="16"/>
              <w:spacing w:after="0"/>
              <w:rPr>
                <w:sz w:val="20"/>
                <w:szCs w:val="20"/>
                <w:color w:val="auto"/>
              </w:rPr>
            </w:pPr>
            <w:r>
              <w:rPr>
                <w:rFonts w:ascii="Arial" w:cs="Arial" w:eastAsia="Arial" w:hAnsi="Arial"/>
                <w:sz w:val="14"/>
                <w:szCs w:val="14"/>
                <w:color w:val="0E1020"/>
              </w:rPr>
              <w:t>15,339,297</w:t>
            </w:r>
            <w:r>
              <w:rPr>
                <w:rFonts w:ascii="Arial" w:cs="Arial" w:eastAsia="Arial" w:hAnsi="Arial"/>
                <w:sz w:val="18"/>
                <w:szCs w:val="18"/>
                <w:color w:val="0E1020"/>
                <w:vertAlign w:val="superscript"/>
              </w:rPr>
              <w:t>(4)</w:t>
            </w:r>
          </w:p>
        </w:tc>
        <w:tc>
          <w:tcPr>
            <w:tcW w:w="1160" w:type="dxa"/>
            <w:vAlign w:val="bottom"/>
          </w:tcPr>
          <w:p>
            <w:pPr>
              <w:jc w:val="right"/>
              <w:spacing w:after="0"/>
              <w:rPr>
                <w:sz w:val="20"/>
                <w:szCs w:val="20"/>
                <w:color w:val="auto"/>
              </w:rPr>
            </w:pPr>
            <w:r>
              <w:rPr>
                <w:rFonts w:ascii="Arial" w:cs="Arial" w:eastAsia="Arial" w:hAnsi="Arial"/>
                <w:sz w:val="14"/>
                <w:szCs w:val="14"/>
                <w:color w:val="0E1020"/>
              </w:rPr>
              <w:t>3,640,473</w:t>
            </w:r>
            <w:r>
              <w:rPr>
                <w:rFonts w:ascii="Arial" w:cs="Arial" w:eastAsia="Arial" w:hAnsi="Arial"/>
                <w:sz w:val="18"/>
                <w:szCs w:val="18"/>
                <w:color w:val="0E1020"/>
                <w:vertAlign w:val="superscript"/>
              </w:rPr>
              <w:t>(4)</w:t>
            </w:r>
          </w:p>
        </w:tc>
        <w:tc>
          <w:tcPr>
            <w:tcW w:w="1240" w:type="dxa"/>
            <w:vAlign w:val="bottom"/>
          </w:tcPr>
          <w:p>
            <w:pPr>
              <w:jc w:val="right"/>
              <w:ind w:right="149"/>
              <w:spacing w:after="0"/>
              <w:rPr>
                <w:sz w:val="20"/>
                <w:szCs w:val="20"/>
                <w:color w:val="auto"/>
              </w:rPr>
            </w:pPr>
            <w:r>
              <w:rPr>
                <w:rFonts w:ascii="Arial" w:cs="Arial" w:eastAsia="Arial" w:hAnsi="Arial"/>
                <w:sz w:val="14"/>
                <w:szCs w:val="14"/>
                <w:color w:val="0E1020"/>
              </w:rPr>
              <w:t>19,811,370</w:t>
            </w:r>
          </w:p>
        </w:tc>
        <w:tc>
          <w:tcPr>
            <w:tcW w:w="0" w:type="dxa"/>
            <w:vAlign w:val="bottom"/>
          </w:tcPr>
          <w:p>
            <w:pPr>
              <w:spacing w:after="0"/>
              <w:rPr>
                <w:sz w:val="1"/>
                <w:szCs w:val="1"/>
                <w:color w:val="auto"/>
              </w:rPr>
            </w:pPr>
          </w:p>
        </w:tc>
      </w:tr>
      <w:tr>
        <w:trPr>
          <w:trHeight w:val="85"/>
        </w:trPr>
        <w:tc>
          <w:tcPr>
            <w:tcW w:w="2360" w:type="dxa"/>
            <w:vAlign w:val="bottom"/>
            <w:tcBorders>
              <w:bottom w:val="single" w:sz="8" w:color="CFCFD2"/>
            </w:tcBorders>
          </w:tcPr>
          <w:p>
            <w:pPr>
              <w:spacing w:after="0"/>
              <w:rPr>
                <w:sz w:val="7"/>
                <w:szCs w:val="7"/>
                <w:color w:val="auto"/>
              </w:rPr>
            </w:pPr>
          </w:p>
        </w:tc>
        <w:tc>
          <w:tcPr>
            <w:tcW w:w="3880" w:type="dxa"/>
            <w:vAlign w:val="bottom"/>
            <w:tcBorders>
              <w:bottom w:val="single" w:sz="8" w:color="CFCFD2"/>
            </w:tcBorders>
          </w:tcPr>
          <w:p>
            <w:pPr>
              <w:spacing w:after="0"/>
              <w:rPr>
                <w:sz w:val="7"/>
                <w:szCs w:val="7"/>
                <w:color w:val="auto"/>
              </w:rPr>
            </w:pPr>
          </w:p>
        </w:tc>
        <w:tc>
          <w:tcPr>
            <w:tcW w:w="1300" w:type="dxa"/>
            <w:vAlign w:val="bottom"/>
            <w:tcBorders>
              <w:bottom w:val="single" w:sz="8" w:color="CFCFD2"/>
            </w:tcBorders>
          </w:tcPr>
          <w:p>
            <w:pPr>
              <w:spacing w:after="0"/>
              <w:rPr>
                <w:sz w:val="7"/>
                <w:szCs w:val="7"/>
                <w:color w:val="auto"/>
              </w:rPr>
            </w:pPr>
          </w:p>
        </w:tc>
        <w:tc>
          <w:tcPr>
            <w:tcW w:w="1300" w:type="dxa"/>
            <w:vAlign w:val="bottom"/>
            <w:tcBorders>
              <w:bottom w:val="single" w:sz="8" w:color="CFCFD2"/>
            </w:tcBorders>
          </w:tcPr>
          <w:p>
            <w:pPr>
              <w:spacing w:after="0"/>
              <w:rPr>
                <w:sz w:val="7"/>
                <w:szCs w:val="7"/>
                <w:color w:val="auto"/>
              </w:rPr>
            </w:pPr>
          </w:p>
        </w:tc>
        <w:tc>
          <w:tcPr>
            <w:tcW w:w="1160" w:type="dxa"/>
            <w:vAlign w:val="bottom"/>
            <w:tcBorders>
              <w:bottom w:val="single" w:sz="8" w:color="CFCFD2"/>
            </w:tcBorders>
          </w:tcPr>
          <w:p>
            <w:pPr>
              <w:spacing w:after="0"/>
              <w:rPr>
                <w:sz w:val="7"/>
                <w:szCs w:val="7"/>
                <w:color w:val="auto"/>
              </w:rPr>
            </w:pPr>
          </w:p>
        </w:tc>
        <w:tc>
          <w:tcPr>
            <w:tcW w:w="1240" w:type="dxa"/>
            <w:vAlign w:val="bottom"/>
            <w:tcBorders>
              <w:bottom w:val="single" w:sz="8" w:color="CFCFD2"/>
            </w:tcBorders>
          </w:tcPr>
          <w:p>
            <w:pPr>
              <w:spacing w:after="0"/>
              <w:rPr>
                <w:sz w:val="7"/>
                <w:szCs w:val="7"/>
                <w:color w:val="auto"/>
              </w:rPr>
            </w:pPr>
          </w:p>
        </w:tc>
        <w:tc>
          <w:tcPr>
            <w:tcW w:w="0" w:type="dxa"/>
            <w:vAlign w:val="bottom"/>
          </w:tcPr>
          <w:p>
            <w:pPr>
              <w:spacing w:after="0"/>
              <w:rPr>
                <w:sz w:val="1"/>
                <w:szCs w:val="1"/>
                <w:color w:val="auto"/>
              </w:rPr>
            </w:pPr>
          </w:p>
        </w:tc>
      </w:tr>
      <w:tr>
        <w:trPr>
          <w:trHeight w:val="308"/>
        </w:trPr>
        <w:tc>
          <w:tcPr>
            <w:tcW w:w="2360" w:type="dxa"/>
            <w:vAlign w:val="bottom"/>
            <w:vMerge w:val="restart"/>
          </w:tcPr>
          <w:p>
            <w:pPr>
              <w:ind w:left="100"/>
              <w:spacing w:after="0"/>
              <w:rPr>
                <w:sz w:val="20"/>
                <w:szCs w:val="20"/>
                <w:color w:val="auto"/>
              </w:rPr>
            </w:pPr>
            <w:r>
              <w:rPr>
                <w:rFonts w:ascii="Arial" w:cs="Arial" w:eastAsia="Arial" w:hAnsi="Arial"/>
                <w:sz w:val="14"/>
                <w:szCs w:val="14"/>
                <w:b w:val="1"/>
                <w:bCs w:val="1"/>
                <w:color w:val="004AAC"/>
              </w:rPr>
              <w:t>Christopher Drumgoole</w:t>
            </w:r>
          </w:p>
        </w:tc>
        <w:tc>
          <w:tcPr>
            <w:tcW w:w="3880" w:type="dxa"/>
            <w:vAlign w:val="bottom"/>
          </w:tcPr>
          <w:p>
            <w:pPr>
              <w:ind w:left="20"/>
              <w:spacing w:after="0"/>
              <w:rPr>
                <w:sz w:val="20"/>
                <w:szCs w:val="20"/>
                <w:color w:val="auto"/>
              </w:rPr>
            </w:pPr>
            <w:r>
              <w:rPr>
                <w:rFonts w:ascii="Arial" w:cs="Arial" w:eastAsia="Arial" w:hAnsi="Arial"/>
                <w:sz w:val="14"/>
                <w:szCs w:val="14"/>
                <w:color w:val="0E1020"/>
              </w:rPr>
              <w:t>Termination without Cause/for Good Reason</w:t>
            </w:r>
          </w:p>
        </w:tc>
        <w:tc>
          <w:tcPr>
            <w:tcW w:w="1300" w:type="dxa"/>
            <w:vAlign w:val="bottom"/>
          </w:tcPr>
          <w:p>
            <w:pPr>
              <w:jc w:val="right"/>
              <w:ind w:right="169"/>
              <w:spacing w:after="0"/>
              <w:rPr>
                <w:sz w:val="20"/>
                <w:szCs w:val="20"/>
                <w:color w:val="auto"/>
              </w:rPr>
            </w:pPr>
            <w:r>
              <w:rPr>
                <w:rFonts w:ascii="Arial" w:cs="Arial" w:eastAsia="Arial" w:hAnsi="Arial"/>
                <w:sz w:val="14"/>
                <w:szCs w:val="14"/>
                <w:color w:val="0E1020"/>
              </w:rPr>
              <w:t>1,880,000</w:t>
            </w:r>
          </w:p>
        </w:tc>
        <w:tc>
          <w:tcPr>
            <w:tcW w:w="1300" w:type="dxa"/>
            <w:vAlign w:val="bottom"/>
          </w:tcPr>
          <w:p>
            <w:pPr>
              <w:jc w:val="right"/>
              <w:ind w:right="76"/>
              <w:spacing w:after="0"/>
              <w:rPr>
                <w:sz w:val="20"/>
                <w:szCs w:val="20"/>
                <w:color w:val="auto"/>
              </w:rPr>
            </w:pPr>
            <w:r>
              <w:rPr>
                <w:rFonts w:ascii="Arial" w:cs="Arial" w:eastAsia="Arial" w:hAnsi="Arial"/>
                <w:sz w:val="14"/>
                <w:szCs w:val="14"/>
                <w:color w:val="0E1020"/>
              </w:rPr>
              <w:t>—</w:t>
            </w:r>
          </w:p>
        </w:tc>
        <w:tc>
          <w:tcPr>
            <w:tcW w:w="1160" w:type="dxa"/>
            <w:vAlign w:val="bottom"/>
          </w:tcPr>
          <w:p>
            <w:pPr>
              <w:jc w:val="right"/>
              <w:ind w:right="32"/>
              <w:spacing w:after="0"/>
              <w:rPr>
                <w:sz w:val="20"/>
                <w:szCs w:val="20"/>
                <w:color w:val="auto"/>
              </w:rPr>
            </w:pPr>
            <w:r>
              <w:rPr>
                <w:rFonts w:ascii="Arial" w:cs="Arial" w:eastAsia="Arial" w:hAnsi="Arial"/>
                <w:sz w:val="14"/>
                <w:szCs w:val="14"/>
                <w:color w:val="0E1020"/>
              </w:rPr>
              <w:t>—</w:t>
            </w:r>
          </w:p>
        </w:tc>
        <w:tc>
          <w:tcPr>
            <w:tcW w:w="1240" w:type="dxa"/>
            <w:vAlign w:val="bottom"/>
          </w:tcPr>
          <w:p>
            <w:pPr>
              <w:jc w:val="right"/>
              <w:ind w:right="149"/>
              <w:spacing w:after="0"/>
              <w:rPr>
                <w:sz w:val="20"/>
                <w:szCs w:val="20"/>
                <w:color w:val="auto"/>
              </w:rPr>
            </w:pPr>
            <w:r>
              <w:rPr>
                <w:rFonts w:ascii="Arial" w:cs="Arial" w:eastAsia="Arial" w:hAnsi="Arial"/>
                <w:sz w:val="14"/>
                <w:szCs w:val="14"/>
                <w:color w:val="0E1020"/>
              </w:rPr>
              <w:t>1,880,000</w:t>
            </w:r>
          </w:p>
        </w:tc>
        <w:tc>
          <w:tcPr>
            <w:tcW w:w="0" w:type="dxa"/>
            <w:vAlign w:val="bottom"/>
          </w:tcPr>
          <w:p>
            <w:pPr>
              <w:spacing w:after="0"/>
              <w:rPr>
                <w:sz w:val="1"/>
                <w:szCs w:val="1"/>
                <w:color w:val="auto"/>
              </w:rPr>
            </w:pPr>
          </w:p>
        </w:tc>
      </w:tr>
      <w:tr>
        <w:trPr>
          <w:trHeight w:val="88"/>
        </w:trPr>
        <w:tc>
          <w:tcPr>
            <w:tcW w:w="2360" w:type="dxa"/>
            <w:vAlign w:val="bottom"/>
            <w:vMerge w:val="continue"/>
          </w:tcPr>
          <w:p>
            <w:pPr>
              <w:spacing w:after="0"/>
              <w:rPr>
                <w:sz w:val="7"/>
                <w:szCs w:val="7"/>
                <w:color w:val="auto"/>
              </w:rPr>
            </w:pPr>
          </w:p>
        </w:tc>
        <w:tc>
          <w:tcPr>
            <w:tcW w:w="3880" w:type="dxa"/>
            <w:vAlign w:val="bottom"/>
            <w:tcBorders>
              <w:bottom w:val="single" w:sz="8" w:color="CFCFD2"/>
            </w:tcBorders>
          </w:tcPr>
          <w:p>
            <w:pPr>
              <w:spacing w:after="0"/>
              <w:rPr>
                <w:sz w:val="7"/>
                <w:szCs w:val="7"/>
                <w:color w:val="auto"/>
              </w:rPr>
            </w:pPr>
          </w:p>
        </w:tc>
        <w:tc>
          <w:tcPr>
            <w:tcW w:w="1300" w:type="dxa"/>
            <w:vAlign w:val="bottom"/>
            <w:tcBorders>
              <w:bottom w:val="single" w:sz="8" w:color="CFCFD2"/>
            </w:tcBorders>
          </w:tcPr>
          <w:p>
            <w:pPr>
              <w:spacing w:after="0"/>
              <w:rPr>
                <w:sz w:val="7"/>
                <w:szCs w:val="7"/>
                <w:color w:val="auto"/>
              </w:rPr>
            </w:pPr>
          </w:p>
        </w:tc>
        <w:tc>
          <w:tcPr>
            <w:tcW w:w="1300" w:type="dxa"/>
            <w:vAlign w:val="bottom"/>
            <w:tcBorders>
              <w:bottom w:val="single" w:sz="8" w:color="CFCFD2"/>
            </w:tcBorders>
          </w:tcPr>
          <w:p>
            <w:pPr>
              <w:spacing w:after="0"/>
              <w:rPr>
                <w:sz w:val="7"/>
                <w:szCs w:val="7"/>
                <w:color w:val="auto"/>
              </w:rPr>
            </w:pPr>
          </w:p>
        </w:tc>
        <w:tc>
          <w:tcPr>
            <w:tcW w:w="1160" w:type="dxa"/>
            <w:vAlign w:val="bottom"/>
            <w:tcBorders>
              <w:bottom w:val="single" w:sz="8" w:color="CFCFD2"/>
            </w:tcBorders>
          </w:tcPr>
          <w:p>
            <w:pPr>
              <w:spacing w:after="0"/>
              <w:rPr>
                <w:sz w:val="7"/>
                <w:szCs w:val="7"/>
                <w:color w:val="auto"/>
              </w:rPr>
            </w:pPr>
          </w:p>
        </w:tc>
        <w:tc>
          <w:tcPr>
            <w:tcW w:w="1240" w:type="dxa"/>
            <w:vAlign w:val="bottom"/>
            <w:tcBorders>
              <w:bottom w:val="single" w:sz="8" w:color="CFCFD2"/>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360" w:type="dxa"/>
            <w:vAlign w:val="bottom"/>
            <w:vMerge w:val="continue"/>
          </w:tcPr>
          <w:p>
            <w:pPr>
              <w:spacing w:after="0"/>
              <w:rPr>
                <w:sz w:val="6"/>
                <w:szCs w:val="6"/>
                <w:color w:val="auto"/>
              </w:rPr>
            </w:pPr>
          </w:p>
        </w:tc>
        <w:tc>
          <w:tcPr>
            <w:tcW w:w="3880" w:type="dxa"/>
            <w:vAlign w:val="bottom"/>
            <w:vMerge w:val="restart"/>
          </w:tcPr>
          <w:p>
            <w:pPr>
              <w:ind w:left="20"/>
              <w:spacing w:after="0"/>
              <w:rPr>
                <w:sz w:val="20"/>
                <w:szCs w:val="20"/>
                <w:color w:val="auto"/>
              </w:rPr>
            </w:pPr>
            <w:r>
              <w:rPr>
                <w:rFonts w:ascii="Arial" w:cs="Arial" w:eastAsia="Arial" w:hAnsi="Arial"/>
                <w:sz w:val="14"/>
                <w:szCs w:val="14"/>
                <w:color w:val="0E1020"/>
              </w:rPr>
              <w:t>Death/Disability</w:t>
            </w:r>
          </w:p>
        </w:tc>
        <w:tc>
          <w:tcPr>
            <w:tcW w:w="1300" w:type="dxa"/>
            <w:vAlign w:val="bottom"/>
            <w:vMerge w:val="restart"/>
          </w:tcPr>
          <w:p>
            <w:pPr>
              <w:jc w:val="right"/>
              <w:ind w:right="169"/>
              <w:spacing w:after="0"/>
              <w:rPr>
                <w:sz w:val="20"/>
                <w:szCs w:val="20"/>
                <w:color w:val="auto"/>
              </w:rPr>
            </w:pPr>
            <w:r>
              <w:rPr>
                <w:rFonts w:ascii="Arial" w:cs="Arial" w:eastAsia="Arial" w:hAnsi="Arial"/>
                <w:sz w:val="14"/>
                <w:szCs w:val="14"/>
                <w:color w:val="0E1020"/>
              </w:rPr>
              <w:t>788,400</w:t>
            </w:r>
          </w:p>
        </w:tc>
        <w:tc>
          <w:tcPr>
            <w:tcW w:w="1300" w:type="dxa"/>
            <w:vAlign w:val="bottom"/>
            <w:vMerge w:val="restart"/>
          </w:tcPr>
          <w:p>
            <w:pPr>
              <w:jc w:val="right"/>
              <w:ind w:right="16"/>
              <w:spacing w:after="0"/>
              <w:rPr>
                <w:sz w:val="20"/>
                <w:szCs w:val="20"/>
                <w:color w:val="auto"/>
              </w:rPr>
            </w:pPr>
            <w:r>
              <w:rPr>
                <w:rFonts w:ascii="Arial" w:cs="Arial" w:eastAsia="Arial" w:hAnsi="Arial"/>
                <w:sz w:val="14"/>
                <w:szCs w:val="14"/>
                <w:color w:val="0E1020"/>
              </w:rPr>
              <w:t>5,348,363</w:t>
            </w:r>
            <w:r>
              <w:rPr>
                <w:rFonts w:ascii="Arial" w:cs="Arial" w:eastAsia="Arial" w:hAnsi="Arial"/>
                <w:sz w:val="18"/>
                <w:szCs w:val="18"/>
                <w:color w:val="0E1020"/>
                <w:vertAlign w:val="superscript"/>
              </w:rPr>
              <w:t>(4)</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0E1020"/>
              </w:rPr>
              <w:t>3,089,618</w:t>
            </w:r>
            <w:r>
              <w:rPr>
                <w:rFonts w:ascii="Arial" w:cs="Arial" w:eastAsia="Arial" w:hAnsi="Arial"/>
                <w:sz w:val="18"/>
                <w:szCs w:val="18"/>
                <w:color w:val="0E1020"/>
                <w:vertAlign w:val="superscript"/>
              </w:rPr>
              <w:t>(4)</w:t>
            </w:r>
          </w:p>
        </w:tc>
        <w:tc>
          <w:tcPr>
            <w:tcW w:w="1240" w:type="dxa"/>
            <w:vAlign w:val="bottom"/>
            <w:vMerge w:val="restart"/>
          </w:tcPr>
          <w:p>
            <w:pPr>
              <w:jc w:val="right"/>
              <w:ind w:right="149"/>
              <w:spacing w:after="0"/>
              <w:rPr>
                <w:sz w:val="20"/>
                <w:szCs w:val="20"/>
                <w:color w:val="auto"/>
              </w:rPr>
            </w:pPr>
            <w:r>
              <w:rPr>
                <w:rFonts w:ascii="Arial" w:cs="Arial" w:eastAsia="Arial" w:hAnsi="Arial"/>
                <w:sz w:val="14"/>
                <w:szCs w:val="14"/>
                <w:color w:val="0E1020"/>
              </w:rPr>
              <w:t>9,226,381</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388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5"/>
        </w:trPr>
        <w:tc>
          <w:tcPr>
            <w:tcW w:w="2360" w:type="dxa"/>
            <w:vAlign w:val="bottom"/>
            <w:tcBorders>
              <w:bottom w:val="single" w:sz="8" w:color="CFCFD2"/>
            </w:tcBorders>
          </w:tcPr>
          <w:p>
            <w:pPr>
              <w:spacing w:after="0"/>
              <w:rPr>
                <w:sz w:val="7"/>
                <w:szCs w:val="7"/>
                <w:color w:val="auto"/>
              </w:rPr>
            </w:pPr>
          </w:p>
        </w:tc>
        <w:tc>
          <w:tcPr>
            <w:tcW w:w="3880" w:type="dxa"/>
            <w:vAlign w:val="bottom"/>
            <w:tcBorders>
              <w:bottom w:val="single" w:sz="8" w:color="CFCFD2"/>
            </w:tcBorders>
          </w:tcPr>
          <w:p>
            <w:pPr>
              <w:spacing w:after="0"/>
              <w:rPr>
                <w:sz w:val="7"/>
                <w:szCs w:val="7"/>
                <w:color w:val="auto"/>
              </w:rPr>
            </w:pPr>
          </w:p>
        </w:tc>
        <w:tc>
          <w:tcPr>
            <w:tcW w:w="1300" w:type="dxa"/>
            <w:vAlign w:val="bottom"/>
            <w:tcBorders>
              <w:bottom w:val="single" w:sz="8" w:color="CFCFD2"/>
            </w:tcBorders>
          </w:tcPr>
          <w:p>
            <w:pPr>
              <w:spacing w:after="0"/>
              <w:rPr>
                <w:sz w:val="7"/>
                <w:szCs w:val="7"/>
                <w:color w:val="auto"/>
              </w:rPr>
            </w:pPr>
          </w:p>
        </w:tc>
        <w:tc>
          <w:tcPr>
            <w:tcW w:w="1300" w:type="dxa"/>
            <w:vAlign w:val="bottom"/>
            <w:tcBorders>
              <w:bottom w:val="single" w:sz="8" w:color="CFCFD2"/>
            </w:tcBorders>
          </w:tcPr>
          <w:p>
            <w:pPr>
              <w:spacing w:after="0"/>
              <w:rPr>
                <w:sz w:val="7"/>
                <w:szCs w:val="7"/>
                <w:color w:val="auto"/>
              </w:rPr>
            </w:pPr>
          </w:p>
        </w:tc>
        <w:tc>
          <w:tcPr>
            <w:tcW w:w="1160" w:type="dxa"/>
            <w:vAlign w:val="bottom"/>
            <w:tcBorders>
              <w:bottom w:val="single" w:sz="8" w:color="CFCFD2"/>
            </w:tcBorders>
          </w:tcPr>
          <w:p>
            <w:pPr>
              <w:spacing w:after="0"/>
              <w:rPr>
                <w:sz w:val="7"/>
                <w:szCs w:val="7"/>
                <w:color w:val="auto"/>
              </w:rPr>
            </w:pPr>
          </w:p>
        </w:tc>
        <w:tc>
          <w:tcPr>
            <w:tcW w:w="1240" w:type="dxa"/>
            <w:vAlign w:val="bottom"/>
            <w:tcBorders>
              <w:bottom w:val="single" w:sz="8" w:color="CFCFD2"/>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2360" w:type="dxa"/>
            <w:vAlign w:val="bottom"/>
            <w:tcBorders>
              <w:bottom w:val="single" w:sz="8" w:color="CFCFD2"/>
            </w:tcBorders>
          </w:tcPr>
          <w:p>
            <w:pPr>
              <w:ind w:left="100"/>
              <w:spacing w:after="0"/>
              <w:rPr>
                <w:sz w:val="20"/>
                <w:szCs w:val="20"/>
                <w:color w:val="auto"/>
              </w:rPr>
            </w:pPr>
            <w:r>
              <w:rPr>
                <w:rFonts w:ascii="Arial" w:cs="Arial" w:eastAsia="Arial" w:hAnsi="Arial"/>
                <w:sz w:val="14"/>
                <w:szCs w:val="14"/>
                <w:b w:val="1"/>
                <w:bCs w:val="1"/>
                <w:color w:val="004AAC"/>
              </w:rPr>
              <w:t>Raymond A. August</w:t>
            </w:r>
          </w:p>
        </w:tc>
        <w:tc>
          <w:tcPr>
            <w:tcW w:w="3880" w:type="dxa"/>
            <w:vAlign w:val="bottom"/>
            <w:tcBorders>
              <w:bottom w:val="single" w:sz="8" w:color="CFCFD2"/>
            </w:tcBorders>
          </w:tcPr>
          <w:p>
            <w:pPr>
              <w:ind w:left="20"/>
              <w:spacing w:after="0"/>
              <w:rPr>
                <w:sz w:val="20"/>
                <w:szCs w:val="20"/>
                <w:color w:val="auto"/>
              </w:rPr>
            </w:pPr>
            <w:r>
              <w:rPr>
                <w:rFonts w:ascii="Arial" w:cs="Arial" w:eastAsia="Arial" w:hAnsi="Arial"/>
                <w:sz w:val="14"/>
                <w:szCs w:val="14"/>
                <w:color w:val="0E1020"/>
              </w:rPr>
              <w:t>Death/Disability</w:t>
            </w:r>
          </w:p>
        </w:tc>
        <w:tc>
          <w:tcPr>
            <w:tcW w:w="1300" w:type="dxa"/>
            <w:vAlign w:val="bottom"/>
            <w:tcBorders>
              <w:bottom w:val="single" w:sz="8" w:color="CFCFD2"/>
            </w:tcBorders>
          </w:tcPr>
          <w:p>
            <w:pPr>
              <w:jc w:val="right"/>
              <w:ind w:right="169"/>
              <w:spacing w:after="0"/>
              <w:rPr>
                <w:sz w:val="20"/>
                <w:szCs w:val="20"/>
                <w:color w:val="auto"/>
              </w:rPr>
            </w:pPr>
            <w:r>
              <w:rPr>
                <w:rFonts w:ascii="Arial" w:cs="Arial" w:eastAsia="Arial" w:hAnsi="Arial"/>
                <w:sz w:val="14"/>
                <w:szCs w:val="14"/>
                <w:color w:val="0E1020"/>
              </w:rPr>
              <w:t>571,725</w:t>
            </w:r>
          </w:p>
        </w:tc>
        <w:tc>
          <w:tcPr>
            <w:tcW w:w="1300" w:type="dxa"/>
            <w:vAlign w:val="bottom"/>
            <w:tcBorders>
              <w:bottom w:val="single" w:sz="8" w:color="CFCFD2"/>
            </w:tcBorders>
          </w:tcPr>
          <w:p>
            <w:pPr>
              <w:jc w:val="right"/>
              <w:ind w:right="16"/>
              <w:spacing w:after="0"/>
              <w:rPr>
                <w:sz w:val="20"/>
                <w:szCs w:val="20"/>
                <w:color w:val="auto"/>
              </w:rPr>
            </w:pPr>
            <w:r>
              <w:rPr>
                <w:rFonts w:ascii="Arial" w:cs="Arial" w:eastAsia="Arial" w:hAnsi="Arial"/>
                <w:sz w:val="14"/>
                <w:szCs w:val="14"/>
                <w:color w:val="0E1020"/>
              </w:rPr>
              <w:t>2,709,099</w:t>
            </w:r>
            <w:r>
              <w:rPr>
                <w:rFonts w:ascii="Arial" w:cs="Arial" w:eastAsia="Arial" w:hAnsi="Arial"/>
                <w:sz w:val="18"/>
                <w:szCs w:val="18"/>
                <w:color w:val="0E1020"/>
                <w:vertAlign w:val="superscript"/>
              </w:rPr>
              <w:t>(4)</w:t>
            </w:r>
          </w:p>
        </w:tc>
        <w:tc>
          <w:tcPr>
            <w:tcW w:w="1160" w:type="dxa"/>
            <w:vAlign w:val="bottom"/>
            <w:tcBorders>
              <w:bottom w:val="single" w:sz="8" w:color="CFCFD2"/>
            </w:tcBorders>
          </w:tcPr>
          <w:p>
            <w:pPr>
              <w:jc w:val="right"/>
              <w:spacing w:after="0"/>
              <w:rPr>
                <w:sz w:val="20"/>
                <w:szCs w:val="20"/>
                <w:color w:val="auto"/>
              </w:rPr>
            </w:pPr>
            <w:r>
              <w:rPr>
                <w:rFonts w:ascii="Arial" w:cs="Arial" w:eastAsia="Arial" w:hAnsi="Arial"/>
                <w:sz w:val="14"/>
                <w:szCs w:val="14"/>
                <w:color w:val="0E1020"/>
              </w:rPr>
              <w:t>3,015,367</w:t>
            </w:r>
            <w:r>
              <w:rPr>
                <w:rFonts w:ascii="Arial" w:cs="Arial" w:eastAsia="Arial" w:hAnsi="Arial"/>
                <w:sz w:val="18"/>
                <w:szCs w:val="18"/>
                <w:color w:val="0E1020"/>
                <w:vertAlign w:val="superscript"/>
              </w:rPr>
              <w:t>(4)</w:t>
            </w:r>
          </w:p>
        </w:tc>
        <w:tc>
          <w:tcPr>
            <w:tcW w:w="1240" w:type="dxa"/>
            <w:vAlign w:val="bottom"/>
            <w:tcBorders>
              <w:bottom w:val="single" w:sz="8" w:color="CFCFD2"/>
            </w:tcBorders>
          </w:tcPr>
          <w:p>
            <w:pPr>
              <w:jc w:val="right"/>
              <w:ind w:right="149"/>
              <w:spacing w:after="0"/>
              <w:rPr>
                <w:sz w:val="20"/>
                <w:szCs w:val="20"/>
                <w:color w:val="auto"/>
              </w:rPr>
            </w:pPr>
            <w:r>
              <w:rPr>
                <w:rFonts w:ascii="Arial" w:cs="Arial" w:eastAsia="Arial" w:hAnsi="Arial"/>
                <w:sz w:val="14"/>
                <w:szCs w:val="14"/>
                <w:color w:val="0E1020"/>
              </w:rPr>
              <w:t>6,296,191</w:t>
            </w:r>
          </w:p>
        </w:tc>
        <w:tc>
          <w:tcPr>
            <w:tcW w:w="0" w:type="dxa"/>
            <w:vAlign w:val="bottom"/>
          </w:tcPr>
          <w:p>
            <w:pPr>
              <w:spacing w:after="0"/>
              <w:rPr>
                <w:sz w:val="1"/>
                <w:szCs w:val="1"/>
                <w:color w:val="auto"/>
              </w:rPr>
            </w:pPr>
          </w:p>
        </w:tc>
      </w:tr>
      <w:tr>
        <w:trPr>
          <w:trHeight w:val="314"/>
        </w:trPr>
        <w:tc>
          <w:tcPr>
            <w:tcW w:w="2360" w:type="dxa"/>
            <w:vAlign w:val="bottom"/>
            <w:vMerge w:val="restart"/>
          </w:tcPr>
          <w:p>
            <w:pPr>
              <w:ind w:left="100"/>
              <w:spacing w:after="0"/>
              <w:rPr>
                <w:sz w:val="20"/>
                <w:szCs w:val="20"/>
                <w:color w:val="auto"/>
              </w:rPr>
            </w:pPr>
            <w:r>
              <w:rPr>
                <w:rFonts w:ascii="Arial" w:cs="Arial" w:eastAsia="Arial" w:hAnsi="Arial"/>
                <w:sz w:val="14"/>
                <w:szCs w:val="14"/>
                <w:b w:val="1"/>
                <w:bCs w:val="1"/>
                <w:color w:val="004AAC"/>
              </w:rPr>
              <w:t>Matthew K. Fawcett</w:t>
            </w:r>
          </w:p>
        </w:tc>
        <w:tc>
          <w:tcPr>
            <w:tcW w:w="3880" w:type="dxa"/>
            <w:vAlign w:val="bottom"/>
          </w:tcPr>
          <w:p>
            <w:pPr>
              <w:ind w:left="20"/>
              <w:spacing w:after="0"/>
              <w:rPr>
                <w:sz w:val="20"/>
                <w:szCs w:val="20"/>
                <w:color w:val="auto"/>
              </w:rPr>
            </w:pPr>
            <w:r>
              <w:rPr>
                <w:rFonts w:ascii="Arial" w:cs="Arial" w:eastAsia="Arial" w:hAnsi="Arial"/>
                <w:sz w:val="14"/>
                <w:szCs w:val="14"/>
                <w:color w:val="0E1020"/>
              </w:rPr>
              <w:t>Termination without Cause</w:t>
            </w:r>
          </w:p>
        </w:tc>
        <w:tc>
          <w:tcPr>
            <w:tcW w:w="1300" w:type="dxa"/>
            <w:vAlign w:val="bottom"/>
          </w:tcPr>
          <w:p>
            <w:pPr>
              <w:jc w:val="right"/>
              <w:ind w:right="169"/>
              <w:spacing w:after="0"/>
              <w:rPr>
                <w:sz w:val="20"/>
                <w:szCs w:val="20"/>
                <w:color w:val="auto"/>
              </w:rPr>
            </w:pPr>
            <w:r>
              <w:rPr>
                <w:rFonts w:ascii="Arial" w:cs="Arial" w:eastAsia="Arial" w:hAnsi="Arial"/>
                <w:sz w:val="14"/>
                <w:szCs w:val="14"/>
                <w:color w:val="0E1020"/>
              </w:rPr>
              <w:t>1,880,000</w:t>
            </w:r>
          </w:p>
        </w:tc>
        <w:tc>
          <w:tcPr>
            <w:tcW w:w="1300" w:type="dxa"/>
            <w:vAlign w:val="bottom"/>
          </w:tcPr>
          <w:p>
            <w:pPr>
              <w:jc w:val="right"/>
              <w:ind w:right="76"/>
              <w:spacing w:after="0"/>
              <w:rPr>
                <w:sz w:val="20"/>
                <w:szCs w:val="20"/>
                <w:color w:val="auto"/>
              </w:rPr>
            </w:pPr>
            <w:r>
              <w:rPr>
                <w:rFonts w:ascii="Arial" w:cs="Arial" w:eastAsia="Arial" w:hAnsi="Arial"/>
                <w:sz w:val="14"/>
                <w:szCs w:val="14"/>
                <w:color w:val="0E1020"/>
              </w:rPr>
              <w:t>—</w:t>
            </w:r>
          </w:p>
        </w:tc>
        <w:tc>
          <w:tcPr>
            <w:tcW w:w="1160" w:type="dxa"/>
            <w:vAlign w:val="bottom"/>
          </w:tcPr>
          <w:p>
            <w:pPr>
              <w:jc w:val="right"/>
              <w:ind w:right="32"/>
              <w:spacing w:after="0"/>
              <w:rPr>
                <w:sz w:val="20"/>
                <w:szCs w:val="20"/>
                <w:color w:val="auto"/>
              </w:rPr>
            </w:pPr>
            <w:r>
              <w:rPr>
                <w:rFonts w:ascii="Arial" w:cs="Arial" w:eastAsia="Arial" w:hAnsi="Arial"/>
                <w:sz w:val="14"/>
                <w:szCs w:val="14"/>
                <w:color w:val="0E1020"/>
              </w:rPr>
              <w:t>—</w:t>
            </w:r>
          </w:p>
        </w:tc>
        <w:tc>
          <w:tcPr>
            <w:tcW w:w="1240" w:type="dxa"/>
            <w:vAlign w:val="bottom"/>
          </w:tcPr>
          <w:p>
            <w:pPr>
              <w:jc w:val="right"/>
              <w:ind w:right="149"/>
              <w:spacing w:after="0"/>
              <w:rPr>
                <w:sz w:val="20"/>
                <w:szCs w:val="20"/>
                <w:color w:val="auto"/>
              </w:rPr>
            </w:pPr>
            <w:r>
              <w:rPr>
                <w:rFonts w:ascii="Arial" w:cs="Arial" w:eastAsia="Arial" w:hAnsi="Arial"/>
                <w:sz w:val="14"/>
                <w:szCs w:val="14"/>
                <w:color w:val="0E1020"/>
              </w:rPr>
              <w:t>1,880,000</w:t>
            </w:r>
          </w:p>
        </w:tc>
        <w:tc>
          <w:tcPr>
            <w:tcW w:w="0" w:type="dxa"/>
            <w:vAlign w:val="bottom"/>
          </w:tcPr>
          <w:p>
            <w:pPr>
              <w:spacing w:after="0"/>
              <w:rPr>
                <w:sz w:val="1"/>
                <w:szCs w:val="1"/>
                <w:color w:val="auto"/>
              </w:rPr>
            </w:pPr>
          </w:p>
        </w:tc>
      </w:tr>
      <w:tr>
        <w:trPr>
          <w:trHeight w:val="88"/>
        </w:trPr>
        <w:tc>
          <w:tcPr>
            <w:tcW w:w="2360" w:type="dxa"/>
            <w:vAlign w:val="bottom"/>
            <w:vMerge w:val="continue"/>
          </w:tcPr>
          <w:p>
            <w:pPr>
              <w:spacing w:after="0"/>
              <w:rPr>
                <w:sz w:val="7"/>
                <w:szCs w:val="7"/>
                <w:color w:val="auto"/>
              </w:rPr>
            </w:pPr>
          </w:p>
        </w:tc>
        <w:tc>
          <w:tcPr>
            <w:tcW w:w="3880" w:type="dxa"/>
            <w:vAlign w:val="bottom"/>
            <w:tcBorders>
              <w:bottom w:val="single" w:sz="8" w:color="CFCFD2"/>
            </w:tcBorders>
          </w:tcPr>
          <w:p>
            <w:pPr>
              <w:spacing w:after="0"/>
              <w:rPr>
                <w:sz w:val="7"/>
                <w:szCs w:val="7"/>
                <w:color w:val="auto"/>
              </w:rPr>
            </w:pPr>
          </w:p>
        </w:tc>
        <w:tc>
          <w:tcPr>
            <w:tcW w:w="1300" w:type="dxa"/>
            <w:vAlign w:val="bottom"/>
            <w:tcBorders>
              <w:bottom w:val="single" w:sz="8" w:color="CFCFD2"/>
            </w:tcBorders>
          </w:tcPr>
          <w:p>
            <w:pPr>
              <w:spacing w:after="0"/>
              <w:rPr>
                <w:sz w:val="7"/>
                <w:szCs w:val="7"/>
                <w:color w:val="auto"/>
              </w:rPr>
            </w:pPr>
          </w:p>
        </w:tc>
        <w:tc>
          <w:tcPr>
            <w:tcW w:w="1300" w:type="dxa"/>
            <w:vAlign w:val="bottom"/>
            <w:tcBorders>
              <w:bottom w:val="single" w:sz="8" w:color="CFCFD2"/>
            </w:tcBorders>
          </w:tcPr>
          <w:p>
            <w:pPr>
              <w:spacing w:after="0"/>
              <w:rPr>
                <w:sz w:val="7"/>
                <w:szCs w:val="7"/>
                <w:color w:val="auto"/>
              </w:rPr>
            </w:pPr>
          </w:p>
        </w:tc>
        <w:tc>
          <w:tcPr>
            <w:tcW w:w="1160" w:type="dxa"/>
            <w:vAlign w:val="bottom"/>
            <w:tcBorders>
              <w:bottom w:val="single" w:sz="8" w:color="CFCFD2"/>
            </w:tcBorders>
          </w:tcPr>
          <w:p>
            <w:pPr>
              <w:spacing w:after="0"/>
              <w:rPr>
                <w:sz w:val="7"/>
                <w:szCs w:val="7"/>
                <w:color w:val="auto"/>
              </w:rPr>
            </w:pPr>
          </w:p>
        </w:tc>
        <w:tc>
          <w:tcPr>
            <w:tcW w:w="1240" w:type="dxa"/>
            <w:vAlign w:val="bottom"/>
            <w:tcBorders>
              <w:bottom w:val="single" w:sz="8" w:color="CFCFD2"/>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360" w:type="dxa"/>
            <w:vAlign w:val="bottom"/>
            <w:vMerge w:val="continue"/>
          </w:tcPr>
          <w:p>
            <w:pPr>
              <w:spacing w:after="0"/>
              <w:rPr>
                <w:sz w:val="6"/>
                <w:szCs w:val="6"/>
                <w:color w:val="auto"/>
              </w:rPr>
            </w:pPr>
          </w:p>
        </w:tc>
        <w:tc>
          <w:tcPr>
            <w:tcW w:w="3880" w:type="dxa"/>
            <w:vAlign w:val="bottom"/>
            <w:vMerge w:val="restart"/>
          </w:tcPr>
          <w:p>
            <w:pPr>
              <w:ind w:left="20"/>
              <w:spacing w:after="0"/>
              <w:rPr>
                <w:sz w:val="20"/>
                <w:szCs w:val="20"/>
                <w:color w:val="auto"/>
              </w:rPr>
            </w:pPr>
            <w:r>
              <w:rPr>
                <w:rFonts w:ascii="Arial" w:cs="Arial" w:eastAsia="Arial" w:hAnsi="Arial"/>
                <w:sz w:val="14"/>
                <w:szCs w:val="14"/>
                <w:color w:val="0E1020"/>
              </w:rPr>
              <w:t>Death/Disability</w:t>
            </w:r>
          </w:p>
        </w:tc>
        <w:tc>
          <w:tcPr>
            <w:tcW w:w="1300" w:type="dxa"/>
            <w:vAlign w:val="bottom"/>
            <w:vMerge w:val="restart"/>
          </w:tcPr>
          <w:p>
            <w:pPr>
              <w:jc w:val="right"/>
              <w:ind w:right="169"/>
              <w:spacing w:after="0"/>
              <w:rPr>
                <w:sz w:val="20"/>
                <w:szCs w:val="20"/>
                <w:color w:val="auto"/>
              </w:rPr>
            </w:pPr>
            <w:r>
              <w:rPr>
                <w:rFonts w:ascii="Arial" w:cs="Arial" w:eastAsia="Arial" w:hAnsi="Arial"/>
                <w:sz w:val="14"/>
                <w:szCs w:val="14"/>
                <w:color w:val="0E1020"/>
              </w:rPr>
              <w:t>571,550</w:t>
            </w:r>
          </w:p>
        </w:tc>
        <w:tc>
          <w:tcPr>
            <w:tcW w:w="1300" w:type="dxa"/>
            <w:vAlign w:val="bottom"/>
            <w:vMerge w:val="restart"/>
          </w:tcPr>
          <w:p>
            <w:pPr>
              <w:jc w:val="right"/>
              <w:ind w:right="16"/>
              <w:spacing w:after="0"/>
              <w:rPr>
                <w:sz w:val="20"/>
                <w:szCs w:val="20"/>
                <w:color w:val="auto"/>
              </w:rPr>
            </w:pPr>
            <w:r>
              <w:rPr>
                <w:rFonts w:ascii="Arial" w:cs="Arial" w:eastAsia="Arial" w:hAnsi="Arial"/>
                <w:sz w:val="14"/>
                <w:szCs w:val="14"/>
                <w:color w:val="0E1020"/>
              </w:rPr>
              <w:t>2,480,409</w:t>
            </w:r>
            <w:r>
              <w:rPr>
                <w:rFonts w:ascii="Arial" w:cs="Arial" w:eastAsia="Arial" w:hAnsi="Arial"/>
                <w:sz w:val="18"/>
                <w:szCs w:val="18"/>
                <w:color w:val="0E1020"/>
                <w:vertAlign w:val="superscript"/>
              </w:rPr>
              <w:t>(4)</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0E1020"/>
              </w:rPr>
              <w:t>1,653,596</w:t>
            </w:r>
            <w:r>
              <w:rPr>
                <w:rFonts w:ascii="Arial" w:cs="Arial" w:eastAsia="Arial" w:hAnsi="Arial"/>
                <w:sz w:val="18"/>
                <w:szCs w:val="18"/>
                <w:color w:val="0E1020"/>
                <w:vertAlign w:val="superscript"/>
              </w:rPr>
              <w:t>(4)</w:t>
            </w:r>
          </w:p>
        </w:tc>
        <w:tc>
          <w:tcPr>
            <w:tcW w:w="1240" w:type="dxa"/>
            <w:vAlign w:val="bottom"/>
            <w:vMerge w:val="restart"/>
          </w:tcPr>
          <w:p>
            <w:pPr>
              <w:jc w:val="right"/>
              <w:ind w:right="149"/>
              <w:spacing w:after="0"/>
              <w:rPr>
                <w:sz w:val="20"/>
                <w:szCs w:val="20"/>
                <w:color w:val="auto"/>
              </w:rPr>
            </w:pPr>
            <w:r>
              <w:rPr>
                <w:rFonts w:ascii="Arial" w:cs="Arial" w:eastAsia="Arial" w:hAnsi="Arial"/>
                <w:sz w:val="14"/>
                <w:szCs w:val="14"/>
                <w:color w:val="0E1020"/>
              </w:rPr>
              <w:t>4,705,555</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388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5"/>
        </w:trPr>
        <w:tc>
          <w:tcPr>
            <w:tcW w:w="2360" w:type="dxa"/>
            <w:vAlign w:val="bottom"/>
            <w:tcBorders>
              <w:bottom w:val="single" w:sz="8" w:color="CFCFD2"/>
            </w:tcBorders>
          </w:tcPr>
          <w:p>
            <w:pPr>
              <w:spacing w:after="0"/>
              <w:rPr>
                <w:sz w:val="7"/>
                <w:szCs w:val="7"/>
                <w:color w:val="auto"/>
              </w:rPr>
            </w:pPr>
          </w:p>
        </w:tc>
        <w:tc>
          <w:tcPr>
            <w:tcW w:w="3880" w:type="dxa"/>
            <w:vAlign w:val="bottom"/>
            <w:tcBorders>
              <w:bottom w:val="single" w:sz="8" w:color="CFCFD2"/>
            </w:tcBorders>
          </w:tcPr>
          <w:p>
            <w:pPr>
              <w:spacing w:after="0"/>
              <w:rPr>
                <w:sz w:val="7"/>
                <w:szCs w:val="7"/>
                <w:color w:val="auto"/>
              </w:rPr>
            </w:pPr>
          </w:p>
        </w:tc>
        <w:tc>
          <w:tcPr>
            <w:tcW w:w="1300" w:type="dxa"/>
            <w:vAlign w:val="bottom"/>
            <w:tcBorders>
              <w:bottom w:val="single" w:sz="8" w:color="CFCFD2"/>
            </w:tcBorders>
          </w:tcPr>
          <w:p>
            <w:pPr>
              <w:spacing w:after="0"/>
              <w:rPr>
                <w:sz w:val="7"/>
                <w:szCs w:val="7"/>
                <w:color w:val="auto"/>
              </w:rPr>
            </w:pPr>
          </w:p>
        </w:tc>
        <w:tc>
          <w:tcPr>
            <w:tcW w:w="1300" w:type="dxa"/>
            <w:vAlign w:val="bottom"/>
            <w:tcBorders>
              <w:bottom w:val="single" w:sz="8" w:color="CFCFD2"/>
            </w:tcBorders>
          </w:tcPr>
          <w:p>
            <w:pPr>
              <w:spacing w:after="0"/>
              <w:rPr>
                <w:sz w:val="7"/>
                <w:szCs w:val="7"/>
                <w:color w:val="auto"/>
              </w:rPr>
            </w:pPr>
          </w:p>
        </w:tc>
        <w:tc>
          <w:tcPr>
            <w:tcW w:w="1160" w:type="dxa"/>
            <w:vAlign w:val="bottom"/>
            <w:tcBorders>
              <w:bottom w:val="single" w:sz="8" w:color="CFCFD2"/>
            </w:tcBorders>
          </w:tcPr>
          <w:p>
            <w:pPr>
              <w:spacing w:after="0"/>
              <w:rPr>
                <w:sz w:val="7"/>
                <w:szCs w:val="7"/>
                <w:color w:val="auto"/>
              </w:rPr>
            </w:pPr>
          </w:p>
        </w:tc>
        <w:tc>
          <w:tcPr>
            <w:tcW w:w="1240" w:type="dxa"/>
            <w:vAlign w:val="bottom"/>
            <w:tcBorders>
              <w:bottom w:val="single" w:sz="8" w:color="CFCFD2"/>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80" w:right="80" w:hanging="312"/>
        <w:spacing w:after="0" w:line="270" w:lineRule="auto"/>
        <w:tabs>
          <w:tab w:leader="none" w:pos="480" w:val="left"/>
        </w:tabs>
        <w:numPr>
          <w:ilvl w:val="0"/>
          <w:numId w:val="99"/>
        </w:numPr>
        <w:rPr>
          <w:rFonts w:ascii="Arial" w:cs="Arial" w:eastAsia="Arial" w:hAnsi="Arial"/>
          <w:sz w:val="14"/>
          <w:szCs w:val="14"/>
          <w:color w:val="0E1020"/>
        </w:rPr>
      </w:pPr>
      <w:r>
        <w:rPr>
          <w:rFonts w:ascii="Arial" w:cs="Arial" w:eastAsia="Arial" w:hAnsi="Arial"/>
          <w:sz w:val="14"/>
          <w:szCs w:val="14"/>
          <w:color w:val="0E1020"/>
        </w:rPr>
        <w:t>Messrs. Del Bene, Drumgoole and Fawcett are each entitled to base salary plus target annual bonus, payable in a lump sum for a termination without Cause, and for Mr. Drumgoole, also for a resignation for Good Reason. Mr. Fernandez is entitled to two times (base salary plus target annual bonus), payable in twenty-four monthly installments following his termination date upon a termination without Cause or for Good Reason, plus a pro rata bonus for the year of employment termination. All NEOs are entitled to a pro rata bonus for termination due to death or Disability (but not any other cash severance payment). For purposes of this disclosure, the fiscal 2026 annual bonus paid is used as the pro rata bonuses described above.</w:t>
      </w:r>
    </w:p>
    <w:p>
      <w:pPr>
        <w:spacing w:after="0" w:line="5" w:lineRule="exact"/>
        <w:rPr>
          <w:rFonts w:ascii="Arial" w:cs="Arial" w:eastAsia="Arial" w:hAnsi="Arial"/>
          <w:sz w:val="14"/>
          <w:szCs w:val="14"/>
          <w:color w:val="0E1020"/>
        </w:rPr>
      </w:pPr>
    </w:p>
    <w:p>
      <w:pPr>
        <w:ind w:left="460" w:hanging="292"/>
        <w:spacing w:after="0"/>
        <w:tabs>
          <w:tab w:leader="none" w:pos="460" w:val="left"/>
        </w:tabs>
        <w:numPr>
          <w:ilvl w:val="0"/>
          <w:numId w:val="99"/>
        </w:numPr>
        <w:rPr>
          <w:rFonts w:ascii="Arial" w:cs="Arial" w:eastAsia="Arial" w:hAnsi="Arial"/>
          <w:sz w:val="14"/>
          <w:szCs w:val="14"/>
          <w:color w:val="0E1020"/>
        </w:rPr>
      </w:pPr>
      <w:r>
        <w:rPr>
          <w:rFonts w:ascii="Arial" w:cs="Arial" w:eastAsia="Arial" w:hAnsi="Arial"/>
          <w:sz w:val="14"/>
          <w:szCs w:val="14"/>
          <w:color w:val="0E1020"/>
        </w:rPr>
        <w:t>DXC closing stock price of $12.57 on March 31, 2026 was used for equity values.</w:t>
      </w:r>
    </w:p>
    <w:p>
      <w:pPr>
        <w:spacing w:after="0" w:line="66" w:lineRule="exact"/>
        <w:rPr>
          <w:rFonts w:ascii="Arial" w:cs="Arial" w:eastAsia="Arial" w:hAnsi="Arial"/>
          <w:sz w:val="14"/>
          <w:szCs w:val="14"/>
          <w:color w:val="0E1020"/>
        </w:rPr>
      </w:pPr>
    </w:p>
    <w:p>
      <w:pPr>
        <w:ind w:left="480" w:right="20" w:hanging="312"/>
        <w:spacing w:after="0" w:line="262" w:lineRule="auto"/>
        <w:tabs>
          <w:tab w:leader="none" w:pos="453" w:val="left"/>
        </w:tabs>
        <w:numPr>
          <w:ilvl w:val="0"/>
          <w:numId w:val="99"/>
        </w:numPr>
        <w:rPr>
          <w:rFonts w:ascii="Arial" w:cs="Arial" w:eastAsia="Arial" w:hAnsi="Arial"/>
          <w:sz w:val="14"/>
          <w:szCs w:val="14"/>
          <w:color w:val="0E1020"/>
        </w:rPr>
      </w:pPr>
      <w:r>
        <w:rPr>
          <w:rFonts w:ascii="Arial" w:cs="Arial" w:eastAsia="Arial" w:hAnsi="Arial"/>
          <w:sz w:val="14"/>
          <w:szCs w:val="14"/>
          <w:color w:val="0E1020"/>
        </w:rPr>
        <w:t>For Mr. Fernandez (who has attained Retirement eligibility and, for the fiscal 2025 PSUs, at least one year of service in the performance period has elapsed at the time of a termination) upon retirement or any other termination (other than by the Company for Cause, death, or Disability), the full target amount of his fiscal 2024 CEO PSUs and fiscal 2025 PSUs would remain outstanding and eligible to vest at the end of the performance period, based on actual performance as if termination had not occurred. No value is reported in the "Performance-Vesting RSUs" column of the table above because vesting remains subject to ongoing performance conditions. As of March 31, 2026, the potential total value would be $6,470,495, which includes 0% vesting of the fiscal 2024 CEO PSUs based on performance and 100% vesting of the fiscal 2025 PSUs based on performance. In addition, for the service-vesting fiscal 2025 RSUs only, for which at least one year of service since the grant date has elapsed at the time of a termination, upon retirement or any other termination (other than by the Company for Cause, death, or Disability), the full target amount of the unvested tranches remain outstanding and continue to vest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96</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04" w:name="page105"/>
    <w:bookmarkEnd w:id="104"/>
    <w:p>
      <w:pPr>
        <w:ind w:left="20"/>
        <w:spacing w:after="0"/>
        <w:tabs>
          <w:tab w:leader="none" w:pos="918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0E1020"/>
        </w:rPr>
        <w:t>Executive Compensation Tables</w:t>
      </w:r>
    </w:p>
    <w:p>
      <w:pPr>
        <w:spacing w:after="0" w:line="200" w:lineRule="exact"/>
        <w:rPr>
          <w:sz w:val="20"/>
          <w:szCs w:val="20"/>
          <w:color w:val="auto"/>
        </w:rPr>
      </w:pPr>
    </w:p>
    <w:p>
      <w:pPr>
        <w:spacing w:after="0" w:line="349" w:lineRule="exact"/>
        <w:rPr>
          <w:sz w:val="20"/>
          <w:szCs w:val="20"/>
          <w:color w:val="auto"/>
        </w:rPr>
      </w:pPr>
    </w:p>
    <w:p>
      <w:pPr>
        <w:ind w:left="480" w:right="180"/>
        <w:spacing w:after="0" w:line="267" w:lineRule="auto"/>
        <w:rPr>
          <w:sz w:val="20"/>
          <w:szCs w:val="20"/>
          <w:color w:val="auto"/>
        </w:rPr>
      </w:pPr>
      <w:r>
        <w:rPr>
          <w:rFonts w:ascii="Arial" w:cs="Arial" w:eastAsia="Arial" w:hAnsi="Arial"/>
          <w:sz w:val="14"/>
          <w:szCs w:val="14"/>
          <w:color w:val="0E1020"/>
        </w:rPr>
        <w:t>according to the award agreement’s vest schedule, as if termination had not occurred. No value is reported in the “Service-Vesting RSUs” column of the table above because value realized will be based on DXC’s closing stock price on the remaining vest dates of May 16, 2026 and May 16, 2027. As of March 31, 2026, the potential total value would be $1,848,708, as reflected in the “Outstanding Equity Awards at Fiscal Year-End March 31, 2026” table above in the Executive Compensation Tables section of this Proxy Statement.</w:t>
      </w:r>
    </w:p>
    <w:p>
      <w:pPr>
        <w:spacing w:after="0" w:line="21" w:lineRule="exact"/>
        <w:rPr>
          <w:sz w:val="20"/>
          <w:szCs w:val="20"/>
          <w:color w:val="auto"/>
        </w:rPr>
      </w:pPr>
    </w:p>
    <w:p>
      <w:pPr>
        <w:ind w:left="480" w:right="260" w:hanging="312"/>
        <w:spacing w:after="0" w:line="299" w:lineRule="auto"/>
        <w:tabs>
          <w:tab w:leader="none" w:pos="453" w:val="left"/>
        </w:tabs>
        <w:numPr>
          <w:ilvl w:val="0"/>
          <w:numId w:val="100"/>
        </w:numPr>
        <w:rPr>
          <w:rFonts w:ascii="Arial" w:cs="Arial" w:eastAsia="Arial" w:hAnsi="Arial"/>
          <w:sz w:val="14"/>
          <w:szCs w:val="14"/>
          <w:color w:val="0E1020"/>
        </w:rPr>
      </w:pPr>
      <w:r>
        <w:rPr>
          <w:rFonts w:ascii="Arial" w:cs="Arial" w:eastAsia="Arial" w:hAnsi="Arial"/>
          <w:sz w:val="14"/>
          <w:szCs w:val="14"/>
          <w:color w:val="0E1020"/>
        </w:rPr>
        <w:t>Upon an NEO’s termination due to death or Disability, a pro rata portion (based on the NEO’s full months of service in the performance period) of fiscal 2024 and fiscal 2025 PSUs vest at target, while the fiscal 2026 PSUs vest in full at target and all service-based RSUs vest in full (without pro ration).</w:t>
      </w:r>
    </w:p>
    <w:p>
      <w:pPr>
        <w:spacing w:after="0" w:line="1" w:lineRule="exact"/>
        <w:rPr>
          <w:rFonts w:ascii="Arial" w:cs="Arial" w:eastAsia="Arial" w:hAnsi="Arial"/>
          <w:sz w:val="14"/>
          <w:szCs w:val="14"/>
          <w:color w:val="0E1020"/>
        </w:rPr>
      </w:pPr>
    </w:p>
    <w:p>
      <w:pPr>
        <w:ind w:left="480" w:right="40" w:hanging="312"/>
        <w:spacing w:after="0" w:line="265" w:lineRule="auto"/>
        <w:tabs>
          <w:tab w:leader="none" w:pos="453" w:val="left"/>
        </w:tabs>
        <w:numPr>
          <w:ilvl w:val="0"/>
          <w:numId w:val="100"/>
        </w:numPr>
        <w:rPr>
          <w:rFonts w:ascii="Arial" w:cs="Arial" w:eastAsia="Arial" w:hAnsi="Arial"/>
          <w:sz w:val="14"/>
          <w:szCs w:val="14"/>
          <w:color w:val="0E1020"/>
        </w:rPr>
      </w:pPr>
      <w:r>
        <w:rPr>
          <w:rFonts w:ascii="Arial" w:cs="Arial" w:eastAsia="Arial" w:hAnsi="Arial"/>
          <w:sz w:val="14"/>
          <w:szCs w:val="14"/>
          <w:color w:val="0E1020"/>
        </w:rPr>
        <w:t>For Mr. Del Bene, upon a termination without Cause or for Good Reason, a pro rata portion (based on his full months of service during the performance period) of fiscal 2026 PSUs would remain outstanding and eligible to vest at the end of the performance period, based on actual performance as if termination had not occurred. No value is reported in the "Performance-Vesting RSUs" column of the table above because vesting remains subject to ongoing performance conditions. As of March 31, 2026, the potential total value would be $2,200,879, which reflects 50% vesting of the fiscal 2026 PSUs based on performance. In addition, upon a termination without Cause or for Good Reason, a pro rata portion of Mr. Del Bene's fiscal 2026 time-based RSUs vest based on full months of service during the vesting period.</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Fiscal 2026 CEO Pay Ratio</w:t>
      </w:r>
    </w:p>
    <w:p>
      <w:pPr>
        <w:spacing w:after="0" w:line="135"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color w:val="0E1020"/>
        </w:rPr>
        <w:t>As required by the Dodd-Frank Wall Street Reform and Consumer Protection Act, we are disclosing the ratio of annualized total compensation of our CEO, Mr. Fernandez, to our median employee’s annual total compensation. We used the same median employee in our pay ratio calculation for fiscal 2026 as we used in fiscal 2025 and fiscal 2024, as permitted under the SEC rules, because there has been no change in our employee population or compensation arrangements that we believe would significantly impact our median employee for purposes of our pay ratio disclosure.</w:t>
      </w:r>
    </w:p>
    <w:p>
      <w:pPr>
        <w:spacing w:after="0" w:line="53" w:lineRule="exact"/>
        <w:rPr>
          <w:sz w:val="20"/>
          <w:szCs w:val="20"/>
          <w:color w:val="auto"/>
        </w:rPr>
      </w:pPr>
    </w:p>
    <w:p>
      <w:pPr>
        <w:ind w:right="200"/>
        <w:spacing w:after="0" w:line="280" w:lineRule="auto"/>
        <w:rPr>
          <w:sz w:val="20"/>
          <w:szCs w:val="20"/>
          <w:color w:val="auto"/>
        </w:rPr>
      </w:pPr>
      <w:r>
        <w:rPr>
          <w:rFonts w:ascii="Arial" w:cs="Arial" w:eastAsia="Arial" w:hAnsi="Arial"/>
          <w:sz w:val="16"/>
          <w:szCs w:val="16"/>
          <w:color w:val="0E1020"/>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have different employee populations and compensation practices and may use different methodologies, exclusions, estimates and assumptions in calculating their own pay ratios.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E1020"/>
        </w:rPr>
        <w:t>The methodology we used to determine the required disclosure consisted of the following:</w:t>
      </w:r>
    </w:p>
    <w:p>
      <w:pPr>
        <w:spacing w:after="0" w:line="111" w:lineRule="exact"/>
        <w:rPr>
          <w:sz w:val="20"/>
          <w:szCs w:val="20"/>
          <w:color w:val="auto"/>
        </w:rPr>
      </w:pPr>
    </w:p>
    <w:p>
      <w:pPr>
        <w:ind w:left="320" w:right="120" w:hanging="313"/>
        <w:spacing w:after="0" w:line="281" w:lineRule="auto"/>
        <w:tabs>
          <w:tab w:leader="none" w:pos="282" w:val="left"/>
        </w:tabs>
        <w:numPr>
          <w:ilvl w:val="0"/>
          <w:numId w:val="101"/>
        </w:numPr>
        <w:rPr>
          <w:rFonts w:ascii="Arial" w:cs="Arial" w:eastAsia="Arial" w:hAnsi="Arial"/>
          <w:sz w:val="16"/>
          <w:szCs w:val="16"/>
          <w:color w:val="0E1020"/>
        </w:rPr>
      </w:pPr>
      <w:r>
        <w:rPr>
          <w:rFonts w:ascii="Arial" w:cs="Arial" w:eastAsia="Arial" w:hAnsi="Arial"/>
          <w:sz w:val="16"/>
          <w:szCs w:val="16"/>
          <w:color w:val="0E1020"/>
        </w:rPr>
        <w:t>We used January 1, 2024, as the date to identify our median employee. The median employee was determined by using total taxable income, also referred to as W-2 earnings, for all U.S. employees and equivalent total taxable income for employees located outside of the United States, for the 2023 calendar year;</w:t>
      </w:r>
    </w:p>
    <w:p>
      <w:pPr>
        <w:spacing w:after="0" w:line="50" w:lineRule="exact"/>
        <w:rPr>
          <w:rFonts w:ascii="Arial" w:cs="Arial" w:eastAsia="Arial" w:hAnsi="Arial"/>
          <w:sz w:val="16"/>
          <w:szCs w:val="16"/>
          <w:color w:val="0E1020"/>
        </w:rPr>
      </w:pPr>
    </w:p>
    <w:p>
      <w:pPr>
        <w:ind w:left="320" w:right="360" w:hanging="313"/>
        <w:spacing w:after="0" w:line="318" w:lineRule="auto"/>
        <w:tabs>
          <w:tab w:leader="none" w:pos="282" w:val="left"/>
        </w:tabs>
        <w:numPr>
          <w:ilvl w:val="0"/>
          <w:numId w:val="101"/>
        </w:numPr>
        <w:rPr>
          <w:rFonts w:ascii="Arial" w:cs="Arial" w:eastAsia="Arial" w:hAnsi="Arial"/>
          <w:sz w:val="16"/>
          <w:szCs w:val="16"/>
          <w:color w:val="0E1020"/>
        </w:rPr>
      </w:pPr>
      <w:r>
        <w:rPr>
          <w:rFonts w:ascii="Arial" w:cs="Arial" w:eastAsia="Arial" w:hAnsi="Arial"/>
          <w:sz w:val="16"/>
          <w:szCs w:val="16"/>
          <w:color w:val="0E1020"/>
        </w:rPr>
        <w:t>Annualized salaries for full-time and part-time permanent employees that were not employed for the full calendar year of 2023 were used. We did not annualize the salaries of seasonal or temporary employees;</w:t>
      </w:r>
    </w:p>
    <w:p>
      <w:pPr>
        <w:spacing w:after="0" w:line="21" w:lineRule="exact"/>
        <w:rPr>
          <w:rFonts w:ascii="Arial" w:cs="Arial" w:eastAsia="Arial" w:hAnsi="Arial"/>
          <w:sz w:val="16"/>
          <w:szCs w:val="16"/>
          <w:color w:val="0E1020"/>
        </w:rPr>
      </w:pPr>
    </w:p>
    <w:p>
      <w:pPr>
        <w:ind w:left="320" w:right="60" w:hanging="313"/>
        <w:spacing w:after="0" w:line="300" w:lineRule="auto"/>
        <w:tabs>
          <w:tab w:leader="none" w:pos="282" w:val="left"/>
        </w:tabs>
        <w:numPr>
          <w:ilvl w:val="0"/>
          <w:numId w:val="101"/>
        </w:numPr>
        <w:rPr>
          <w:rFonts w:ascii="Arial" w:cs="Arial" w:eastAsia="Arial" w:hAnsi="Arial"/>
          <w:sz w:val="16"/>
          <w:szCs w:val="16"/>
          <w:color w:val="0E1020"/>
        </w:rPr>
      </w:pPr>
      <w:r>
        <w:rPr>
          <w:rFonts w:ascii="Arial" w:cs="Arial" w:eastAsia="Arial" w:hAnsi="Arial"/>
          <w:sz w:val="16"/>
          <w:szCs w:val="16"/>
          <w:color w:val="0E1020"/>
        </w:rPr>
        <w:t>For employees located outside of the United States, local currency compensation was converted to U.S. dollars using the Company’s standard exchange rates for fiscal 2024, which are also used for financial reporting purposes;</w:t>
      </w:r>
    </w:p>
    <w:p>
      <w:pPr>
        <w:spacing w:after="0" w:line="36" w:lineRule="exact"/>
        <w:rPr>
          <w:rFonts w:ascii="Arial" w:cs="Arial" w:eastAsia="Arial" w:hAnsi="Arial"/>
          <w:sz w:val="16"/>
          <w:szCs w:val="16"/>
          <w:color w:val="0E1020"/>
        </w:rPr>
      </w:pPr>
    </w:p>
    <w:p>
      <w:pPr>
        <w:ind w:left="320" w:right="280" w:hanging="313"/>
        <w:spacing w:after="0" w:line="280" w:lineRule="auto"/>
        <w:tabs>
          <w:tab w:leader="none" w:pos="282" w:val="left"/>
        </w:tabs>
        <w:numPr>
          <w:ilvl w:val="0"/>
          <w:numId w:val="101"/>
        </w:numPr>
        <w:rPr>
          <w:rFonts w:ascii="Arial" w:cs="Arial" w:eastAsia="Arial" w:hAnsi="Arial"/>
          <w:sz w:val="16"/>
          <w:szCs w:val="16"/>
          <w:color w:val="0E1020"/>
        </w:rPr>
      </w:pPr>
      <w:r>
        <w:rPr>
          <w:rFonts w:ascii="Arial" w:cs="Arial" w:eastAsia="Arial" w:hAnsi="Arial"/>
          <w:sz w:val="16"/>
          <w:szCs w:val="16"/>
          <w:color w:val="0E1020"/>
        </w:rPr>
        <w:t>As permitted by the de minimis exemption under the rules, we excluded 6,357 employees in Germany (2,414), Denmark (587), New Zealand (525), Belgium (401), Switzerland (363), Ireland (333), Sweden (256), Taiwan (243), Austria (231), Saudi Arabia (228), Hong Kong (211), Norway (160), Luxembourg (112), Lithuania (81), Republic of Korea (69), Finland (65), Peru (38), Fiji (15), Qatar (15), Morocco (5), Israel (3), Georgia (1), and Kazakhstan (1) who, as a group, represented approximately 5% of our total employee population of nearly 125,600 on January 1, 2024. As a result of these exclusions, the employee population used to identify our median employee consisted of approximately 119,250 employees.</w:t>
      </w:r>
    </w:p>
    <w:p>
      <w:pPr>
        <w:spacing w:after="0" w:line="13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0E1020"/>
        </w:rPr>
        <w:t>In accordance with the Pay Ratio Rule, we calculated the median employee’s annual total compensation in the same manner as the CEO’s annual total compensation was calculated in the fiscal 2026 Summary Compensation Table. Our median employee, determined without the application of cost-of-living adjustments, resides in the Philippines. The annual total compensation of the median employee was $31,413. The total compensation of Mr. Fernandez, our CEO, was $47,790,716, the amount reported in the “Total” column of the Summary Compensation Table. Because Mr. Fernandez received a three-year front-loaded equity award in fiscal 2026, the amount of his total compensation reported for fiscal 2026 was significantly higher than the prior year. As described above, this front-loaded award is intended to be a special one-time award which will be in lieu of any annual equity awards which he would have otherwise been granted with respect to fiscal years 2026-2028 as part of the Company’s annual merit process. Accordingly, the ratio of the annual total compensation of our CEO to the annual total compensation of our median employee was 1,521:1.</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552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97</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105" w:name="page106"/>
    <w:bookmarkEnd w:id="105"/>
    <w:p>
      <w:pPr>
        <w:ind w:left="20"/>
        <w:spacing w:after="0"/>
        <w:tabs>
          <w:tab w:leader="none" w:pos="10100" w:val="left"/>
        </w:tabs>
        <w:rPr>
          <w:sz w:val="20"/>
          <w:szCs w:val="20"/>
          <w:color w:val="auto"/>
        </w:rPr>
      </w:pPr>
      <w:r>
        <w:rPr>
          <w:rFonts w:ascii="Arial" w:cs="Arial" w:eastAsia="Arial" w:hAnsi="Arial"/>
          <w:sz w:val="14"/>
          <w:szCs w:val="14"/>
          <w:color w:val="0E1020"/>
        </w:rPr>
        <w:t>Executive Compensation Tables</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Pay versus Performance Disclosure</w:t>
      </w:r>
    </w:p>
    <w:p>
      <w:pPr>
        <w:spacing w:after="0" w:line="14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0E1020"/>
        </w:rPr>
        <w:t>This required disclosure intends to compare “Pay versus Performance” and prescribes a method to calculate Compensation Actually Paid (“CAP”) to represent pay. The CAP values shown in the table below do not reflect the compensation actually earned, realized, or received by the Principal Executive Officer (“PEO”) or the Non-PEO NEOs. In addition, while the table shows the Summary Compensation Table (“SCT”) compensation and CAP values side by side, they are not comparable. As such, the Compensation Committee did not consider the information provided in the table in structuring or determining compensation for our PEO or our Non-PEO NEOs. For a complete discussion of our executive compensation program and the Compensation Committee’s philosophy and approach to executive compensation, please refer to the CD&amp;A section of this Proxy Statement.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580" w:type="dxa"/>
            <w:vAlign w:val="bottom"/>
            <w:shd w:val="clear" w:color="auto" w:fill="F6F3F0"/>
          </w:tcPr>
          <w:p>
            <w:pPr>
              <w:spacing w:after="0"/>
              <w:rPr>
                <w:sz w:val="24"/>
                <w:szCs w:val="24"/>
                <w:color w:val="auto"/>
              </w:rPr>
            </w:pPr>
          </w:p>
        </w:tc>
        <w:tc>
          <w:tcPr>
            <w:tcW w:w="1240" w:type="dxa"/>
            <w:vAlign w:val="bottom"/>
            <w:shd w:val="clear" w:color="auto" w:fill="F6F3F0"/>
          </w:tcPr>
          <w:p>
            <w:pPr>
              <w:spacing w:after="0"/>
              <w:rPr>
                <w:sz w:val="24"/>
                <w:szCs w:val="24"/>
                <w:color w:val="auto"/>
              </w:rPr>
            </w:pPr>
          </w:p>
        </w:tc>
        <w:tc>
          <w:tcPr>
            <w:tcW w:w="1340" w:type="dxa"/>
            <w:vAlign w:val="bottom"/>
            <w:shd w:val="clear" w:color="auto" w:fill="F6F3F0"/>
          </w:tcPr>
          <w:p>
            <w:pPr>
              <w:spacing w:after="0"/>
              <w:rPr>
                <w:sz w:val="24"/>
                <w:szCs w:val="24"/>
                <w:color w:val="auto"/>
              </w:rPr>
            </w:pPr>
          </w:p>
        </w:tc>
        <w:tc>
          <w:tcPr>
            <w:tcW w:w="1300" w:type="dxa"/>
            <w:vAlign w:val="bottom"/>
            <w:shd w:val="clear" w:color="auto" w:fill="F6F3F0"/>
          </w:tcPr>
          <w:p>
            <w:pPr>
              <w:spacing w:after="0"/>
              <w:rPr>
                <w:sz w:val="24"/>
                <w:szCs w:val="24"/>
                <w:color w:val="auto"/>
              </w:rPr>
            </w:pPr>
          </w:p>
        </w:tc>
        <w:tc>
          <w:tcPr>
            <w:tcW w:w="1220" w:type="dxa"/>
            <w:vAlign w:val="bottom"/>
            <w:shd w:val="clear" w:color="auto" w:fill="F6F3F0"/>
          </w:tcPr>
          <w:p>
            <w:pPr>
              <w:spacing w:after="0"/>
              <w:rPr>
                <w:sz w:val="24"/>
                <w:szCs w:val="24"/>
                <w:color w:val="auto"/>
              </w:rPr>
            </w:pPr>
          </w:p>
        </w:tc>
        <w:tc>
          <w:tcPr>
            <w:tcW w:w="1280" w:type="dxa"/>
            <w:vAlign w:val="bottom"/>
            <w:shd w:val="clear" w:color="auto" w:fill="F6F3F0"/>
          </w:tcPr>
          <w:p>
            <w:pPr>
              <w:spacing w:after="0"/>
              <w:rPr>
                <w:sz w:val="24"/>
                <w:szCs w:val="24"/>
                <w:color w:val="auto"/>
              </w:rPr>
            </w:pPr>
          </w:p>
        </w:tc>
        <w:tc>
          <w:tcPr>
            <w:tcW w:w="1220" w:type="dxa"/>
            <w:vAlign w:val="bottom"/>
            <w:shd w:val="clear" w:color="auto" w:fill="F6F3F0"/>
          </w:tcPr>
          <w:p>
            <w:pPr>
              <w:spacing w:after="0"/>
              <w:rPr>
                <w:sz w:val="24"/>
                <w:szCs w:val="24"/>
                <w:color w:val="auto"/>
              </w:rPr>
            </w:pPr>
          </w:p>
        </w:tc>
        <w:tc>
          <w:tcPr>
            <w:tcW w:w="1360" w:type="dxa"/>
            <w:vAlign w:val="bottom"/>
            <w:gridSpan w:val="3"/>
            <w:shd w:val="clear" w:color="auto" w:fill="F6F3F0"/>
          </w:tcPr>
          <w:p>
            <w:pPr>
              <w:jc w:val="center"/>
              <w:spacing w:after="0"/>
              <w:rPr>
                <w:sz w:val="20"/>
                <w:szCs w:val="20"/>
                <w:color w:val="auto"/>
              </w:rPr>
            </w:pPr>
            <w:r>
              <w:rPr>
                <w:rFonts w:ascii="Arial" w:cs="Arial" w:eastAsia="Arial" w:hAnsi="Arial"/>
                <w:sz w:val="13"/>
                <w:szCs w:val="13"/>
                <w:b w:val="1"/>
                <w:bCs w:val="1"/>
                <w:color w:val="0E1020"/>
                <w:w w:val="95"/>
              </w:rPr>
              <w:t>Value of Initial Fixed</w:t>
            </w:r>
          </w:p>
        </w:tc>
        <w:tc>
          <w:tcPr>
            <w:tcW w:w="800" w:type="dxa"/>
            <w:vAlign w:val="bottom"/>
            <w:shd w:val="clear" w:color="auto" w:fill="F6F3F0"/>
          </w:tcPr>
          <w:p>
            <w:pPr>
              <w:spacing w:after="0"/>
              <w:rPr>
                <w:sz w:val="24"/>
                <w:szCs w:val="24"/>
                <w:color w:val="auto"/>
              </w:rPr>
            </w:pPr>
          </w:p>
        </w:tc>
        <w:tc>
          <w:tcPr>
            <w:tcW w:w="900" w:type="dxa"/>
            <w:vAlign w:val="bottom"/>
            <w:shd w:val="clear" w:color="auto" w:fill="F6F3F0"/>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580" w:type="dxa"/>
            <w:vAlign w:val="bottom"/>
            <w:shd w:val="clear" w:color="auto" w:fill="F6F3F0"/>
          </w:tcPr>
          <w:p>
            <w:pPr>
              <w:spacing w:after="0"/>
              <w:rPr>
                <w:sz w:val="12"/>
                <w:szCs w:val="12"/>
                <w:color w:val="auto"/>
              </w:rPr>
            </w:pPr>
          </w:p>
        </w:tc>
        <w:tc>
          <w:tcPr>
            <w:tcW w:w="1240" w:type="dxa"/>
            <w:vAlign w:val="bottom"/>
            <w:shd w:val="clear" w:color="auto" w:fill="F6F3F0"/>
          </w:tcPr>
          <w:p>
            <w:pPr>
              <w:spacing w:after="0"/>
              <w:rPr>
                <w:sz w:val="12"/>
                <w:szCs w:val="12"/>
                <w:color w:val="auto"/>
              </w:rPr>
            </w:pPr>
          </w:p>
        </w:tc>
        <w:tc>
          <w:tcPr>
            <w:tcW w:w="1340" w:type="dxa"/>
            <w:vAlign w:val="bottom"/>
            <w:shd w:val="clear" w:color="auto" w:fill="F6F3F0"/>
          </w:tcPr>
          <w:p>
            <w:pPr>
              <w:spacing w:after="0"/>
              <w:rPr>
                <w:sz w:val="12"/>
                <w:szCs w:val="12"/>
                <w:color w:val="auto"/>
              </w:rPr>
            </w:pPr>
          </w:p>
        </w:tc>
        <w:tc>
          <w:tcPr>
            <w:tcW w:w="1300" w:type="dxa"/>
            <w:vAlign w:val="bottom"/>
            <w:shd w:val="clear" w:color="auto" w:fill="F6F3F0"/>
          </w:tcPr>
          <w:p>
            <w:pPr>
              <w:spacing w:after="0"/>
              <w:rPr>
                <w:sz w:val="12"/>
                <w:szCs w:val="12"/>
                <w:color w:val="auto"/>
              </w:rPr>
            </w:pPr>
          </w:p>
        </w:tc>
        <w:tc>
          <w:tcPr>
            <w:tcW w:w="1220" w:type="dxa"/>
            <w:vAlign w:val="bottom"/>
            <w:shd w:val="clear" w:color="auto" w:fill="F6F3F0"/>
          </w:tcPr>
          <w:p>
            <w:pPr>
              <w:spacing w:after="0"/>
              <w:rPr>
                <w:sz w:val="12"/>
                <w:szCs w:val="12"/>
                <w:color w:val="auto"/>
              </w:rPr>
            </w:pPr>
          </w:p>
        </w:tc>
        <w:tc>
          <w:tcPr>
            <w:tcW w:w="1280" w:type="dxa"/>
            <w:vAlign w:val="bottom"/>
            <w:shd w:val="clear" w:color="auto" w:fill="F6F3F0"/>
          </w:tcPr>
          <w:p>
            <w:pPr>
              <w:spacing w:after="0"/>
              <w:rPr>
                <w:sz w:val="12"/>
                <w:szCs w:val="12"/>
                <w:color w:val="auto"/>
              </w:rPr>
            </w:pPr>
          </w:p>
        </w:tc>
        <w:tc>
          <w:tcPr>
            <w:tcW w:w="1220" w:type="dxa"/>
            <w:vAlign w:val="bottom"/>
            <w:shd w:val="clear" w:color="auto" w:fill="F6F3F0"/>
          </w:tcPr>
          <w:p>
            <w:pPr>
              <w:spacing w:after="0"/>
              <w:rPr>
                <w:sz w:val="12"/>
                <w:szCs w:val="12"/>
                <w:color w:val="auto"/>
              </w:rPr>
            </w:pPr>
          </w:p>
        </w:tc>
        <w:tc>
          <w:tcPr>
            <w:tcW w:w="80" w:type="dxa"/>
            <w:vAlign w:val="bottom"/>
            <w:shd w:val="clear" w:color="auto" w:fill="F6F3F0"/>
          </w:tcPr>
          <w:p>
            <w:pPr>
              <w:spacing w:after="0"/>
              <w:rPr>
                <w:sz w:val="12"/>
                <w:szCs w:val="12"/>
                <w:color w:val="auto"/>
              </w:rPr>
            </w:pPr>
          </w:p>
        </w:tc>
        <w:tc>
          <w:tcPr>
            <w:tcW w:w="1280" w:type="dxa"/>
            <w:vAlign w:val="bottom"/>
            <w:gridSpan w:val="2"/>
            <w:shd w:val="clear" w:color="auto" w:fill="F6F3F0"/>
          </w:tcPr>
          <w:p>
            <w:pPr>
              <w:jc w:val="center"/>
              <w:ind w:right="38"/>
              <w:spacing w:after="0" w:line="148" w:lineRule="exact"/>
              <w:rPr>
                <w:sz w:val="20"/>
                <w:szCs w:val="20"/>
                <w:color w:val="auto"/>
              </w:rPr>
            </w:pPr>
            <w:r>
              <w:rPr>
                <w:rFonts w:ascii="Arial" w:cs="Arial" w:eastAsia="Arial" w:hAnsi="Arial"/>
                <w:sz w:val="13"/>
                <w:szCs w:val="13"/>
                <w:b w:val="1"/>
                <w:bCs w:val="1"/>
                <w:color w:val="0E1020"/>
                <w:w w:val="96"/>
              </w:rPr>
              <w:t>$100 Investment</w:t>
            </w:r>
          </w:p>
        </w:tc>
        <w:tc>
          <w:tcPr>
            <w:tcW w:w="800" w:type="dxa"/>
            <w:vAlign w:val="bottom"/>
            <w:shd w:val="clear" w:color="auto" w:fill="F6F3F0"/>
          </w:tcPr>
          <w:p>
            <w:pPr>
              <w:spacing w:after="0"/>
              <w:rPr>
                <w:sz w:val="12"/>
                <w:szCs w:val="12"/>
                <w:color w:val="auto"/>
              </w:rPr>
            </w:pPr>
          </w:p>
        </w:tc>
        <w:tc>
          <w:tcPr>
            <w:tcW w:w="900" w:type="dxa"/>
            <w:vAlign w:val="bottom"/>
            <w:shd w:val="clear" w:color="auto" w:fill="F6F3F0"/>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shd w:val="clear" w:color="auto" w:fill="F6F3F0"/>
          </w:tcPr>
          <w:p>
            <w:pPr>
              <w:spacing w:after="0"/>
              <w:rPr>
                <w:sz w:val="14"/>
                <w:szCs w:val="14"/>
                <w:color w:val="auto"/>
              </w:rPr>
            </w:pPr>
          </w:p>
        </w:tc>
        <w:tc>
          <w:tcPr>
            <w:tcW w:w="1240" w:type="dxa"/>
            <w:vAlign w:val="bottom"/>
            <w:shd w:val="clear" w:color="auto" w:fill="F6F3F0"/>
          </w:tcPr>
          <w:p>
            <w:pPr>
              <w:spacing w:after="0"/>
              <w:rPr>
                <w:sz w:val="14"/>
                <w:szCs w:val="14"/>
                <w:color w:val="auto"/>
              </w:rPr>
            </w:pPr>
          </w:p>
        </w:tc>
        <w:tc>
          <w:tcPr>
            <w:tcW w:w="1340" w:type="dxa"/>
            <w:vAlign w:val="bottom"/>
            <w:shd w:val="clear" w:color="auto" w:fill="F6F3F0"/>
          </w:tcPr>
          <w:p>
            <w:pPr>
              <w:spacing w:after="0"/>
              <w:rPr>
                <w:sz w:val="14"/>
                <w:szCs w:val="14"/>
                <w:color w:val="auto"/>
              </w:rPr>
            </w:pPr>
          </w:p>
        </w:tc>
        <w:tc>
          <w:tcPr>
            <w:tcW w:w="1300" w:type="dxa"/>
            <w:vAlign w:val="bottom"/>
            <w:shd w:val="clear" w:color="auto" w:fill="F6F3F0"/>
          </w:tcPr>
          <w:p>
            <w:pPr>
              <w:spacing w:after="0"/>
              <w:rPr>
                <w:sz w:val="14"/>
                <w:szCs w:val="14"/>
                <w:color w:val="auto"/>
              </w:rPr>
            </w:pPr>
          </w:p>
        </w:tc>
        <w:tc>
          <w:tcPr>
            <w:tcW w:w="1220" w:type="dxa"/>
            <w:vAlign w:val="bottom"/>
            <w:shd w:val="clear" w:color="auto" w:fill="F6F3F0"/>
          </w:tcPr>
          <w:p>
            <w:pPr>
              <w:spacing w:after="0"/>
              <w:rPr>
                <w:sz w:val="14"/>
                <w:szCs w:val="14"/>
                <w:color w:val="auto"/>
              </w:rPr>
            </w:pPr>
          </w:p>
        </w:tc>
        <w:tc>
          <w:tcPr>
            <w:tcW w:w="1280" w:type="dxa"/>
            <w:vAlign w:val="bottom"/>
            <w:shd w:val="clear" w:color="auto" w:fill="F6F3F0"/>
          </w:tcPr>
          <w:p>
            <w:pPr>
              <w:spacing w:after="0"/>
              <w:rPr>
                <w:sz w:val="14"/>
                <w:szCs w:val="14"/>
                <w:color w:val="auto"/>
              </w:rPr>
            </w:pPr>
          </w:p>
        </w:tc>
        <w:tc>
          <w:tcPr>
            <w:tcW w:w="1220" w:type="dxa"/>
            <w:vAlign w:val="bottom"/>
            <w:vMerge w:val="restart"/>
            <w:shd w:val="clear" w:color="auto" w:fill="F6F3F0"/>
          </w:tcPr>
          <w:p>
            <w:pPr>
              <w:jc w:val="right"/>
              <w:spacing w:after="0"/>
              <w:rPr>
                <w:sz w:val="20"/>
                <w:szCs w:val="20"/>
                <w:color w:val="auto"/>
              </w:rPr>
            </w:pPr>
            <w:r>
              <w:rPr>
                <w:rFonts w:ascii="Arial" w:cs="Arial" w:eastAsia="Arial" w:hAnsi="Arial"/>
                <w:sz w:val="13"/>
                <w:szCs w:val="13"/>
                <w:b w:val="1"/>
                <w:bCs w:val="1"/>
                <w:color w:val="0E1020"/>
              </w:rPr>
              <w:t>Average</w:t>
            </w:r>
          </w:p>
        </w:tc>
        <w:tc>
          <w:tcPr>
            <w:tcW w:w="80" w:type="dxa"/>
            <w:vAlign w:val="bottom"/>
            <w:shd w:val="clear" w:color="auto" w:fill="F6F3F0"/>
          </w:tcPr>
          <w:p>
            <w:pPr>
              <w:spacing w:after="0"/>
              <w:rPr>
                <w:sz w:val="14"/>
                <w:szCs w:val="14"/>
                <w:color w:val="auto"/>
              </w:rPr>
            </w:pPr>
          </w:p>
        </w:tc>
        <w:tc>
          <w:tcPr>
            <w:tcW w:w="1280" w:type="dxa"/>
            <w:vAlign w:val="bottom"/>
            <w:gridSpan w:val="2"/>
            <w:shd w:val="clear" w:color="auto" w:fill="F6F3F0"/>
          </w:tcPr>
          <w:p>
            <w:pPr>
              <w:jc w:val="center"/>
              <w:ind w:right="38"/>
              <w:spacing w:after="0"/>
              <w:rPr>
                <w:sz w:val="20"/>
                <w:szCs w:val="20"/>
                <w:color w:val="auto"/>
              </w:rPr>
            </w:pPr>
            <w:r>
              <w:rPr>
                <w:rFonts w:ascii="Arial" w:cs="Arial" w:eastAsia="Arial" w:hAnsi="Arial"/>
                <w:sz w:val="13"/>
                <w:szCs w:val="13"/>
                <w:b w:val="1"/>
                <w:bCs w:val="1"/>
                <w:color w:val="0E1020"/>
                <w:w w:val="95"/>
              </w:rPr>
              <w:t>Based On:</w:t>
            </w:r>
          </w:p>
        </w:tc>
        <w:tc>
          <w:tcPr>
            <w:tcW w:w="800" w:type="dxa"/>
            <w:vAlign w:val="bottom"/>
            <w:shd w:val="clear" w:color="auto" w:fill="F6F3F0"/>
          </w:tcPr>
          <w:p>
            <w:pPr>
              <w:spacing w:after="0"/>
              <w:rPr>
                <w:sz w:val="14"/>
                <w:szCs w:val="14"/>
                <w:color w:val="auto"/>
              </w:rPr>
            </w:pPr>
          </w:p>
        </w:tc>
        <w:tc>
          <w:tcPr>
            <w:tcW w:w="900" w:type="dxa"/>
            <w:vAlign w:val="bottom"/>
            <w:shd w:val="clear" w:color="auto" w:fill="F6F3F0"/>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580" w:type="dxa"/>
            <w:vAlign w:val="bottom"/>
            <w:shd w:val="clear" w:color="auto" w:fill="F6F3F0"/>
          </w:tcPr>
          <w:p>
            <w:pPr>
              <w:spacing w:after="0"/>
              <w:rPr>
                <w:sz w:val="8"/>
                <w:szCs w:val="8"/>
                <w:color w:val="auto"/>
              </w:rPr>
            </w:pPr>
          </w:p>
        </w:tc>
        <w:tc>
          <w:tcPr>
            <w:tcW w:w="1240" w:type="dxa"/>
            <w:vAlign w:val="bottom"/>
            <w:vMerge w:val="restart"/>
            <w:shd w:val="clear" w:color="auto" w:fill="F6F3F0"/>
          </w:tcPr>
          <w:p>
            <w:pPr>
              <w:jc w:val="right"/>
              <w:spacing w:after="0"/>
              <w:rPr>
                <w:sz w:val="20"/>
                <w:szCs w:val="20"/>
                <w:color w:val="auto"/>
              </w:rPr>
            </w:pPr>
            <w:r>
              <w:rPr>
                <w:rFonts w:ascii="Arial" w:cs="Arial" w:eastAsia="Arial" w:hAnsi="Arial"/>
                <w:sz w:val="13"/>
                <w:szCs w:val="13"/>
                <w:b w:val="1"/>
                <w:bCs w:val="1"/>
                <w:color w:val="0E1020"/>
              </w:rPr>
              <w:t>Summary</w:t>
            </w:r>
          </w:p>
        </w:tc>
        <w:tc>
          <w:tcPr>
            <w:tcW w:w="1340" w:type="dxa"/>
            <w:vAlign w:val="bottom"/>
            <w:vMerge w:val="restart"/>
            <w:shd w:val="clear" w:color="auto" w:fill="F6F3F0"/>
          </w:tcPr>
          <w:p>
            <w:pPr>
              <w:jc w:val="right"/>
              <w:ind w:right="58"/>
              <w:spacing w:after="0"/>
              <w:rPr>
                <w:sz w:val="20"/>
                <w:szCs w:val="20"/>
                <w:color w:val="auto"/>
              </w:rPr>
            </w:pPr>
            <w:r>
              <w:rPr>
                <w:rFonts w:ascii="Arial" w:cs="Arial" w:eastAsia="Arial" w:hAnsi="Arial"/>
                <w:sz w:val="13"/>
                <w:szCs w:val="13"/>
                <w:b w:val="1"/>
                <w:bCs w:val="1"/>
                <w:color w:val="0E1020"/>
              </w:rPr>
              <w:t>Summary</w:t>
            </w:r>
          </w:p>
        </w:tc>
        <w:tc>
          <w:tcPr>
            <w:tcW w:w="1300" w:type="dxa"/>
            <w:vAlign w:val="bottom"/>
            <w:shd w:val="clear" w:color="auto" w:fill="F6F3F0"/>
          </w:tcPr>
          <w:p>
            <w:pPr>
              <w:spacing w:after="0"/>
              <w:rPr>
                <w:sz w:val="8"/>
                <w:szCs w:val="8"/>
                <w:color w:val="auto"/>
              </w:rPr>
            </w:pPr>
          </w:p>
        </w:tc>
        <w:tc>
          <w:tcPr>
            <w:tcW w:w="1220" w:type="dxa"/>
            <w:vAlign w:val="bottom"/>
            <w:shd w:val="clear" w:color="auto" w:fill="F6F3F0"/>
          </w:tcPr>
          <w:p>
            <w:pPr>
              <w:spacing w:after="0"/>
              <w:rPr>
                <w:sz w:val="8"/>
                <w:szCs w:val="8"/>
                <w:color w:val="auto"/>
              </w:rPr>
            </w:pPr>
          </w:p>
        </w:tc>
        <w:tc>
          <w:tcPr>
            <w:tcW w:w="1280" w:type="dxa"/>
            <w:vAlign w:val="bottom"/>
            <w:vMerge w:val="restart"/>
            <w:shd w:val="clear" w:color="auto" w:fill="F6F3F0"/>
          </w:tcPr>
          <w:p>
            <w:pPr>
              <w:jc w:val="right"/>
              <w:spacing w:after="0"/>
              <w:rPr>
                <w:sz w:val="20"/>
                <w:szCs w:val="20"/>
                <w:color w:val="auto"/>
              </w:rPr>
            </w:pPr>
            <w:r>
              <w:rPr>
                <w:rFonts w:ascii="Arial" w:cs="Arial" w:eastAsia="Arial" w:hAnsi="Arial"/>
                <w:sz w:val="13"/>
                <w:szCs w:val="13"/>
                <w:b w:val="1"/>
                <w:bCs w:val="1"/>
                <w:color w:val="0E1020"/>
              </w:rPr>
              <w:t>Average Summary</w:t>
            </w:r>
          </w:p>
        </w:tc>
        <w:tc>
          <w:tcPr>
            <w:tcW w:w="1220" w:type="dxa"/>
            <w:vAlign w:val="bottom"/>
            <w:vMerge w:val="continue"/>
            <w:shd w:val="clear" w:color="auto" w:fill="F6F3F0"/>
          </w:tcPr>
          <w:p>
            <w:pPr>
              <w:spacing w:after="0"/>
              <w:rPr>
                <w:sz w:val="8"/>
                <w:szCs w:val="8"/>
                <w:color w:val="auto"/>
              </w:rPr>
            </w:pPr>
          </w:p>
        </w:tc>
        <w:tc>
          <w:tcPr>
            <w:tcW w:w="80" w:type="dxa"/>
            <w:vAlign w:val="bottom"/>
            <w:shd w:val="clear" w:color="auto" w:fill="F6F3F0"/>
          </w:tcPr>
          <w:p>
            <w:pPr>
              <w:spacing w:after="0"/>
              <w:rPr>
                <w:sz w:val="8"/>
                <w:szCs w:val="8"/>
                <w:color w:val="auto"/>
              </w:rPr>
            </w:pPr>
          </w:p>
        </w:tc>
        <w:tc>
          <w:tcPr>
            <w:tcW w:w="600" w:type="dxa"/>
            <w:vAlign w:val="bottom"/>
            <w:shd w:val="clear" w:color="auto" w:fill="F6F3F0"/>
          </w:tcPr>
          <w:p>
            <w:pPr>
              <w:spacing w:after="0"/>
              <w:rPr>
                <w:sz w:val="8"/>
                <w:szCs w:val="8"/>
                <w:color w:val="auto"/>
              </w:rPr>
            </w:pPr>
          </w:p>
        </w:tc>
        <w:tc>
          <w:tcPr>
            <w:tcW w:w="680" w:type="dxa"/>
            <w:vAlign w:val="bottom"/>
            <w:shd w:val="clear" w:color="auto" w:fill="F6F3F0"/>
          </w:tcPr>
          <w:p>
            <w:pPr>
              <w:spacing w:after="0"/>
              <w:rPr>
                <w:sz w:val="8"/>
                <w:szCs w:val="8"/>
                <w:color w:val="auto"/>
              </w:rPr>
            </w:pPr>
          </w:p>
        </w:tc>
        <w:tc>
          <w:tcPr>
            <w:tcW w:w="800" w:type="dxa"/>
            <w:vAlign w:val="bottom"/>
            <w:shd w:val="clear" w:color="auto" w:fill="F6F3F0"/>
          </w:tcPr>
          <w:p>
            <w:pPr>
              <w:spacing w:after="0"/>
              <w:rPr>
                <w:sz w:val="8"/>
                <w:szCs w:val="8"/>
                <w:color w:val="auto"/>
              </w:rPr>
            </w:pPr>
          </w:p>
        </w:tc>
        <w:tc>
          <w:tcPr>
            <w:tcW w:w="900" w:type="dxa"/>
            <w:vAlign w:val="bottom"/>
            <w:shd w:val="clear" w:color="auto" w:fill="F6F3F0"/>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580" w:type="dxa"/>
            <w:vAlign w:val="bottom"/>
            <w:tcBorders>
              <w:bottom w:val="single" w:sz="8" w:color="F6F3F0"/>
            </w:tcBorders>
            <w:shd w:val="clear" w:color="auto" w:fill="F6F3F0"/>
          </w:tcPr>
          <w:p>
            <w:pPr>
              <w:spacing w:after="0"/>
              <w:rPr>
                <w:sz w:val="7"/>
                <w:szCs w:val="7"/>
                <w:color w:val="auto"/>
              </w:rPr>
            </w:pPr>
          </w:p>
        </w:tc>
        <w:tc>
          <w:tcPr>
            <w:tcW w:w="1240" w:type="dxa"/>
            <w:vAlign w:val="bottom"/>
            <w:tcBorders>
              <w:bottom w:val="single" w:sz="8" w:color="F6F3F0"/>
            </w:tcBorders>
            <w:vMerge w:val="continue"/>
            <w:shd w:val="clear" w:color="auto" w:fill="F6F3F0"/>
          </w:tcPr>
          <w:p>
            <w:pPr>
              <w:spacing w:after="0"/>
              <w:rPr>
                <w:sz w:val="7"/>
                <w:szCs w:val="7"/>
                <w:color w:val="auto"/>
              </w:rPr>
            </w:pPr>
          </w:p>
        </w:tc>
        <w:tc>
          <w:tcPr>
            <w:tcW w:w="1340" w:type="dxa"/>
            <w:vAlign w:val="bottom"/>
            <w:tcBorders>
              <w:bottom w:val="single" w:sz="8" w:color="F6F3F0"/>
            </w:tcBorders>
            <w:vMerge w:val="continue"/>
            <w:shd w:val="clear" w:color="auto" w:fill="F6F3F0"/>
          </w:tcPr>
          <w:p>
            <w:pPr>
              <w:spacing w:after="0"/>
              <w:rPr>
                <w:sz w:val="7"/>
                <w:szCs w:val="7"/>
                <w:color w:val="auto"/>
              </w:rPr>
            </w:pPr>
          </w:p>
        </w:tc>
        <w:tc>
          <w:tcPr>
            <w:tcW w:w="1300" w:type="dxa"/>
            <w:vAlign w:val="bottom"/>
            <w:tcBorders>
              <w:bottom w:val="single" w:sz="8" w:color="F6F3F0"/>
            </w:tcBorders>
            <w:shd w:val="clear" w:color="auto" w:fill="F6F3F0"/>
          </w:tcPr>
          <w:p>
            <w:pPr>
              <w:spacing w:after="0"/>
              <w:rPr>
                <w:sz w:val="7"/>
                <w:szCs w:val="7"/>
                <w:color w:val="auto"/>
              </w:rPr>
            </w:pPr>
          </w:p>
        </w:tc>
        <w:tc>
          <w:tcPr>
            <w:tcW w:w="1220" w:type="dxa"/>
            <w:vAlign w:val="bottom"/>
            <w:tcBorders>
              <w:bottom w:val="single" w:sz="8" w:color="F6F3F0"/>
            </w:tcBorders>
            <w:vMerge w:val="restart"/>
            <w:shd w:val="clear" w:color="auto" w:fill="F6F3F0"/>
          </w:tcPr>
          <w:p>
            <w:pPr>
              <w:jc w:val="right"/>
              <w:spacing w:after="0" w:line="139" w:lineRule="exact"/>
              <w:rPr>
                <w:sz w:val="20"/>
                <w:szCs w:val="20"/>
                <w:color w:val="auto"/>
              </w:rPr>
            </w:pPr>
            <w:r>
              <w:rPr>
                <w:rFonts w:ascii="Arial" w:cs="Arial" w:eastAsia="Arial" w:hAnsi="Arial"/>
                <w:sz w:val="13"/>
                <w:szCs w:val="13"/>
                <w:b w:val="1"/>
                <w:bCs w:val="1"/>
                <w:color w:val="0E1020"/>
              </w:rPr>
              <w:t>Compensation</w:t>
            </w:r>
          </w:p>
        </w:tc>
        <w:tc>
          <w:tcPr>
            <w:tcW w:w="1280" w:type="dxa"/>
            <w:vAlign w:val="bottom"/>
            <w:tcBorders>
              <w:bottom w:val="single" w:sz="8" w:color="F6F3F0"/>
            </w:tcBorders>
            <w:vMerge w:val="continue"/>
            <w:shd w:val="clear" w:color="auto" w:fill="F6F3F0"/>
          </w:tcPr>
          <w:p>
            <w:pPr>
              <w:spacing w:after="0"/>
              <w:rPr>
                <w:sz w:val="7"/>
                <w:szCs w:val="7"/>
                <w:color w:val="auto"/>
              </w:rPr>
            </w:pPr>
          </w:p>
        </w:tc>
        <w:tc>
          <w:tcPr>
            <w:tcW w:w="1220" w:type="dxa"/>
            <w:vAlign w:val="bottom"/>
            <w:tcBorders>
              <w:bottom w:val="single" w:sz="8" w:color="F6F3F0"/>
            </w:tcBorders>
            <w:vMerge w:val="restart"/>
            <w:shd w:val="clear" w:color="auto" w:fill="F6F3F0"/>
          </w:tcPr>
          <w:p>
            <w:pPr>
              <w:jc w:val="right"/>
              <w:spacing w:after="0" w:line="139" w:lineRule="exact"/>
              <w:rPr>
                <w:sz w:val="20"/>
                <w:szCs w:val="20"/>
                <w:color w:val="auto"/>
              </w:rPr>
            </w:pPr>
            <w:r>
              <w:rPr>
                <w:rFonts w:ascii="Arial" w:cs="Arial" w:eastAsia="Arial" w:hAnsi="Arial"/>
                <w:sz w:val="13"/>
                <w:szCs w:val="13"/>
                <w:b w:val="1"/>
                <w:bCs w:val="1"/>
                <w:color w:val="0E1020"/>
              </w:rPr>
              <w:t>Compensation</w:t>
            </w:r>
          </w:p>
        </w:tc>
        <w:tc>
          <w:tcPr>
            <w:tcW w:w="80" w:type="dxa"/>
            <w:vAlign w:val="bottom"/>
            <w:tcBorders>
              <w:bottom w:val="single" w:sz="8" w:color="F6F3F0"/>
            </w:tcBorders>
            <w:shd w:val="clear" w:color="auto" w:fill="F6F3F0"/>
          </w:tcPr>
          <w:p>
            <w:pPr>
              <w:spacing w:after="0"/>
              <w:rPr>
                <w:sz w:val="7"/>
                <w:szCs w:val="7"/>
                <w:color w:val="auto"/>
              </w:rPr>
            </w:pPr>
          </w:p>
        </w:tc>
        <w:tc>
          <w:tcPr>
            <w:tcW w:w="600" w:type="dxa"/>
            <w:vAlign w:val="bottom"/>
            <w:tcBorders>
              <w:bottom w:val="single" w:sz="8" w:color="CFCFD2"/>
            </w:tcBorders>
            <w:shd w:val="clear" w:color="auto" w:fill="F6F3F0"/>
          </w:tcPr>
          <w:p>
            <w:pPr>
              <w:spacing w:after="0"/>
              <w:rPr>
                <w:sz w:val="7"/>
                <w:szCs w:val="7"/>
                <w:color w:val="auto"/>
              </w:rPr>
            </w:pPr>
          </w:p>
        </w:tc>
        <w:tc>
          <w:tcPr>
            <w:tcW w:w="680" w:type="dxa"/>
            <w:vAlign w:val="bottom"/>
            <w:tcBorders>
              <w:bottom w:val="single" w:sz="8" w:color="CFCFD2"/>
            </w:tcBorders>
            <w:shd w:val="clear" w:color="auto" w:fill="F6F3F0"/>
          </w:tcPr>
          <w:p>
            <w:pPr>
              <w:spacing w:after="0"/>
              <w:rPr>
                <w:sz w:val="7"/>
                <w:szCs w:val="7"/>
                <w:color w:val="auto"/>
              </w:rPr>
            </w:pPr>
          </w:p>
        </w:tc>
        <w:tc>
          <w:tcPr>
            <w:tcW w:w="800" w:type="dxa"/>
            <w:vAlign w:val="bottom"/>
            <w:tcBorders>
              <w:bottom w:val="single" w:sz="8" w:color="F6F3F0"/>
            </w:tcBorders>
            <w:shd w:val="clear" w:color="auto" w:fill="F6F3F0"/>
          </w:tcPr>
          <w:p>
            <w:pPr>
              <w:spacing w:after="0"/>
              <w:rPr>
                <w:sz w:val="7"/>
                <w:szCs w:val="7"/>
                <w:color w:val="auto"/>
              </w:rPr>
            </w:pPr>
          </w:p>
        </w:tc>
        <w:tc>
          <w:tcPr>
            <w:tcW w:w="900" w:type="dxa"/>
            <w:vAlign w:val="bottom"/>
            <w:tcBorders>
              <w:bottom w:val="single" w:sz="8" w:color="F6F3F0"/>
            </w:tcBorders>
            <w:shd w:val="clear" w:color="auto" w:fill="F6F3F0"/>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580" w:type="dxa"/>
            <w:vAlign w:val="bottom"/>
            <w:shd w:val="clear" w:color="auto" w:fill="F6F3F0"/>
          </w:tcPr>
          <w:p>
            <w:pPr>
              <w:spacing w:after="0"/>
              <w:rPr>
                <w:sz w:val="2"/>
                <w:szCs w:val="2"/>
                <w:color w:val="auto"/>
              </w:rPr>
            </w:pPr>
          </w:p>
        </w:tc>
        <w:tc>
          <w:tcPr>
            <w:tcW w:w="1240" w:type="dxa"/>
            <w:vAlign w:val="bottom"/>
            <w:vMerge w:val="continue"/>
            <w:shd w:val="clear" w:color="auto" w:fill="F6F3F0"/>
          </w:tcPr>
          <w:p>
            <w:pPr>
              <w:spacing w:after="0"/>
              <w:rPr>
                <w:sz w:val="2"/>
                <w:szCs w:val="2"/>
                <w:color w:val="auto"/>
              </w:rPr>
            </w:pPr>
          </w:p>
        </w:tc>
        <w:tc>
          <w:tcPr>
            <w:tcW w:w="1340" w:type="dxa"/>
            <w:vAlign w:val="bottom"/>
            <w:vMerge w:val="continue"/>
            <w:shd w:val="clear" w:color="auto" w:fill="F6F3F0"/>
          </w:tcPr>
          <w:p>
            <w:pPr>
              <w:spacing w:after="0"/>
              <w:rPr>
                <w:sz w:val="2"/>
                <w:szCs w:val="2"/>
                <w:color w:val="auto"/>
              </w:rPr>
            </w:pPr>
          </w:p>
        </w:tc>
        <w:tc>
          <w:tcPr>
            <w:tcW w:w="1300" w:type="dxa"/>
            <w:vAlign w:val="bottom"/>
            <w:shd w:val="clear" w:color="auto" w:fill="F6F3F0"/>
          </w:tcPr>
          <w:p>
            <w:pPr>
              <w:spacing w:after="0"/>
              <w:rPr>
                <w:sz w:val="2"/>
                <w:szCs w:val="2"/>
                <w:color w:val="auto"/>
              </w:rPr>
            </w:pPr>
          </w:p>
        </w:tc>
        <w:tc>
          <w:tcPr>
            <w:tcW w:w="1220" w:type="dxa"/>
            <w:vAlign w:val="bottom"/>
            <w:vMerge w:val="continue"/>
            <w:shd w:val="clear" w:color="auto" w:fill="F6F3F0"/>
          </w:tcPr>
          <w:p>
            <w:pPr>
              <w:spacing w:after="0"/>
              <w:rPr>
                <w:sz w:val="2"/>
                <w:szCs w:val="2"/>
                <w:color w:val="auto"/>
              </w:rPr>
            </w:pPr>
          </w:p>
        </w:tc>
        <w:tc>
          <w:tcPr>
            <w:tcW w:w="1280" w:type="dxa"/>
            <w:vAlign w:val="bottom"/>
            <w:vMerge w:val="continue"/>
            <w:shd w:val="clear" w:color="auto" w:fill="F6F3F0"/>
          </w:tcPr>
          <w:p>
            <w:pPr>
              <w:spacing w:after="0"/>
              <w:rPr>
                <w:sz w:val="2"/>
                <w:szCs w:val="2"/>
                <w:color w:val="auto"/>
              </w:rPr>
            </w:pPr>
          </w:p>
        </w:tc>
        <w:tc>
          <w:tcPr>
            <w:tcW w:w="1220" w:type="dxa"/>
            <w:vAlign w:val="bottom"/>
            <w:vMerge w:val="continue"/>
            <w:shd w:val="clear" w:color="auto" w:fill="F6F3F0"/>
          </w:tcPr>
          <w:p>
            <w:pPr>
              <w:spacing w:after="0"/>
              <w:rPr>
                <w:sz w:val="2"/>
                <w:szCs w:val="2"/>
                <w:color w:val="auto"/>
              </w:rPr>
            </w:pPr>
          </w:p>
        </w:tc>
        <w:tc>
          <w:tcPr>
            <w:tcW w:w="80" w:type="dxa"/>
            <w:vAlign w:val="bottom"/>
            <w:shd w:val="clear" w:color="auto" w:fill="F6F3F0"/>
          </w:tcPr>
          <w:p>
            <w:pPr>
              <w:spacing w:after="0"/>
              <w:rPr>
                <w:sz w:val="2"/>
                <w:szCs w:val="2"/>
                <w:color w:val="auto"/>
              </w:rPr>
            </w:pPr>
          </w:p>
        </w:tc>
        <w:tc>
          <w:tcPr>
            <w:tcW w:w="600" w:type="dxa"/>
            <w:vAlign w:val="bottom"/>
            <w:shd w:val="clear" w:color="auto" w:fill="F6F3F0"/>
          </w:tcPr>
          <w:p>
            <w:pPr>
              <w:spacing w:after="0"/>
              <w:rPr>
                <w:sz w:val="2"/>
                <w:szCs w:val="2"/>
                <w:color w:val="auto"/>
              </w:rPr>
            </w:pPr>
          </w:p>
        </w:tc>
        <w:tc>
          <w:tcPr>
            <w:tcW w:w="680" w:type="dxa"/>
            <w:vAlign w:val="bottom"/>
            <w:shd w:val="clear" w:color="auto" w:fill="F6F3F0"/>
          </w:tcPr>
          <w:p>
            <w:pPr>
              <w:spacing w:after="0"/>
              <w:rPr>
                <w:sz w:val="2"/>
                <w:szCs w:val="2"/>
                <w:color w:val="auto"/>
              </w:rPr>
            </w:pPr>
          </w:p>
        </w:tc>
        <w:tc>
          <w:tcPr>
            <w:tcW w:w="800" w:type="dxa"/>
            <w:vAlign w:val="bottom"/>
            <w:shd w:val="clear" w:color="auto" w:fill="F6F3F0"/>
          </w:tcPr>
          <w:p>
            <w:pPr>
              <w:spacing w:after="0"/>
              <w:rPr>
                <w:sz w:val="2"/>
                <w:szCs w:val="2"/>
                <w:color w:val="auto"/>
              </w:rPr>
            </w:pPr>
          </w:p>
        </w:tc>
        <w:tc>
          <w:tcPr>
            <w:tcW w:w="900" w:type="dxa"/>
            <w:vAlign w:val="bottom"/>
            <w:shd w:val="clear" w:color="auto" w:fill="F6F3F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580" w:type="dxa"/>
            <w:vAlign w:val="bottom"/>
            <w:shd w:val="clear" w:color="auto" w:fill="F6F3F0"/>
          </w:tcPr>
          <w:p>
            <w:pPr>
              <w:spacing w:after="0"/>
              <w:rPr>
                <w:sz w:val="12"/>
                <w:szCs w:val="12"/>
                <w:color w:val="auto"/>
              </w:rPr>
            </w:pPr>
          </w:p>
        </w:tc>
        <w:tc>
          <w:tcPr>
            <w:tcW w:w="124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w w:val="95"/>
              </w:rPr>
              <w:t>Compensation Total</w:t>
            </w:r>
          </w:p>
        </w:tc>
        <w:tc>
          <w:tcPr>
            <w:tcW w:w="1340" w:type="dxa"/>
            <w:vAlign w:val="bottom"/>
            <w:shd w:val="clear" w:color="auto" w:fill="F6F3F0"/>
          </w:tcPr>
          <w:p>
            <w:pPr>
              <w:jc w:val="right"/>
              <w:ind w:right="58"/>
              <w:spacing w:after="0" w:line="148" w:lineRule="exact"/>
              <w:rPr>
                <w:sz w:val="20"/>
                <w:szCs w:val="20"/>
                <w:color w:val="auto"/>
              </w:rPr>
            </w:pPr>
            <w:r>
              <w:rPr>
                <w:rFonts w:ascii="Arial" w:cs="Arial" w:eastAsia="Arial" w:hAnsi="Arial"/>
                <w:sz w:val="13"/>
                <w:szCs w:val="13"/>
                <w:b w:val="1"/>
                <w:bCs w:val="1"/>
                <w:color w:val="0E1020"/>
                <w:w w:val="95"/>
              </w:rPr>
              <w:t>Compensation Total</w:t>
            </w:r>
          </w:p>
        </w:tc>
        <w:tc>
          <w:tcPr>
            <w:tcW w:w="130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Compensation</w:t>
            </w:r>
          </w:p>
        </w:tc>
        <w:tc>
          <w:tcPr>
            <w:tcW w:w="122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Actually Paid to</w:t>
            </w:r>
          </w:p>
        </w:tc>
        <w:tc>
          <w:tcPr>
            <w:tcW w:w="128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w w:val="95"/>
              </w:rPr>
              <w:t>Compensation Total</w:t>
            </w:r>
          </w:p>
        </w:tc>
        <w:tc>
          <w:tcPr>
            <w:tcW w:w="122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Actually Paid to</w:t>
            </w:r>
          </w:p>
        </w:tc>
        <w:tc>
          <w:tcPr>
            <w:tcW w:w="80" w:type="dxa"/>
            <w:vAlign w:val="bottom"/>
            <w:shd w:val="clear" w:color="auto" w:fill="F6F3F0"/>
          </w:tcPr>
          <w:p>
            <w:pPr>
              <w:spacing w:after="0"/>
              <w:rPr>
                <w:sz w:val="12"/>
                <w:szCs w:val="12"/>
                <w:color w:val="auto"/>
              </w:rPr>
            </w:pPr>
          </w:p>
        </w:tc>
        <w:tc>
          <w:tcPr>
            <w:tcW w:w="600" w:type="dxa"/>
            <w:vAlign w:val="bottom"/>
            <w:shd w:val="clear" w:color="auto" w:fill="F6F3F0"/>
          </w:tcPr>
          <w:p>
            <w:pPr>
              <w:spacing w:after="0"/>
              <w:rPr>
                <w:sz w:val="12"/>
                <w:szCs w:val="12"/>
                <w:color w:val="auto"/>
              </w:rPr>
            </w:pPr>
          </w:p>
        </w:tc>
        <w:tc>
          <w:tcPr>
            <w:tcW w:w="68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Peer</w:t>
            </w:r>
          </w:p>
        </w:tc>
        <w:tc>
          <w:tcPr>
            <w:tcW w:w="800" w:type="dxa"/>
            <w:vAlign w:val="bottom"/>
            <w:shd w:val="clear" w:color="auto" w:fill="F6F3F0"/>
          </w:tcPr>
          <w:p>
            <w:pPr>
              <w:jc w:val="right"/>
              <w:spacing w:after="0" w:line="148" w:lineRule="exact"/>
              <w:rPr>
                <w:sz w:val="20"/>
                <w:szCs w:val="20"/>
                <w:color w:val="auto"/>
              </w:rPr>
            </w:pPr>
            <w:r>
              <w:rPr>
                <w:rFonts w:ascii="Arial" w:cs="Arial" w:eastAsia="Arial" w:hAnsi="Arial"/>
                <w:sz w:val="13"/>
                <w:szCs w:val="13"/>
                <w:b w:val="1"/>
                <w:bCs w:val="1"/>
                <w:color w:val="0E1020"/>
              </w:rPr>
              <w:t>Net</w:t>
            </w:r>
          </w:p>
        </w:tc>
        <w:tc>
          <w:tcPr>
            <w:tcW w:w="900" w:type="dxa"/>
            <w:vAlign w:val="bottom"/>
            <w:shd w:val="clear" w:color="auto" w:fill="F6F3F0"/>
          </w:tcPr>
          <w:p>
            <w:pPr>
              <w:jc w:val="right"/>
              <w:ind w:right="57"/>
              <w:spacing w:after="0" w:line="148" w:lineRule="exact"/>
              <w:rPr>
                <w:sz w:val="20"/>
                <w:szCs w:val="20"/>
                <w:color w:val="auto"/>
              </w:rPr>
            </w:pPr>
            <w:r>
              <w:rPr>
                <w:rFonts w:ascii="Arial" w:cs="Arial" w:eastAsia="Arial" w:hAnsi="Arial"/>
                <w:sz w:val="13"/>
                <w:szCs w:val="13"/>
                <w:b w:val="1"/>
                <w:bCs w:val="1"/>
                <w:color w:val="0E1020"/>
              </w:rPr>
              <w:t>Free Cash</w:t>
            </w:r>
          </w:p>
        </w:tc>
        <w:tc>
          <w:tcPr>
            <w:tcW w:w="0" w:type="dxa"/>
            <w:vAlign w:val="bottom"/>
          </w:tcPr>
          <w:p>
            <w:pPr>
              <w:spacing w:after="0"/>
              <w:rPr>
                <w:sz w:val="1"/>
                <w:szCs w:val="1"/>
                <w:color w:val="auto"/>
              </w:rPr>
            </w:pPr>
          </w:p>
        </w:tc>
      </w:tr>
      <w:tr>
        <w:trPr>
          <w:trHeight w:val="161"/>
        </w:trPr>
        <w:tc>
          <w:tcPr>
            <w:tcW w:w="580" w:type="dxa"/>
            <w:vAlign w:val="bottom"/>
            <w:vMerge w:val="restart"/>
            <w:shd w:val="clear" w:color="auto" w:fill="F6F3F0"/>
          </w:tcPr>
          <w:p>
            <w:pPr>
              <w:jc w:val="center"/>
              <w:spacing w:after="0"/>
              <w:rPr>
                <w:sz w:val="20"/>
                <w:szCs w:val="20"/>
                <w:color w:val="auto"/>
              </w:rPr>
            </w:pPr>
            <w:r>
              <w:rPr>
                <w:rFonts w:ascii="Arial" w:cs="Arial" w:eastAsia="Arial" w:hAnsi="Arial"/>
                <w:sz w:val="13"/>
                <w:szCs w:val="13"/>
                <w:b w:val="1"/>
                <w:bCs w:val="1"/>
                <w:color w:val="0E1020"/>
                <w:w w:val="92"/>
              </w:rPr>
              <w:t>Fiscal</w:t>
            </w:r>
          </w:p>
        </w:tc>
        <w:tc>
          <w:tcPr>
            <w:tcW w:w="124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rPr>
              <w:t>for PEO - Mr.</w:t>
            </w:r>
          </w:p>
        </w:tc>
        <w:tc>
          <w:tcPr>
            <w:tcW w:w="2640" w:type="dxa"/>
            <w:vAlign w:val="bottom"/>
            <w:gridSpan w:val="2"/>
            <w:shd w:val="clear" w:color="auto" w:fill="F6F3F0"/>
          </w:tcPr>
          <w:p>
            <w:pPr>
              <w:jc w:val="right"/>
              <w:spacing w:after="0"/>
              <w:rPr>
                <w:sz w:val="20"/>
                <w:szCs w:val="20"/>
                <w:color w:val="auto"/>
              </w:rPr>
            </w:pPr>
            <w:r>
              <w:rPr>
                <w:rFonts w:ascii="Arial" w:cs="Arial" w:eastAsia="Arial" w:hAnsi="Arial"/>
                <w:sz w:val="13"/>
                <w:szCs w:val="13"/>
                <w:b w:val="1"/>
                <w:bCs w:val="1"/>
                <w:color w:val="0E1020"/>
              </w:rPr>
              <w:t>for PEO - Mr. Actually Paid to PEO -</w:t>
            </w:r>
          </w:p>
        </w:tc>
        <w:tc>
          <w:tcPr>
            <w:tcW w:w="1220" w:type="dxa"/>
            <w:vAlign w:val="bottom"/>
            <w:shd w:val="clear" w:color="auto" w:fill="F6F3F0"/>
          </w:tcPr>
          <w:p>
            <w:pPr>
              <w:jc w:val="right"/>
              <w:spacing w:after="0" w:line="161" w:lineRule="exact"/>
              <w:rPr>
                <w:sz w:val="20"/>
                <w:szCs w:val="20"/>
                <w:color w:val="auto"/>
              </w:rPr>
            </w:pPr>
            <w:r>
              <w:rPr>
                <w:rFonts w:ascii="Arial" w:cs="Arial" w:eastAsia="Arial" w:hAnsi="Arial"/>
                <w:sz w:val="13"/>
                <w:szCs w:val="13"/>
                <w:b w:val="1"/>
                <w:bCs w:val="1"/>
                <w:color w:val="0E1020"/>
                <w:w w:val="97"/>
              </w:rPr>
              <w:t>PEO - Mr. Salvino</w:t>
            </w:r>
            <w:r>
              <w:rPr>
                <w:rFonts w:ascii="Arial" w:cs="Arial" w:eastAsia="Arial" w:hAnsi="Arial"/>
                <w:sz w:val="16"/>
                <w:szCs w:val="16"/>
                <w:b w:val="1"/>
                <w:bCs w:val="1"/>
                <w:color w:val="0E1020"/>
                <w:w w:val="97"/>
                <w:vertAlign w:val="superscript"/>
              </w:rPr>
              <w:t>(1)</w:t>
            </w:r>
          </w:p>
        </w:tc>
        <w:tc>
          <w:tcPr>
            <w:tcW w:w="128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rPr>
              <w:t>for Non-PEO</w:t>
            </w:r>
          </w:p>
        </w:tc>
        <w:tc>
          <w:tcPr>
            <w:tcW w:w="1220" w:type="dxa"/>
            <w:vAlign w:val="bottom"/>
            <w:shd w:val="clear" w:color="auto" w:fill="F6F3F0"/>
          </w:tcPr>
          <w:p>
            <w:pPr>
              <w:jc w:val="right"/>
              <w:spacing w:after="0" w:line="161" w:lineRule="exact"/>
              <w:rPr>
                <w:sz w:val="20"/>
                <w:szCs w:val="20"/>
                <w:color w:val="auto"/>
              </w:rPr>
            </w:pPr>
            <w:r>
              <w:rPr>
                <w:rFonts w:ascii="Arial" w:cs="Arial" w:eastAsia="Arial" w:hAnsi="Arial"/>
                <w:sz w:val="13"/>
                <w:szCs w:val="13"/>
                <w:b w:val="1"/>
                <w:bCs w:val="1"/>
                <w:color w:val="0E1020"/>
                <w:w w:val="96"/>
              </w:rPr>
              <w:t>Non-PEO NEOs</w:t>
            </w:r>
            <w:r>
              <w:rPr>
                <w:rFonts w:ascii="Arial" w:cs="Arial" w:eastAsia="Arial" w:hAnsi="Arial"/>
                <w:sz w:val="16"/>
                <w:szCs w:val="16"/>
                <w:b w:val="1"/>
                <w:bCs w:val="1"/>
                <w:color w:val="0E1020"/>
                <w:w w:val="96"/>
                <w:vertAlign w:val="superscript"/>
              </w:rPr>
              <w:t>(1)(2)</w:t>
            </w:r>
          </w:p>
        </w:tc>
        <w:tc>
          <w:tcPr>
            <w:tcW w:w="80" w:type="dxa"/>
            <w:vAlign w:val="bottom"/>
            <w:shd w:val="clear" w:color="auto" w:fill="F6F3F0"/>
          </w:tcPr>
          <w:p>
            <w:pPr>
              <w:spacing w:after="0"/>
              <w:rPr>
                <w:sz w:val="13"/>
                <w:szCs w:val="13"/>
                <w:color w:val="auto"/>
              </w:rPr>
            </w:pPr>
          </w:p>
        </w:tc>
        <w:tc>
          <w:tcPr>
            <w:tcW w:w="600" w:type="dxa"/>
            <w:vAlign w:val="bottom"/>
            <w:vMerge w:val="restart"/>
            <w:shd w:val="clear" w:color="auto" w:fill="F6F3F0"/>
          </w:tcPr>
          <w:p>
            <w:pPr>
              <w:jc w:val="right"/>
              <w:spacing w:after="0"/>
              <w:rPr>
                <w:sz w:val="20"/>
                <w:szCs w:val="20"/>
                <w:color w:val="auto"/>
              </w:rPr>
            </w:pPr>
            <w:r>
              <w:rPr>
                <w:rFonts w:ascii="Arial" w:cs="Arial" w:eastAsia="Arial" w:hAnsi="Arial"/>
                <w:sz w:val="13"/>
                <w:szCs w:val="13"/>
                <w:b w:val="1"/>
                <w:bCs w:val="1"/>
                <w:color w:val="0E1020"/>
              </w:rPr>
              <w:t>TSR</w:t>
            </w:r>
          </w:p>
        </w:tc>
        <w:tc>
          <w:tcPr>
            <w:tcW w:w="68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rPr>
              <w:t>Group</w:t>
            </w:r>
          </w:p>
        </w:tc>
        <w:tc>
          <w:tcPr>
            <w:tcW w:w="80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rPr>
              <w:t>Income</w:t>
            </w:r>
          </w:p>
        </w:tc>
        <w:tc>
          <w:tcPr>
            <w:tcW w:w="900" w:type="dxa"/>
            <w:vAlign w:val="bottom"/>
            <w:shd w:val="clear" w:color="auto" w:fill="F6F3F0"/>
          </w:tcPr>
          <w:p>
            <w:pPr>
              <w:jc w:val="right"/>
              <w:ind w:right="57"/>
              <w:spacing w:after="0" w:line="161" w:lineRule="exact"/>
              <w:rPr>
                <w:sz w:val="20"/>
                <w:szCs w:val="20"/>
                <w:color w:val="auto"/>
              </w:rPr>
            </w:pPr>
            <w:r>
              <w:rPr>
                <w:rFonts w:ascii="Arial" w:cs="Arial" w:eastAsia="Arial" w:hAnsi="Arial"/>
                <w:sz w:val="13"/>
                <w:szCs w:val="13"/>
                <w:b w:val="1"/>
                <w:bCs w:val="1"/>
                <w:color w:val="0E1020"/>
              </w:rPr>
              <w:t>Flow</w:t>
            </w:r>
            <w:r>
              <w:rPr>
                <w:rFonts w:ascii="Arial" w:cs="Arial" w:eastAsia="Arial" w:hAnsi="Arial"/>
                <w:sz w:val="16"/>
                <w:szCs w:val="16"/>
                <w:b w:val="1"/>
                <w:bCs w:val="1"/>
                <w:color w:val="0E1020"/>
                <w:vertAlign w:val="superscript"/>
              </w:rPr>
              <w:t>(5)</w:t>
            </w:r>
          </w:p>
        </w:tc>
        <w:tc>
          <w:tcPr>
            <w:tcW w:w="0" w:type="dxa"/>
            <w:vAlign w:val="bottom"/>
          </w:tcPr>
          <w:p>
            <w:pPr>
              <w:spacing w:after="0"/>
              <w:rPr>
                <w:sz w:val="1"/>
                <w:szCs w:val="1"/>
                <w:color w:val="auto"/>
              </w:rPr>
            </w:pPr>
          </w:p>
        </w:tc>
      </w:tr>
      <w:tr>
        <w:trPr>
          <w:trHeight w:val="130"/>
        </w:trPr>
        <w:tc>
          <w:tcPr>
            <w:tcW w:w="580" w:type="dxa"/>
            <w:vAlign w:val="bottom"/>
            <w:vMerge w:val="continue"/>
            <w:shd w:val="clear" w:color="auto" w:fill="F6F3F0"/>
          </w:tcPr>
          <w:p>
            <w:pPr>
              <w:spacing w:after="0"/>
              <w:rPr>
                <w:sz w:val="11"/>
                <w:szCs w:val="11"/>
                <w:color w:val="auto"/>
              </w:rPr>
            </w:pPr>
          </w:p>
        </w:tc>
        <w:tc>
          <w:tcPr>
            <w:tcW w:w="1240" w:type="dxa"/>
            <w:vAlign w:val="bottom"/>
            <w:shd w:val="clear" w:color="auto" w:fill="F6F3F0"/>
          </w:tcPr>
          <w:p>
            <w:pPr>
              <w:jc w:val="right"/>
              <w:spacing w:after="0" w:line="130" w:lineRule="exact"/>
              <w:rPr>
                <w:sz w:val="20"/>
                <w:szCs w:val="20"/>
                <w:color w:val="auto"/>
              </w:rPr>
            </w:pPr>
            <w:r>
              <w:rPr>
                <w:rFonts w:ascii="Arial" w:cs="Arial" w:eastAsia="Arial" w:hAnsi="Arial"/>
                <w:sz w:val="12"/>
                <w:szCs w:val="12"/>
                <w:b w:val="1"/>
                <w:bCs w:val="1"/>
                <w:color w:val="0E1020"/>
              </w:rPr>
              <w:t>Fernandez</w:t>
            </w:r>
            <w:r>
              <w:rPr>
                <w:rFonts w:ascii="Arial" w:cs="Arial" w:eastAsia="Arial" w:hAnsi="Arial"/>
                <w:sz w:val="15"/>
                <w:szCs w:val="15"/>
                <w:b w:val="1"/>
                <w:bCs w:val="1"/>
                <w:color w:val="0E1020"/>
                <w:vertAlign w:val="superscript"/>
              </w:rPr>
              <w:t>(1)</w:t>
            </w:r>
          </w:p>
        </w:tc>
        <w:tc>
          <w:tcPr>
            <w:tcW w:w="1340" w:type="dxa"/>
            <w:vAlign w:val="bottom"/>
            <w:shd w:val="clear" w:color="auto" w:fill="F6F3F0"/>
          </w:tcPr>
          <w:p>
            <w:pPr>
              <w:jc w:val="right"/>
              <w:ind w:right="58"/>
              <w:spacing w:after="0" w:line="130" w:lineRule="exact"/>
              <w:rPr>
                <w:sz w:val="20"/>
                <w:szCs w:val="20"/>
                <w:color w:val="auto"/>
              </w:rPr>
            </w:pPr>
            <w:r>
              <w:rPr>
                <w:rFonts w:ascii="Arial" w:cs="Arial" w:eastAsia="Arial" w:hAnsi="Arial"/>
                <w:sz w:val="12"/>
                <w:szCs w:val="12"/>
                <w:b w:val="1"/>
                <w:bCs w:val="1"/>
                <w:color w:val="0E1020"/>
              </w:rPr>
              <w:t>Salvino</w:t>
            </w:r>
            <w:r>
              <w:rPr>
                <w:rFonts w:ascii="Arial" w:cs="Arial" w:eastAsia="Arial" w:hAnsi="Arial"/>
                <w:sz w:val="15"/>
                <w:szCs w:val="15"/>
                <w:b w:val="1"/>
                <w:bCs w:val="1"/>
                <w:color w:val="0E1020"/>
                <w:vertAlign w:val="superscript"/>
              </w:rPr>
              <w:t>(1)</w:t>
            </w:r>
          </w:p>
        </w:tc>
        <w:tc>
          <w:tcPr>
            <w:tcW w:w="1300" w:type="dxa"/>
            <w:vAlign w:val="bottom"/>
            <w:shd w:val="clear" w:color="auto" w:fill="F6F3F0"/>
          </w:tcPr>
          <w:p>
            <w:pPr>
              <w:jc w:val="right"/>
              <w:spacing w:after="0" w:line="130" w:lineRule="exact"/>
              <w:rPr>
                <w:sz w:val="20"/>
                <w:szCs w:val="20"/>
                <w:color w:val="auto"/>
              </w:rPr>
            </w:pPr>
            <w:r>
              <w:rPr>
                <w:rFonts w:ascii="Arial" w:cs="Arial" w:eastAsia="Arial" w:hAnsi="Arial"/>
                <w:sz w:val="12"/>
                <w:szCs w:val="12"/>
                <w:b w:val="1"/>
                <w:bCs w:val="1"/>
                <w:color w:val="0E1020"/>
              </w:rPr>
              <w:t>Mr. Fernandez</w:t>
            </w:r>
            <w:r>
              <w:rPr>
                <w:rFonts w:ascii="Arial" w:cs="Arial" w:eastAsia="Arial" w:hAnsi="Arial"/>
                <w:sz w:val="15"/>
                <w:szCs w:val="15"/>
                <w:b w:val="1"/>
                <w:bCs w:val="1"/>
                <w:color w:val="0E1020"/>
                <w:vertAlign w:val="superscript"/>
              </w:rPr>
              <w:t>(1)(2)(3)</w:t>
            </w:r>
          </w:p>
        </w:tc>
        <w:tc>
          <w:tcPr>
            <w:tcW w:w="1220" w:type="dxa"/>
            <w:vAlign w:val="bottom"/>
            <w:shd w:val="clear" w:color="auto" w:fill="F6F3F0"/>
          </w:tcPr>
          <w:p>
            <w:pPr>
              <w:jc w:val="right"/>
              <w:spacing w:after="0"/>
              <w:rPr>
                <w:sz w:val="20"/>
                <w:szCs w:val="20"/>
                <w:color w:val="auto"/>
              </w:rPr>
            </w:pPr>
            <w:r>
              <w:rPr>
                <w:rFonts w:ascii="Arial" w:cs="Arial" w:eastAsia="Arial" w:hAnsi="Arial"/>
                <w:sz w:val="8"/>
                <w:szCs w:val="8"/>
                <w:b w:val="1"/>
                <w:bCs w:val="1"/>
                <w:color w:val="0E1020"/>
              </w:rPr>
              <w:t>(2)(3)</w:t>
            </w:r>
          </w:p>
        </w:tc>
        <w:tc>
          <w:tcPr>
            <w:tcW w:w="1280" w:type="dxa"/>
            <w:vAlign w:val="bottom"/>
            <w:shd w:val="clear" w:color="auto" w:fill="F6F3F0"/>
          </w:tcPr>
          <w:p>
            <w:pPr>
              <w:jc w:val="right"/>
              <w:spacing w:after="0" w:line="130" w:lineRule="exact"/>
              <w:rPr>
                <w:sz w:val="20"/>
                <w:szCs w:val="20"/>
                <w:color w:val="auto"/>
              </w:rPr>
            </w:pPr>
            <w:r>
              <w:rPr>
                <w:rFonts w:ascii="Arial" w:cs="Arial" w:eastAsia="Arial" w:hAnsi="Arial"/>
                <w:sz w:val="12"/>
                <w:szCs w:val="12"/>
                <w:b w:val="1"/>
                <w:bCs w:val="1"/>
                <w:color w:val="0E1020"/>
              </w:rPr>
              <w:t>NEOs</w:t>
            </w:r>
            <w:r>
              <w:rPr>
                <w:rFonts w:ascii="Arial" w:cs="Arial" w:eastAsia="Arial" w:hAnsi="Arial"/>
                <w:sz w:val="15"/>
                <w:szCs w:val="15"/>
                <w:b w:val="1"/>
                <w:bCs w:val="1"/>
                <w:color w:val="0E1020"/>
                <w:vertAlign w:val="superscript"/>
              </w:rPr>
              <w:t>(1)</w:t>
            </w:r>
          </w:p>
        </w:tc>
        <w:tc>
          <w:tcPr>
            <w:tcW w:w="1220" w:type="dxa"/>
            <w:vAlign w:val="bottom"/>
            <w:shd w:val="clear" w:color="auto" w:fill="F6F3F0"/>
          </w:tcPr>
          <w:p>
            <w:pPr>
              <w:jc w:val="right"/>
              <w:spacing w:after="0"/>
              <w:rPr>
                <w:sz w:val="20"/>
                <w:szCs w:val="20"/>
                <w:color w:val="auto"/>
              </w:rPr>
            </w:pPr>
            <w:r>
              <w:rPr>
                <w:rFonts w:ascii="Arial" w:cs="Arial" w:eastAsia="Arial" w:hAnsi="Arial"/>
                <w:sz w:val="8"/>
                <w:szCs w:val="8"/>
                <w:b w:val="1"/>
                <w:bCs w:val="1"/>
                <w:color w:val="0E1020"/>
              </w:rPr>
              <w:t>(3)</w:t>
            </w:r>
          </w:p>
        </w:tc>
        <w:tc>
          <w:tcPr>
            <w:tcW w:w="80" w:type="dxa"/>
            <w:vAlign w:val="bottom"/>
            <w:shd w:val="clear" w:color="auto" w:fill="F6F3F0"/>
          </w:tcPr>
          <w:p>
            <w:pPr>
              <w:spacing w:after="0"/>
              <w:rPr>
                <w:sz w:val="11"/>
                <w:szCs w:val="11"/>
                <w:color w:val="auto"/>
              </w:rPr>
            </w:pPr>
          </w:p>
        </w:tc>
        <w:tc>
          <w:tcPr>
            <w:tcW w:w="600" w:type="dxa"/>
            <w:vAlign w:val="bottom"/>
            <w:vMerge w:val="continue"/>
            <w:shd w:val="clear" w:color="auto" w:fill="F6F3F0"/>
          </w:tcPr>
          <w:p>
            <w:pPr>
              <w:spacing w:after="0"/>
              <w:rPr>
                <w:sz w:val="11"/>
                <w:szCs w:val="11"/>
                <w:color w:val="auto"/>
              </w:rPr>
            </w:pPr>
          </w:p>
        </w:tc>
        <w:tc>
          <w:tcPr>
            <w:tcW w:w="680" w:type="dxa"/>
            <w:vAlign w:val="bottom"/>
            <w:shd w:val="clear" w:color="auto" w:fill="F6F3F0"/>
          </w:tcPr>
          <w:p>
            <w:pPr>
              <w:jc w:val="right"/>
              <w:spacing w:after="0" w:line="130" w:lineRule="exact"/>
              <w:rPr>
                <w:sz w:val="20"/>
                <w:szCs w:val="20"/>
                <w:color w:val="auto"/>
              </w:rPr>
            </w:pPr>
            <w:r>
              <w:rPr>
                <w:rFonts w:ascii="Arial" w:cs="Arial" w:eastAsia="Arial" w:hAnsi="Arial"/>
                <w:sz w:val="12"/>
                <w:szCs w:val="12"/>
                <w:b w:val="1"/>
                <w:bCs w:val="1"/>
                <w:color w:val="0E1020"/>
              </w:rPr>
              <w:t>TSR</w:t>
            </w:r>
            <w:r>
              <w:rPr>
                <w:rFonts w:ascii="Arial" w:cs="Arial" w:eastAsia="Arial" w:hAnsi="Arial"/>
                <w:sz w:val="15"/>
                <w:szCs w:val="15"/>
                <w:b w:val="1"/>
                <w:bCs w:val="1"/>
                <w:color w:val="0E1020"/>
                <w:vertAlign w:val="superscript"/>
              </w:rPr>
              <w:t>(4)</w:t>
            </w:r>
          </w:p>
        </w:tc>
        <w:tc>
          <w:tcPr>
            <w:tcW w:w="800" w:type="dxa"/>
            <w:vAlign w:val="bottom"/>
            <w:shd w:val="clear" w:color="auto" w:fill="F6F3F0"/>
          </w:tcPr>
          <w:p>
            <w:pPr>
              <w:jc w:val="right"/>
              <w:spacing w:after="0" w:line="129" w:lineRule="exact"/>
              <w:rPr>
                <w:sz w:val="20"/>
                <w:szCs w:val="20"/>
                <w:color w:val="auto"/>
              </w:rPr>
            </w:pPr>
            <w:r>
              <w:rPr>
                <w:rFonts w:ascii="Arial" w:cs="Arial" w:eastAsia="Arial" w:hAnsi="Arial"/>
                <w:sz w:val="13"/>
                <w:szCs w:val="13"/>
                <w:b w:val="1"/>
                <w:bCs w:val="1"/>
                <w:color w:val="0E1020"/>
              </w:rPr>
              <w:t>($ in</w:t>
            </w:r>
          </w:p>
        </w:tc>
        <w:tc>
          <w:tcPr>
            <w:tcW w:w="900" w:type="dxa"/>
            <w:vAlign w:val="bottom"/>
            <w:shd w:val="clear" w:color="auto" w:fill="F6F3F0"/>
          </w:tcPr>
          <w:p>
            <w:pPr>
              <w:ind w:left="540"/>
              <w:spacing w:after="0" w:line="129" w:lineRule="exact"/>
              <w:rPr>
                <w:sz w:val="20"/>
                <w:szCs w:val="20"/>
                <w:color w:val="auto"/>
              </w:rPr>
            </w:pPr>
            <w:r>
              <w:rPr>
                <w:rFonts w:ascii="Arial" w:cs="Arial" w:eastAsia="Arial" w:hAnsi="Arial"/>
                <w:sz w:val="13"/>
                <w:szCs w:val="13"/>
                <w:b w:val="1"/>
                <w:bCs w:val="1"/>
                <w:color w:val="0E1020"/>
              </w:rPr>
              <w:t>($ in</w:t>
            </w:r>
          </w:p>
        </w:tc>
        <w:tc>
          <w:tcPr>
            <w:tcW w:w="0" w:type="dxa"/>
            <w:vAlign w:val="bottom"/>
          </w:tcPr>
          <w:p>
            <w:pPr>
              <w:spacing w:after="0"/>
              <w:rPr>
                <w:sz w:val="1"/>
                <w:szCs w:val="1"/>
                <w:color w:val="auto"/>
              </w:rPr>
            </w:pPr>
          </w:p>
        </w:tc>
      </w:tr>
      <w:tr>
        <w:trPr>
          <w:trHeight w:val="185"/>
        </w:trPr>
        <w:tc>
          <w:tcPr>
            <w:tcW w:w="580" w:type="dxa"/>
            <w:vAlign w:val="bottom"/>
            <w:shd w:val="clear" w:color="auto" w:fill="F6F3F0"/>
          </w:tcPr>
          <w:p>
            <w:pPr>
              <w:jc w:val="center"/>
              <w:spacing w:after="0"/>
              <w:rPr>
                <w:sz w:val="20"/>
                <w:szCs w:val="20"/>
                <w:color w:val="auto"/>
              </w:rPr>
            </w:pPr>
            <w:r>
              <w:rPr>
                <w:rFonts w:ascii="Arial" w:cs="Arial" w:eastAsia="Arial" w:hAnsi="Arial"/>
                <w:sz w:val="13"/>
                <w:szCs w:val="13"/>
                <w:b w:val="1"/>
                <w:bCs w:val="1"/>
                <w:color w:val="0E1020"/>
                <w:w w:val="92"/>
              </w:rPr>
              <w:t>Year</w:t>
            </w:r>
          </w:p>
        </w:tc>
        <w:tc>
          <w:tcPr>
            <w:tcW w:w="124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rPr>
              <w:t>($)</w:t>
            </w:r>
          </w:p>
        </w:tc>
        <w:tc>
          <w:tcPr>
            <w:tcW w:w="1340" w:type="dxa"/>
            <w:vAlign w:val="bottom"/>
            <w:shd w:val="clear" w:color="auto" w:fill="F6F3F0"/>
          </w:tcPr>
          <w:p>
            <w:pPr>
              <w:jc w:val="right"/>
              <w:ind w:right="58"/>
              <w:spacing w:after="0"/>
              <w:rPr>
                <w:sz w:val="20"/>
                <w:szCs w:val="20"/>
                <w:color w:val="auto"/>
              </w:rPr>
            </w:pPr>
            <w:r>
              <w:rPr>
                <w:rFonts w:ascii="Arial" w:cs="Arial" w:eastAsia="Arial" w:hAnsi="Arial"/>
                <w:sz w:val="13"/>
                <w:szCs w:val="13"/>
                <w:b w:val="1"/>
                <w:bCs w:val="1"/>
                <w:color w:val="0E1020"/>
              </w:rPr>
              <w:t>($)</w:t>
            </w:r>
          </w:p>
        </w:tc>
        <w:tc>
          <w:tcPr>
            <w:tcW w:w="130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rPr>
              <w:t>($)</w:t>
            </w:r>
          </w:p>
        </w:tc>
        <w:tc>
          <w:tcPr>
            <w:tcW w:w="122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rPr>
              <w:t>($)</w:t>
            </w:r>
          </w:p>
        </w:tc>
        <w:tc>
          <w:tcPr>
            <w:tcW w:w="128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rPr>
              <w:t>($)</w:t>
            </w:r>
          </w:p>
        </w:tc>
        <w:tc>
          <w:tcPr>
            <w:tcW w:w="122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rPr>
              <w:t>($)</w:t>
            </w:r>
          </w:p>
        </w:tc>
        <w:tc>
          <w:tcPr>
            <w:tcW w:w="80" w:type="dxa"/>
            <w:vAlign w:val="bottom"/>
            <w:shd w:val="clear" w:color="auto" w:fill="F6F3F0"/>
          </w:tcPr>
          <w:p>
            <w:pPr>
              <w:spacing w:after="0"/>
              <w:rPr>
                <w:sz w:val="16"/>
                <w:szCs w:val="16"/>
                <w:color w:val="auto"/>
              </w:rPr>
            </w:pPr>
          </w:p>
        </w:tc>
        <w:tc>
          <w:tcPr>
            <w:tcW w:w="60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rPr>
              <w:t>($)</w:t>
            </w:r>
          </w:p>
        </w:tc>
        <w:tc>
          <w:tcPr>
            <w:tcW w:w="68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rPr>
              <w:t>($)</w:t>
            </w:r>
          </w:p>
        </w:tc>
        <w:tc>
          <w:tcPr>
            <w:tcW w:w="800" w:type="dxa"/>
            <w:vAlign w:val="bottom"/>
            <w:shd w:val="clear" w:color="auto" w:fill="F6F3F0"/>
          </w:tcPr>
          <w:p>
            <w:pPr>
              <w:jc w:val="right"/>
              <w:spacing w:after="0"/>
              <w:rPr>
                <w:sz w:val="20"/>
                <w:szCs w:val="20"/>
                <w:color w:val="auto"/>
              </w:rPr>
            </w:pPr>
            <w:r>
              <w:rPr>
                <w:rFonts w:ascii="Arial" w:cs="Arial" w:eastAsia="Arial" w:hAnsi="Arial"/>
                <w:sz w:val="13"/>
                <w:szCs w:val="13"/>
                <w:b w:val="1"/>
                <w:bCs w:val="1"/>
                <w:color w:val="0E1020"/>
              </w:rPr>
              <w:t>millions)</w:t>
            </w:r>
          </w:p>
        </w:tc>
        <w:tc>
          <w:tcPr>
            <w:tcW w:w="900" w:type="dxa"/>
            <w:vAlign w:val="bottom"/>
            <w:shd w:val="clear" w:color="auto" w:fill="F6F3F0"/>
          </w:tcPr>
          <w:p>
            <w:pPr>
              <w:jc w:val="right"/>
              <w:ind w:right="57"/>
              <w:spacing w:after="0"/>
              <w:rPr>
                <w:sz w:val="20"/>
                <w:szCs w:val="20"/>
                <w:color w:val="auto"/>
              </w:rPr>
            </w:pPr>
            <w:r>
              <w:rPr>
                <w:rFonts w:ascii="Arial" w:cs="Arial" w:eastAsia="Arial" w:hAnsi="Arial"/>
                <w:sz w:val="13"/>
                <w:szCs w:val="13"/>
                <w:b w:val="1"/>
                <w:bCs w:val="1"/>
                <w:color w:val="0E1020"/>
              </w:rPr>
              <w:t>millions)</w:t>
            </w:r>
          </w:p>
        </w:tc>
        <w:tc>
          <w:tcPr>
            <w:tcW w:w="0" w:type="dxa"/>
            <w:vAlign w:val="bottom"/>
          </w:tcPr>
          <w:p>
            <w:pPr>
              <w:spacing w:after="0"/>
              <w:rPr>
                <w:sz w:val="1"/>
                <w:szCs w:val="1"/>
                <w:color w:val="auto"/>
              </w:rPr>
            </w:pPr>
          </w:p>
        </w:tc>
      </w:tr>
      <w:tr>
        <w:trPr>
          <w:trHeight w:val="75"/>
        </w:trPr>
        <w:tc>
          <w:tcPr>
            <w:tcW w:w="580" w:type="dxa"/>
            <w:vAlign w:val="bottom"/>
            <w:tcBorders>
              <w:bottom w:val="single" w:sz="8" w:color="CFCFD2"/>
            </w:tcBorders>
            <w:shd w:val="clear" w:color="auto" w:fill="F6F3F0"/>
          </w:tcPr>
          <w:p>
            <w:pPr>
              <w:spacing w:after="0"/>
              <w:rPr>
                <w:sz w:val="6"/>
                <w:szCs w:val="6"/>
                <w:color w:val="auto"/>
              </w:rPr>
            </w:pPr>
          </w:p>
        </w:tc>
        <w:tc>
          <w:tcPr>
            <w:tcW w:w="1240" w:type="dxa"/>
            <w:vAlign w:val="bottom"/>
            <w:tcBorders>
              <w:bottom w:val="single" w:sz="8" w:color="CFCFD2"/>
            </w:tcBorders>
            <w:shd w:val="clear" w:color="auto" w:fill="F6F3F0"/>
          </w:tcPr>
          <w:p>
            <w:pPr>
              <w:spacing w:after="0"/>
              <w:rPr>
                <w:sz w:val="6"/>
                <w:szCs w:val="6"/>
                <w:color w:val="auto"/>
              </w:rPr>
            </w:pPr>
          </w:p>
        </w:tc>
        <w:tc>
          <w:tcPr>
            <w:tcW w:w="1340" w:type="dxa"/>
            <w:vAlign w:val="bottom"/>
            <w:tcBorders>
              <w:bottom w:val="single" w:sz="8" w:color="CFCFD2"/>
            </w:tcBorders>
            <w:shd w:val="clear" w:color="auto" w:fill="F6F3F0"/>
          </w:tcPr>
          <w:p>
            <w:pPr>
              <w:spacing w:after="0"/>
              <w:rPr>
                <w:sz w:val="6"/>
                <w:szCs w:val="6"/>
                <w:color w:val="auto"/>
              </w:rPr>
            </w:pPr>
          </w:p>
        </w:tc>
        <w:tc>
          <w:tcPr>
            <w:tcW w:w="1300" w:type="dxa"/>
            <w:vAlign w:val="bottom"/>
            <w:tcBorders>
              <w:bottom w:val="single" w:sz="8" w:color="CFCFD2"/>
            </w:tcBorders>
            <w:shd w:val="clear" w:color="auto" w:fill="F6F3F0"/>
          </w:tcPr>
          <w:p>
            <w:pPr>
              <w:spacing w:after="0"/>
              <w:rPr>
                <w:sz w:val="6"/>
                <w:szCs w:val="6"/>
                <w:color w:val="auto"/>
              </w:rPr>
            </w:pPr>
          </w:p>
        </w:tc>
        <w:tc>
          <w:tcPr>
            <w:tcW w:w="1220" w:type="dxa"/>
            <w:vAlign w:val="bottom"/>
            <w:tcBorders>
              <w:bottom w:val="single" w:sz="8" w:color="CFCFD2"/>
            </w:tcBorders>
            <w:shd w:val="clear" w:color="auto" w:fill="F6F3F0"/>
          </w:tcPr>
          <w:p>
            <w:pPr>
              <w:spacing w:after="0"/>
              <w:rPr>
                <w:sz w:val="6"/>
                <w:szCs w:val="6"/>
                <w:color w:val="auto"/>
              </w:rPr>
            </w:pPr>
          </w:p>
        </w:tc>
        <w:tc>
          <w:tcPr>
            <w:tcW w:w="1280" w:type="dxa"/>
            <w:vAlign w:val="bottom"/>
            <w:tcBorders>
              <w:bottom w:val="single" w:sz="8" w:color="CFCFD2"/>
            </w:tcBorders>
            <w:shd w:val="clear" w:color="auto" w:fill="F6F3F0"/>
          </w:tcPr>
          <w:p>
            <w:pPr>
              <w:spacing w:after="0"/>
              <w:rPr>
                <w:sz w:val="6"/>
                <w:szCs w:val="6"/>
                <w:color w:val="auto"/>
              </w:rPr>
            </w:pPr>
          </w:p>
        </w:tc>
        <w:tc>
          <w:tcPr>
            <w:tcW w:w="1220" w:type="dxa"/>
            <w:vAlign w:val="bottom"/>
            <w:tcBorders>
              <w:bottom w:val="single" w:sz="8" w:color="CFCFD2"/>
            </w:tcBorders>
            <w:shd w:val="clear" w:color="auto" w:fill="F6F3F0"/>
          </w:tcPr>
          <w:p>
            <w:pPr>
              <w:spacing w:after="0"/>
              <w:rPr>
                <w:sz w:val="6"/>
                <w:szCs w:val="6"/>
                <w:color w:val="auto"/>
              </w:rPr>
            </w:pPr>
          </w:p>
        </w:tc>
        <w:tc>
          <w:tcPr>
            <w:tcW w:w="80" w:type="dxa"/>
            <w:vAlign w:val="bottom"/>
            <w:tcBorders>
              <w:bottom w:val="single" w:sz="8" w:color="CFCFD2"/>
            </w:tcBorders>
            <w:shd w:val="clear" w:color="auto" w:fill="F6F3F0"/>
          </w:tcPr>
          <w:p>
            <w:pPr>
              <w:spacing w:after="0"/>
              <w:rPr>
                <w:sz w:val="6"/>
                <w:szCs w:val="6"/>
                <w:color w:val="auto"/>
              </w:rPr>
            </w:pPr>
          </w:p>
        </w:tc>
        <w:tc>
          <w:tcPr>
            <w:tcW w:w="600" w:type="dxa"/>
            <w:vAlign w:val="bottom"/>
            <w:tcBorders>
              <w:bottom w:val="single" w:sz="8" w:color="CFCFD2"/>
            </w:tcBorders>
            <w:shd w:val="clear" w:color="auto" w:fill="F6F3F0"/>
          </w:tcPr>
          <w:p>
            <w:pPr>
              <w:spacing w:after="0"/>
              <w:rPr>
                <w:sz w:val="6"/>
                <w:szCs w:val="6"/>
                <w:color w:val="auto"/>
              </w:rPr>
            </w:pPr>
          </w:p>
        </w:tc>
        <w:tc>
          <w:tcPr>
            <w:tcW w:w="680" w:type="dxa"/>
            <w:vAlign w:val="bottom"/>
            <w:tcBorders>
              <w:bottom w:val="single" w:sz="8" w:color="CFCFD2"/>
            </w:tcBorders>
            <w:shd w:val="clear" w:color="auto" w:fill="F6F3F0"/>
          </w:tcPr>
          <w:p>
            <w:pPr>
              <w:spacing w:after="0"/>
              <w:rPr>
                <w:sz w:val="6"/>
                <w:szCs w:val="6"/>
                <w:color w:val="auto"/>
              </w:rPr>
            </w:pPr>
          </w:p>
        </w:tc>
        <w:tc>
          <w:tcPr>
            <w:tcW w:w="800" w:type="dxa"/>
            <w:vAlign w:val="bottom"/>
            <w:tcBorders>
              <w:bottom w:val="single" w:sz="8" w:color="CFCFD2"/>
            </w:tcBorders>
            <w:shd w:val="clear" w:color="auto" w:fill="F6F3F0"/>
          </w:tcPr>
          <w:p>
            <w:pPr>
              <w:spacing w:after="0"/>
              <w:rPr>
                <w:sz w:val="6"/>
                <w:szCs w:val="6"/>
                <w:color w:val="auto"/>
              </w:rPr>
            </w:pPr>
          </w:p>
        </w:tc>
        <w:tc>
          <w:tcPr>
            <w:tcW w:w="900" w:type="dxa"/>
            <w:vAlign w:val="bottom"/>
            <w:tcBorders>
              <w:bottom w:val="single" w:sz="8" w:color="CFCFD2"/>
            </w:tcBorders>
            <w:shd w:val="clear" w:color="auto" w:fill="F6F3F0"/>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580" w:type="dxa"/>
            <w:vAlign w:val="bottom"/>
          </w:tcPr>
          <w:p>
            <w:pPr>
              <w:jc w:val="center"/>
              <w:spacing w:after="0"/>
              <w:rPr>
                <w:sz w:val="20"/>
                <w:szCs w:val="20"/>
                <w:color w:val="auto"/>
              </w:rPr>
            </w:pPr>
            <w:r>
              <w:rPr>
                <w:rFonts w:ascii="Arial" w:cs="Arial" w:eastAsia="Arial" w:hAnsi="Arial"/>
                <w:sz w:val="13"/>
                <w:szCs w:val="13"/>
                <w:color w:val="0E1020"/>
                <w:w w:val="96"/>
              </w:rPr>
              <w:t>2026</w:t>
            </w:r>
          </w:p>
        </w:tc>
        <w:tc>
          <w:tcPr>
            <w:tcW w:w="1240" w:type="dxa"/>
            <w:vAlign w:val="bottom"/>
          </w:tcPr>
          <w:p>
            <w:pPr>
              <w:jc w:val="right"/>
              <w:spacing w:after="0"/>
              <w:rPr>
                <w:sz w:val="20"/>
                <w:szCs w:val="20"/>
                <w:color w:val="auto"/>
              </w:rPr>
            </w:pPr>
            <w:r>
              <w:rPr>
                <w:rFonts w:ascii="Arial" w:cs="Arial" w:eastAsia="Arial" w:hAnsi="Arial"/>
                <w:sz w:val="13"/>
                <w:szCs w:val="13"/>
                <w:color w:val="0E1020"/>
              </w:rPr>
              <w:t>47,790,716</w:t>
            </w:r>
          </w:p>
        </w:tc>
        <w:tc>
          <w:tcPr>
            <w:tcW w:w="1340" w:type="dxa"/>
            <w:vAlign w:val="bottom"/>
          </w:tcPr>
          <w:p>
            <w:pPr>
              <w:jc w:val="right"/>
              <w:ind w:right="98"/>
              <w:spacing w:after="0"/>
              <w:rPr>
                <w:sz w:val="20"/>
                <w:szCs w:val="20"/>
                <w:color w:val="auto"/>
              </w:rPr>
            </w:pPr>
            <w:r>
              <w:rPr>
                <w:rFonts w:ascii="Arial" w:cs="Arial" w:eastAsia="Arial" w:hAnsi="Arial"/>
                <w:sz w:val="13"/>
                <w:szCs w:val="13"/>
                <w:color w:val="0E1020"/>
              </w:rPr>
              <w:t>—</w:t>
            </w:r>
          </w:p>
        </w:tc>
        <w:tc>
          <w:tcPr>
            <w:tcW w:w="1300" w:type="dxa"/>
            <w:vAlign w:val="bottom"/>
          </w:tcPr>
          <w:p>
            <w:pPr>
              <w:jc w:val="right"/>
              <w:ind w:right="38"/>
              <w:spacing w:after="0"/>
              <w:rPr>
                <w:sz w:val="20"/>
                <w:szCs w:val="20"/>
                <w:color w:val="auto"/>
              </w:rPr>
            </w:pPr>
            <w:r>
              <w:rPr>
                <w:rFonts w:ascii="Arial" w:cs="Arial" w:eastAsia="Arial" w:hAnsi="Arial"/>
                <w:sz w:val="13"/>
                <w:szCs w:val="13"/>
                <w:color w:val="0E1020"/>
              </w:rPr>
              <w:t>36,447,626</w:t>
            </w:r>
          </w:p>
        </w:tc>
        <w:tc>
          <w:tcPr>
            <w:tcW w:w="1220" w:type="dxa"/>
            <w:vAlign w:val="bottom"/>
          </w:tcPr>
          <w:p>
            <w:pPr>
              <w:jc w:val="right"/>
              <w:spacing w:after="0"/>
              <w:rPr>
                <w:sz w:val="20"/>
                <w:szCs w:val="20"/>
                <w:color w:val="auto"/>
              </w:rPr>
            </w:pPr>
            <w:r>
              <w:rPr>
                <w:rFonts w:ascii="Arial" w:cs="Arial" w:eastAsia="Arial" w:hAnsi="Arial"/>
                <w:sz w:val="13"/>
                <w:szCs w:val="13"/>
                <w:color w:val="0E1020"/>
              </w:rPr>
              <w:t>—</w:t>
            </w:r>
          </w:p>
        </w:tc>
        <w:tc>
          <w:tcPr>
            <w:tcW w:w="1280" w:type="dxa"/>
            <w:vAlign w:val="bottom"/>
          </w:tcPr>
          <w:p>
            <w:pPr>
              <w:jc w:val="right"/>
              <w:ind w:right="38"/>
              <w:spacing w:after="0"/>
              <w:rPr>
                <w:sz w:val="20"/>
                <w:szCs w:val="20"/>
                <w:color w:val="auto"/>
              </w:rPr>
            </w:pPr>
            <w:r>
              <w:rPr>
                <w:rFonts w:ascii="Arial" w:cs="Arial" w:eastAsia="Arial" w:hAnsi="Arial"/>
                <w:sz w:val="13"/>
                <w:szCs w:val="13"/>
                <w:color w:val="0E1020"/>
              </w:rPr>
              <w:t>9,839,514</w:t>
            </w:r>
          </w:p>
        </w:tc>
        <w:tc>
          <w:tcPr>
            <w:tcW w:w="1220" w:type="dxa"/>
            <w:vAlign w:val="bottom"/>
          </w:tcPr>
          <w:p>
            <w:pPr>
              <w:jc w:val="right"/>
              <w:ind w:right="19"/>
              <w:spacing w:after="0"/>
              <w:rPr>
                <w:sz w:val="20"/>
                <w:szCs w:val="20"/>
                <w:color w:val="auto"/>
              </w:rPr>
            </w:pPr>
            <w:r>
              <w:rPr>
                <w:rFonts w:ascii="Arial" w:cs="Arial" w:eastAsia="Arial" w:hAnsi="Arial"/>
                <w:sz w:val="13"/>
                <w:szCs w:val="13"/>
                <w:color w:val="0E1020"/>
              </w:rPr>
              <w:t>4,787,852</w:t>
            </w:r>
          </w:p>
        </w:tc>
        <w:tc>
          <w:tcPr>
            <w:tcW w:w="680" w:type="dxa"/>
            <w:vAlign w:val="bottom"/>
            <w:gridSpan w:val="2"/>
          </w:tcPr>
          <w:p>
            <w:pPr>
              <w:jc w:val="right"/>
              <w:spacing w:after="0"/>
              <w:rPr>
                <w:sz w:val="20"/>
                <w:szCs w:val="20"/>
                <w:color w:val="auto"/>
              </w:rPr>
            </w:pPr>
            <w:r>
              <w:rPr>
                <w:rFonts w:ascii="Arial" w:cs="Arial" w:eastAsia="Arial" w:hAnsi="Arial"/>
                <w:sz w:val="13"/>
                <w:szCs w:val="13"/>
                <w:color w:val="0E1020"/>
              </w:rPr>
              <w:t>40.21</w:t>
            </w:r>
          </w:p>
        </w:tc>
        <w:tc>
          <w:tcPr>
            <w:tcW w:w="680" w:type="dxa"/>
            <w:vAlign w:val="bottom"/>
          </w:tcPr>
          <w:p>
            <w:pPr>
              <w:jc w:val="right"/>
              <w:spacing w:after="0"/>
              <w:rPr>
                <w:sz w:val="20"/>
                <w:szCs w:val="20"/>
                <w:color w:val="auto"/>
              </w:rPr>
            </w:pPr>
            <w:r>
              <w:rPr>
                <w:rFonts w:ascii="Arial" w:cs="Arial" w:eastAsia="Arial" w:hAnsi="Arial"/>
                <w:sz w:val="13"/>
                <w:szCs w:val="13"/>
                <w:color w:val="0E1020"/>
              </w:rPr>
              <w:t>134.07</w:t>
            </w:r>
          </w:p>
        </w:tc>
        <w:tc>
          <w:tcPr>
            <w:tcW w:w="800" w:type="dxa"/>
            <w:vAlign w:val="bottom"/>
          </w:tcPr>
          <w:p>
            <w:pPr>
              <w:jc w:val="right"/>
              <w:spacing w:after="0"/>
              <w:rPr>
                <w:sz w:val="20"/>
                <w:szCs w:val="20"/>
                <w:color w:val="auto"/>
              </w:rPr>
            </w:pPr>
            <w:r>
              <w:rPr>
                <w:rFonts w:ascii="Arial" w:cs="Arial" w:eastAsia="Arial" w:hAnsi="Arial"/>
                <w:sz w:val="13"/>
                <w:szCs w:val="13"/>
                <w:color w:val="0E1020"/>
              </w:rPr>
              <w:t>28</w:t>
            </w:r>
          </w:p>
        </w:tc>
        <w:tc>
          <w:tcPr>
            <w:tcW w:w="900" w:type="dxa"/>
            <w:vAlign w:val="bottom"/>
          </w:tcPr>
          <w:p>
            <w:pPr>
              <w:ind w:left="540"/>
              <w:spacing w:after="0"/>
              <w:rPr>
                <w:sz w:val="20"/>
                <w:szCs w:val="20"/>
                <w:color w:val="auto"/>
              </w:rPr>
            </w:pPr>
            <w:r>
              <w:rPr>
                <w:rFonts w:ascii="Arial" w:cs="Arial" w:eastAsia="Arial" w:hAnsi="Arial"/>
                <w:sz w:val="13"/>
                <w:szCs w:val="13"/>
                <w:color w:val="0E1020"/>
              </w:rPr>
              <w:t>713</w:t>
            </w:r>
          </w:p>
        </w:tc>
        <w:tc>
          <w:tcPr>
            <w:tcW w:w="0" w:type="dxa"/>
            <w:vAlign w:val="bottom"/>
          </w:tcPr>
          <w:p>
            <w:pPr>
              <w:spacing w:after="0"/>
              <w:rPr>
                <w:sz w:val="1"/>
                <w:szCs w:val="1"/>
                <w:color w:val="auto"/>
              </w:rPr>
            </w:pPr>
          </w:p>
        </w:tc>
      </w:tr>
      <w:tr>
        <w:trPr>
          <w:trHeight w:val="27"/>
        </w:trPr>
        <w:tc>
          <w:tcPr>
            <w:tcW w:w="580" w:type="dxa"/>
            <w:vAlign w:val="bottom"/>
            <w:tcBorders>
              <w:bottom w:val="single" w:sz="8" w:color="CFCFD2"/>
            </w:tcBorders>
          </w:tcPr>
          <w:p>
            <w:pPr>
              <w:spacing w:after="0"/>
              <w:rPr>
                <w:sz w:val="2"/>
                <w:szCs w:val="2"/>
                <w:color w:val="auto"/>
              </w:rPr>
            </w:pPr>
          </w:p>
        </w:tc>
        <w:tc>
          <w:tcPr>
            <w:tcW w:w="1240" w:type="dxa"/>
            <w:vAlign w:val="bottom"/>
            <w:tcBorders>
              <w:bottom w:val="single" w:sz="8" w:color="CFCFD2"/>
            </w:tcBorders>
          </w:tcPr>
          <w:p>
            <w:pPr>
              <w:spacing w:after="0"/>
              <w:rPr>
                <w:sz w:val="2"/>
                <w:szCs w:val="2"/>
                <w:color w:val="auto"/>
              </w:rPr>
            </w:pPr>
          </w:p>
        </w:tc>
        <w:tc>
          <w:tcPr>
            <w:tcW w:w="1340" w:type="dxa"/>
            <w:vAlign w:val="bottom"/>
            <w:tcBorders>
              <w:bottom w:val="single" w:sz="8" w:color="CFCFD2"/>
            </w:tcBorders>
          </w:tcPr>
          <w:p>
            <w:pPr>
              <w:spacing w:after="0"/>
              <w:rPr>
                <w:sz w:val="2"/>
                <w:szCs w:val="2"/>
                <w:color w:val="auto"/>
              </w:rPr>
            </w:pPr>
          </w:p>
        </w:tc>
        <w:tc>
          <w:tcPr>
            <w:tcW w:w="1300" w:type="dxa"/>
            <w:vAlign w:val="bottom"/>
            <w:tcBorders>
              <w:bottom w:val="single" w:sz="8" w:color="CFCFD2"/>
            </w:tcBorders>
          </w:tcPr>
          <w:p>
            <w:pPr>
              <w:spacing w:after="0"/>
              <w:rPr>
                <w:sz w:val="2"/>
                <w:szCs w:val="2"/>
                <w:color w:val="auto"/>
              </w:rPr>
            </w:pPr>
          </w:p>
        </w:tc>
        <w:tc>
          <w:tcPr>
            <w:tcW w:w="1220" w:type="dxa"/>
            <w:vAlign w:val="bottom"/>
            <w:tcBorders>
              <w:bottom w:val="single" w:sz="8" w:color="CFCFD2"/>
            </w:tcBorders>
          </w:tcPr>
          <w:p>
            <w:pPr>
              <w:spacing w:after="0"/>
              <w:rPr>
                <w:sz w:val="2"/>
                <w:szCs w:val="2"/>
                <w:color w:val="auto"/>
              </w:rPr>
            </w:pPr>
          </w:p>
        </w:tc>
        <w:tc>
          <w:tcPr>
            <w:tcW w:w="1280" w:type="dxa"/>
            <w:vAlign w:val="bottom"/>
            <w:tcBorders>
              <w:bottom w:val="single" w:sz="8" w:color="CFCFD2"/>
            </w:tcBorders>
          </w:tcPr>
          <w:p>
            <w:pPr>
              <w:spacing w:after="0"/>
              <w:rPr>
                <w:sz w:val="2"/>
                <w:szCs w:val="2"/>
                <w:color w:val="auto"/>
              </w:rPr>
            </w:pPr>
          </w:p>
        </w:tc>
        <w:tc>
          <w:tcPr>
            <w:tcW w:w="1220" w:type="dxa"/>
            <w:vAlign w:val="bottom"/>
            <w:tcBorders>
              <w:bottom w:val="single" w:sz="8" w:color="CFCFD2"/>
            </w:tcBorders>
          </w:tcPr>
          <w:p>
            <w:pPr>
              <w:spacing w:after="0"/>
              <w:rPr>
                <w:sz w:val="2"/>
                <w:szCs w:val="2"/>
                <w:color w:val="auto"/>
              </w:rPr>
            </w:pPr>
          </w:p>
        </w:tc>
        <w:tc>
          <w:tcPr>
            <w:tcW w:w="680" w:type="dxa"/>
            <w:vAlign w:val="bottom"/>
            <w:tcBorders>
              <w:bottom w:val="single" w:sz="8" w:color="CFCFD2"/>
            </w:tcBorders>
            <w:gridSpan w:val="2"/>
          </w:tcPr>
          <w:p>
            <w:pPr>
              <w:spacing w:after="0"/>
              <w:rPr>
                <w:sz w:val="2"/>
                <w:szCs w:val="2"/>
                <w:color w:val="auto"/>
              </w:rPr>
            </w:pPr>
          </w:p>
        </w:tc>
        <w:tc>
          <w:tcPr>
            <w:tcW w:w="680" w:type="dxa"/>
            <w:vAlign w:val="bottom"/>
            <w:tcBorders>
              <w:bottom w:val="single" w:sz="8" w:color="CFCFD2"/>
            </w:tcBorders>
          </w:tcPr>
          <w:p>
            <w:pPr>
              <w:spacing w:after="0"/>
              <w:rPr>
                <w:sz w:val="2"/>
                <w:szCs w:val="2"/>
                <w:color w:val="auto"/>
              </w:rPr>
            </w:pPr>
          </w:p>
        </w:tc>
        <w:tc>
          <w:tcPr>
            <w:tcW w:w="800" w:type="dxa"/>
            <w:vAlign w:val="bottom"/>
            <w:tcBorders>
              <w:bottom w:val="single" w:sz="8" w:color="CFCFD2"/>
            </w:tcBorders>
          </w:tcPr>
          <w:p>
            <w:pPr>
              <w:spacing w:after="0"/>
              <w:rPr>
                <w:sz w:val="2"/>
                <w:szCs w:val="2"/>
                <w:color w:val="auto"/>
              </w:rPr>
            </w:pPr>
          </w:p>
        </w:tc>
        <w:tc>
          <w:tcPr>
            <w:tcW w:w="90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80" w:type="dxa"/>
            <w:vAlign w:val="bottom"/>
          </w:tcPr>
          <w:p>
            <w:pPr>
              <w:jc w:val="center"/>
              <w:spacing w:after="0"/>
              <w:rPr>
                <w:sz w:val="20"/>
                <w:szCs w:val="20"/>
                <w:color w:val="auto"/>
              </w:rPr>
            </w:pPr>
            <w:r>
              <w:rPr>
                <w:rFonts w:ascii="Arial" w:cs="Arial" w:eastAsia="Arial" w:hAnsi="Arial"/>
                <w:sz w:val="13"/>
                <w:szCs w:val="13"/>
                <w:color w:val="0E1020"/>
                <w:w w:val="96"/>
              </w:rPr>
              <w:t>2025</w:t>
            </w:r>
          </w:p>
        </w:tc>
        <w:tc>
          <w:tcPr>
            <w:tcW w:w="1240" w:type="dxa"/>
            <w:vAlign w:val="bottom"/>
          </w:tcPr>
          <w:p>
            <w:pPr>
              <w:jc w:val="right"/>
              <w:spacing w:after="0"/>
              <w:rPr>
                <w:sz w:val="20"/>
                <w:szCs w:val="20"/>
                <w:color w:val="auto"/>
              </w:rPr>
            </w:pPr>
            <w:r>
              <w:rPr>
                <w:rFonts w:ascii="Arial" w:cs="Arial" w:eastAsia="Arial" w:hAnsi="Arial"/>
                <w:sz w:val="13"/>
                <w:szCs w:val="13"/>
                <w:color w:val="0E1020"/>
              </w:rPr>
              <w:t>16,737,748</w:t>
            </w:r>
          </w:p>
        </w:tc>
        <w:tc>
          <w:tcPr>
            <w:tcW w:w="1340" w:type="dxa"/>
            <w:vAlign w:val="bottom"/>
          </w:tcPr>
          <w:p>
            <w:pPr>
              <w:jc w:val="right"/>
              <w:ind w:right="98"/>
              <w:spacing w:after="0"/>
              <w:rPr>
                <w:sz w:val="20"/>
                <w:szCs w:val="20"/>
                <w:color w:val="auto"/>
              </w:rPr>
            </w:pPr>
            <w:r>
              <w:rPr>
                <w:rFonts w:ascii="Arial" w:cs="Arial" w:eastAsia="Arial" w:hAnsi="Arial"/>
                <w:sz w:val="13"/>
                <w:szCs w:val="13"/>
                <w:color w:val="0E1020"/>
              </w:rPr>
              <w:t>—</w:t>
            </w:r>
          </w:p>
        </w:tc>
        <w:tc>
          <w:tcPr>
            <w:tcW w:w="1300" w:type="dxa"/>
            <w:vAlign w:val="bottom"/>
          </w:tcPr>
          <w:p>
            <w:pPr>
              <w:jc w:val="right"/>
              <w:ind w:right="38"/>
              <w:spacing w:after="0"/>
              <w:rPr>
                <w:sz w:val="20"/>
                <w:szCs w:val="20"/>
                <w:color w:val="auto"/>
              </w:rPr>
            </w:pPr>
            <w:r>
              <w:rPr>
                <w:rFonts w:ascii="Arial" w:cs="Arial" w:eastAsia="Arial" w:hAnsi="Arial"/>
                <w:sz w:val="13"/>
                <w:szCs w:val="13"/>
                <w:color w:val="0E1020"/>
              </w:rPr>
              <w:t>15,205,065</w:t>
            </w:r>
          </w:p>
        </w:tc>
        <w:tc>
          <w:tcPr>
            <w:tcW w:w="1220" w:type="dxa"/>
            <w:vAlign w:val="bottom"/>
          </w:tcPr>
          <w:p>
            <w:pPr>
              <w:jc w:val="right"/>
              <w:spacing w:after="0"/>
              <w:rPr>
                <w:sz w:val="20"/>
                <w:szCs w:val="20"/>
                <w:color w:val="auto"/>
              </w:rPr>
            </w:pPr>
            <w:r>
              <w:rPr>
                <w:rFonts w:ascii="Arial" w:cs="Arial" w:eastAsia="Arial" w:hAnsi="Arial"/>
                <w:sz w:val="13"/>
                <w:szCs w:val="13"/>
                <w:color w:val="0E1020"/>
              </w:rPr>
              <w:t>—</w:t>
            </w:r>
          </w:p>
        </w:tc>
        <w:tc>
          <w:tcPr>
            <w:tcW w:w="1280" w:type="dxa"/>
            <w:vAlign w:val="bottom"/>
          </w:tcPr>
          <w:p>
            <w:pPr>
              <w:jc w:val="right"/>
              <w:ind w:right="38"/>
              <w:spacing w:after="0"/>
              <w:rPr>
                <w:sz w:val="20"/>
                <w:szCs w:val="20"/>
                <w:color w:val="auto"/>
              </w:rPr>
            </w:pPr>
            <w:r>
              <w:rPr>
                <w:rFonts w:ascii="Arial" w:cs="Arial" w:eastAsia="Arial" w:hAnsi="Arial"/>
                <w:sz w:val="13"/>
                <w:szCs w:val="13"/>
                <w:color w:val="0E1020"/>
              </w:rPr>
              <w:t>6,008,801</w:t>
            </w:r>
          </w:p>
        </w:tc>
        <w:tc>
          <w:tcPr>
            <w:tcW w:w="1220" w:type="dxa"/>
            <w:vAlign w:val="bottom"/>
          </w:tcPr>
          <w:p>
            <w:pPr>
              <w:jc w:val="right"/>
              <w:ind w:right="19"/>
              <w:spacing w:after="0"/>
              <w:rPr>
                <w:sz w:val="20"/>
                <w:szCs w:val="20"/>
                <w:color w:val="auto"/>
              </w:rPr>
            </w:pPr>
            <w:r>
              <w:rPr>
                <w:rFonts w:ascii="Arial" w:cs="Arial" w:eastAsia="Arial" w:hAnsi="Arial"/>
                <w:sz w:val="13"/>
                <w:szCs w:val="13"/>
                <w:color w:val="0E1020"/>
              </w:rPr>
              <w:t>3,329,598</w:t>
            </w:r>
          </w:p>
        </w:tc>
        <w:tc>
          <w:tcPr>
            <w:tcW w:w="680" w:type="dxa"/>
            <w:vAlign w:val="bottom"/>
            <w:gridSpan w:val="2"/>
          </w:tcPr>
          <w:p>
            <w:pPr>
              <w:jc w:val="right"/>
              <w:spacing w:after="0"/>
              <w:rPr>
                <w:sz w:val="20"/>
                <w:szCs w:val="20"/>
                <w:color w:val="auto"/>
              </w:rPr>
            </w:pPr>
            <w:r>
              <w:rPr>
                <w:rFonts w:ascii="Arial" w:cs="Arial" w:eastAsia="Arial" w:hAnsi="Arial"/>
                <w:sz w:val="13"/>
                <w:szCs w:val="13"/>
                <w:color w:val="0E1020"/>
              </w:rPr>
              <w:t>54.54</w:t>
            </w:r>
          </w:p>
        </w:tc>
        <w:tc>
          <w:tcPr>
            <w:tcW w:w="680" w:type="dxa"/>
            <w:vAlign w:val="bottom"/>
          </w:tcPr>
          <w:p>
            <w:pPr>
              <w:jc w:val="right"/>
              <w:spacing w:after="0"/>
              <w:rPr>
                <w:sz w:val="20"/>
                <w:szCs w:val="20"/>
                <w:color w:val="auto"/>
              </w:rPr>
            </w:pPr>
            <w:r>
              <w:rPr>
                <w:rFonts w:ascii="Arial" w:cs="Arial" w:eastAsia="Arial" w:hAnsi="Arial"/>
                <w:sz w:val="13"/>
                <w:szCs w:val="13"/>
                <w:color w:val="0E1020"/>
              </w:rPr>
              <w:t>89.09</w:t>
            </w:r>
          </w:p>
        </w:tc>
        <w:tc>
          <w:tcPr>
            <w:tcW w:w="800" w:type="dxa"/>
            <w:vAlign w:val="bottom"/>
          </w:tcPr>
          <w:p>
            <w:pPr>
              <w:jc w:val="right"/>
              <w:spacing w:after="0"/>
              <w:rPr>
                <w:sz w:val="20"/>
                <w:szCs w:val="20"/>
                <w:color w:val="auto"/>
              </w:rPr>
            </w:pPr>
            <w:r>
              <w:rPr>
                <w:rFonts w:ascii="Arial" w:cs="Arial" w:eastAsia="Arial" w:hAnsi="Arial"/>
                <w:sz w:val="13"/>
                <w:szCs w:val="13"/>
                <w:color w:val="0E1020"/>
              </w:rPr>
              <w:t>396</w:t>
            </w:r>
          </w:p>
        </w:tc>
        <w:tc>
          <w:tcPr>
            <w:tcW w:w="900" w:type="dxa"/>
            <w:vAlign w:val="bottom"/>
          </w:tcPr>
          <w:p>
            <w:pPr>
              <w:ind w:left="540"/>
              <w:spacing w:after="0"/>
              <w:rPr>
                <w:sz w:val="20"/>
                <w:szCs w:val="20"/>
                <w:color w:val="auto"/>
              </w:rPr>
            </w:pPr>
            <w:r>
              <w:rPr>
                <w:rFonts w:ascii="Arial" w:cs="Arial" w:eastAsia="Arial" w:hAnsi="Arial"/>
                <w:sz w:val="13"/>
                <w:szCs w:val="13"/>
                <w:color w:val="0E1020"/>
              </w:rPr>
              <w:t>687</w:t>
            </w:r>
          </w:p>
        </w:tc>
        <w:tc>
          <w:tcPr>
            <w:tcW w:w="0" w:type="dxa"/>
            <w:vAlign w:val="bottom"/>
          </w:tcPr>
          <w:p>
            <w:pPr>
              <w:spacing w:after="0"/>
              <w:rPr>
                <w:sz w:val="1"/>
                <w:szCs w:val="1"/>
                <w:color w:val="auto"/>
              </w:rPr>
            </w:pPr>
          </w:p>
        </w:tc>
      </w:tr>
      <w:tr>
        <w:trPr>
          <w:trHeight w:val="27"/>
        </w:trPr>
        <w:tc>
          <w:tcPr>
            <w:tcW w:w="580" w:type="dxa"/>
            <w:vAlign w:val="bottom"/>
            <w:tcBorders>
              <w:bottom w:val="single" w:sz="8" w:color="CFCFD2"/>
            </w:tcBorders>
          </w:tcPr>
          <w:p>
            <w:pPr>
              <w:spacing w:after="0"/>
              <w:rPr>
                <w:sz w:val="2"/>
                <w:szCs w:val="2"/>
                <w:color w:val="auto"/>
              </w:rPr>
            </w:pPr>
          </w:p>
        </w:tc>
        <w:tc>
          <w:tcPr>
            <w:tcW w:w="1240" w:type="dxa"/>
            <w:vAlign w:val="bottom"/>
            <w:tcBorders>
              <w:bottom w:val="single" w:sz="8" w:color="CFCFD2"/>
            </w:tcBorders>
          </w:tcPr>
          <w:p>
            <w:pPr>
              <w:spacing w:after="0"/>
              <w:rPr>
                <w:sz w:val="2"/>
                <w:szCs w:val="2"/>
                <w:color w:val="auto"/>
              </w:rPr>
            </w:pPr>
          </w:p>
        </w:tc>
        <w:tc>
          <w:tcPr>
            <w:tcW w:w="1340" w:type="dxa"/>
            <w:vAlign w:val="bottom"/>
            <w:tcBorders>
              <w:bottom w:val="single" w:sz="8" w:color="CFCFD2"/>
            </w:tcBorders>
          </w:tcPr>
          <w:p>
            <w:pPr>
              <w:spacing w:after="0"/>
              <w:rPr>
                <w:sz w:val="2"/>
                <w:szCs w:val="2"/>
                <w:color w:val="auto"/>
              </w:rPr>
            </w:pPr>
          </w:p>
        </w:tc>
        <w:tc>
          <w:tcPr>
            <w:tcW w:w="1300" w:type="dxa"/>
            <w:vAlign w:val="bottom"/>
            <w:tcBorders>
              <w:bottom w:val="single" w:sz="8" w:color="CFCFD2"/>
            </w:tcBorders>
          </w:tcPr>
          <w:p>
            <w:pPr>
              <w:spacing w:after="0"/>
              <w:rPr>
                <w:sz w:val="2"/>
                <w:szCs w:val="2"/>
                <w:color w:val="auto"/>
              </w:rPr>
            </w:pPr>
          </w:p>
        </w:tc>
        <w:tc>
          <w:tcPr>
            <w:tcW w:w="1220" w:type="dxa"/>
            <w:vAlign w:val="bottom"/>
            <w:tcBorders>
              <w:bottom w:val="single" w:sz="8" w:color="CFCFD2"/>
            </w:tcBorders>
          </w:tcPr>
          <w:p>
            <w:pPr>
              <w:spacing w:after="0"/>
              <w:rPr>
                <w:sz w:val="2"/>
                <w:szCs w:val="2"/>
                <w:color w:val="auto"/>
              </w:rPr>
            </w:pPr>
          </w:p>
        </w:tc>
        <w:tc>
          <w:tcPr>
            <w:tcW w:w="1280" w:type="dxa"/>
            <w:vAlign w:val="bottom"/>
            <w:tcBorders>
              <w:bottom w:val="single" w:sz="8" w:color="CFCFD2"/>
            </w:tcBorders>
          </w:tcPr>
          <w:p>
            <w:pPr>
              <w:spacing w:after="0"/>
              <w:rPr>
                <w:sz w:val="2"/>
                <w:szCs w:val="2"/>
                <w:color w:val="auto"/>
              </w:rPr>
            </w:pPr>
          </w:p>
        </w:tc>
        <w:tc>
          <w:tcPr>
            <w:tcW w:w="1220" w:type="dxa"/>
            <w:vAlign w:val="bottom"/>
            <w:tcBorders>
              <w:bottom w:val="single" w:sz="8" w:color="CFCFD2"/>
            </w:tcBorders>
          </w:tcPr>
          <w:p>
            <w:pPr>
              <w:spacing w:after="0"/>
              <w:rPr>
                <w:sz w:val="2"/>
                <w:szCs w:val="2"/>
                <w:color w:val="auto"/>
              </w:rPr>
            </w:pPr>
          </w:p>
        </w:tc>
        <w:tc>
          <w:tcPr>
            <w:tcW w:w="680" w:type="dxa"/>
            <w:vAlign w:val="bottom"/>
            <w:tcBorders>
              <w:bottom w:val="single" w:sz="8" w:color="CFCFD2"/>
            </w:tcBorders>
            <w:gridSpan w:val="2"/>
          </w:tcPr>
          <w:p>
            <w:pPr>
              <w:spacing w:after="0"/>
              <w:rPr>
                <w:sz w:val="2"/>
                <w:szCs w:val="2"/>
                <w:color w:val="auto"/>
              </w:rPr>
            </w:pPr>
          </w:p>
        </w:tc>
        <w:tc>
          <w:tcPr>
            <w:tcW w:w="680" w:type="dxa"/>
            <w:vAlign w:val="bottom"/>
            <w:tcBorders>
              <w:bottom w:val="single" w:sz="8" w:color="CFCFD2"/>
            </w:tcBorders>
          </w:tcPr>
          <w:p>
            <w:pPr>
              <w:spacing w:after="0"/>
              <w:rPr>
                <w:sz w:val="2"/>
                <w:szCs w:val="2"/>
                <w:color w:val="auto"/>
              </w:rPr>
            </w:pPr>
          </w:p>
        </w:tc>
        <w:tc>
          <w:tcPr>
            <w:tcW w:w="800" w:type="dxa"/>
            <w:vAlign w:val="bottom"/>
            <w:tcBorders>
              <w:bottom w:val="single" w:sz="8" w:color="CFCFD2"/>
            </w:tcBorders>
          </w:tcPr>
          <w:p>
            <w:pPr>
              <w:spacing w:after="0"/>
              <w:rPr>
                <w:sz w:val="2"/>
                <w:szCs w:val="2"/>
                <w:color w:val="auto"/>
              </w:rPr>
            </w:pPr>
          </w:p>
        </w:tc>
        <w:tc>
          <w:tcPr>
            <w:tcW w:w="90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80" w:type="dxa"/>
            <w:vAlign w:val="bottom"/>
          </w:tcPr>
          <w:p>
            <w:pPr>
              <w:jc w:val="center"/>
              <w:spacing w:after="0"/>
              <w:rPr>
                <w:sz w:val="20"/>
                <w:szCs w:val="20"/>
                <w:color w:val="auto"/>
              </w:rPr>
            </w:pPr>
            <w:r>
              <w:rPr>
                <w:rFonts w:ascii="Arial" w:cs="Arial" w:eastAsia="Arial" w:hAnsi="Arial"/>
                <w:sz w:val="13"/>
                <w:szCs w:val="13"/>
                <w:color w:val="0E1020"/>
                <w:w w:val="96"/>
              </w:rPr>
              <w:t>2024</w:t>
            </w:r>
          </w:p>
        </w:tc>
        <w:tc>
          <w:tcPr>
            <w:tcW w:w="1240" w:type="dxa"/>
            <w:vAlign w:val="bottom"/>
          </w:tcPr>
          <w:p>
            <w:pPr>
              <w:jc w:val="right"/>
              <w:spacing w:after="0"/>
              <w:rPr>
                <w:sz w:val="20"/>
                <w:szCs w:val="20"/>
                <w:color w:val="auto"/>
              </w:rPr>
            </w:pPr>
            <w:r>
              <w:rPr>
                <w:rFonts w:ascii="Arial" w:cs="Arial" w:eastAsia="Arial" w:hAnsi="Arial"/>
                <w:sz w:val="13"/>
                <w:szCs w:val="13"/>
                <w:color w:val="0E1020"/>
              </w:rPr>
              <w:t>9,666,663</w:t>
            </w:r>
          </w:p>
        </w:tc>
        <w:tc>
          <w:tcPr>
            <w:tcW w:w="1340" w:type="dxa"/>
            <w:vAlign w:val="bottom"/>
          </w:tcPr>
          <w:p>
            <w:pPr>
              <w:jc w:val="right"/>
              <w:ind w:right="98"/>
              <w:spacing w:after="0"/>
              <w:rPr>
                <w:sz w:val="20"/>
                <w:szCs w:val="20"/>
                <w:color w:val="auto"/>
              </w:rPr>
            </w:pPr>
            <w:r>
              <w:rPr>
                <w:rFonts w:ascii="Arial" w:cs="Arial" w:eastAsia="Arial" w:hAnsi="Arial"/>
                <w:sz w:val="13"/>
                <w:szCs w:val="13"/>
                <w:color w:val="0E1020"/>
              </w:rPr>
              <w:t>19,821,384</w:t>
            </w:r>
          </w:p>
        </w:tc>
        <w:tc>
          <w:tcPr>
            <w:tcW w:w="1300" w:type="dxa"/>
            <w:vAlign w:val="bottom"/>
          </w:tcPr>
          <w:p>
            <w:pPr>
              <w:jc w:val="right"/>
              <w:ind w:right="38"/>
              <w:spacing w:after="0"/>
              <w:rPr>
                <w:sz w:val="20"/>
                <w:szCs w:val="20"/>
                <w:color w:val="auto"/>
              </w:rPr>
            </w:pPr>
            <w:r>
              <w:rPr>
                <w:rFonts w:ascii="Arial" w:cs="Arial" w:eastAsia="Arial" w:hAnsi="Arial"/>
                <w:sz w:val="13"/>
                <w:szCs w:val="13"/>
                <w:color w:val="0E1020"/>
              </w:rPr>
              <w:t>9,666,663</w:t>
            </w:r>
          </w:p>
        </w:tc>
        <w:tc>
          <w:tcPr>
            <w:tcW w:w="1220" w:type="dxa"/>
            <w:vAlign w:val="bottom"/>
          </w:tcPr>
          <w:p>
            <w:pPr>
              <w:jc w:val="right"/>
              <w:spacing w:after="0"/>
              <w:rPr>
                <w:sz w:val="20"/>
                <w:szCs w:val="20"/>
                <w:color w:val="auto"/>
              </w:rPr>
            </w:pPr>
            <w:r>
              <w:rPr>
                <w:rFonts w:ascii="Arial" w:cs="Arial" w:eastAsia="Arial" w:hAnsi="Arial"/>
                <w:sz w:val="13"/>
                <w:szCs w:val="13"/>
                <w:color w:val="0E1020"/>
              </w:rPr>
              <w:t>7,948,091</w:t>
            </w:r>
          </w:p>
        </w:tc>
        <w:tc>
          <w:tcPr>
            <w:tcW w:w="1280" w:type="dxa"/>
            <w:vAlign w:val="bottom"/>
          </w:tcPr>
          <w:p>
            <w:pPr>
              <w:jc w:val="right"/>
              <w:ind w:right="38"/>
              <w:spacing w:after="0"/>
              <w:rPr>
                <w:sz w:val="20"/>
                <w:szCs w:val="20"/>
                <w:color w:val="auto"/>
              </w:rPr>
            </w:pPr>
            <w:r>
              <w:rPr>
                <w:rFonts w:ascii="Arial" w:cs="Arial" w:eastAsia="Arial" w:hAnsi="Arial"/>
                <w:sz w:val="13"/>
                <w:szCs w:val="13"/>
                <w:color w:val="0E1020"/>
              </w:rPr>
              <w:t>5,697,213</w:t>
            </w:r>
          </w:p>
        </w:tc>
        <w:tc>
          <w:tcPr>
            <w:tcW w:w="1220" w:type="dxa"/>
            <w:vAlign w:val="bottom"/>
          </w:tcPr>
          <w:p>
            <w:pPr>
              <w:jc w:val="right"/>
              <w:ind w:right="19"/>
              <w:spacing w:after="0"/>
              <w:rPr>
                <w:sz w:val="20"/>
                <w:szCs w:val="20"/>
                <w:color w:val="auto"/>
              </w:rPr>
            </w:pPr>
            <w:r>
              <w:rPr>
                <w:rFonts w:ascii="Arial" w:cs="Arial" w:eastAsia="Arial" w:hAnsi="Arial"/>
                <w:sz w:val="13"/>
                <w:szCs w:val="13"/>
                <w:color w:val="0E1020"/>
              </w:rPr>
              <w:t>3,508,102</w:t>
            </w:r>
          </w:p>
        </w:tc>
        <w:tc>
          <w:tcPr>
            <w:tcW w:w="680" w:type="dxa"/>
            <w:vAlign w:val="bottom"/>
            <w:gridSpan w:val="2"/>
          </w:tcPr>
          <w:p>
            <w:pPr>
              <w:jc w:val="right"/>
              <w:spacing w:after="0"/>
              <w:rPr>
                <w:sz w:val="20"/>
                <w:szCs w:val="20"/>
                <w:color w:val="auto"/>
              </w:rPr>
            </w:pPr>
            <w:r>
              <w:rPr>
                <w:rFonts w:ascii="Arial" w:cs="Arial" w:eastAsia="Arial" w:hAnsi="Arial"/>
                <w:sz w:val="13"/>
                <w:szCs w:val="13"/>
                <w:color w:val="0E1020"/>
              </w:rPr>
              <w:t>67.85</w:t>
            </w:r>
          </w:p>
        </w:tc>
        <w:tc>
          <w:tcPr>
            <w:tcW w:w="680" w:type="dxa"/>
            <w:vAlign w:val="bottom"/>
          </w:tcPr>
          <w:p>
            <w:pPr>
              <w:jc w:val="right"/>
              <w:spacing w:after="0"/>
              <w:rPr>
                <w:sz w:val="20"/>
                <w:szCs w:val="20"/>
                <w:color w:val="auto"/>
              </w:rPr>
            </w:pPr>
            <w:r>
              <w:rPr>
                <w:rFonts w:ascii="Arial" w:cs="Arial" w:eastAsia="Arial" w:hAnsi="Arial"/>
                <w:sz w:val="13"/>
                <w:szCs w:val="13"/>
                <w:color w:val="0E1020"/>
              </w:rPr>
              <w:t>103.09</w:t>
            </w:r>
          </w:p>
        </w:tc>
        <w:tc>
          <w:tcPr>
            <w:tcW w:w="800" w:type="dxa"/>
            <w:vAlign w:val="bottom"/>
          </w:tcPr>
          <w:p>
            <w:pPr>
              <w:jc w:val="right"/>
              <w:spacing w:after="0"/>
              <w:rPr>
                <w:sz w:val="20"/>
                <w:szCs w:val="20"/>
                <w:color w:val="auto"/>
              </w:rPr>
            </w:pPr>
            <w:r>
              <w:rPr>
                <w:rFonts w:ascii="Arial" w:cs="Arial" w:eastAsia="Arial" w:hAnsi="Arial"/>
                <w:sz w:val="13"/>
                <w:szCs w:val="13"/>
                <w:color w:val="0E1020"/>
              </w:rPr>
              <w:t>86</w:t>
            </w:r>
          </w:p>
        </w:tc>
        <w:tc>
          <w:tcPr>
            <w:tcW w:w="900" w:type="dxa"/>
            <w:vAlign w:val="bottom"/>
          </w:tcPr>
          <w:p>
            <w:pPr>
              <w:ind w:left="540"/>
              <w:spacing w:after="0"/>
              <w:rPr>
                <w:sz w:val="20"/>
                <w:szCs w:val="20"/>
                <w:color w:val="auto"/>
              </w:rPr>
            </w:pPr>
            <w:r>
              <w:rPr>
                <w:rFonts w:ascii="Arial" w:cs="Arial" w:eastAsia="Arial" w:hAnsi="Arial"/>
                <w:sz w:val="13"/>
                <w:szCs w:val="13"/>
                <w:color w:val="0E1020"/>
              </w:rPr>
              <w:t>756</w:t>
            </w:r>
          </w:p>
        </w:tc>
        <w:tc>
          <w:tcPr>
            <w:tcW w:w="0" w:type="dxa"/>
            <w:vAlign w:val="bottom"/>
          </w:tcPr>
          <w:p>
            <w:pPr>
              <w:spacing w:after="0"/>
              <w:rPr>
                <w:sz w:val="1"/>
                <w:szCs w:val="1"/>
                <w:color w:val="auto"/>
              </w:rPr>
            </w:pPr>
          </w:p>
        </w:tc>
      </w:tr>
      <w:tr>
        <w:trPr>
          <w:trHeight w:val="27"/>
        </w:trPr>
        <w:tc>
          <w:tcPr>
            <w:tcW w:w="580" w:type="dxa"/>
            <w:vAlign w:val="bottom"/>
            <w:tcBorders>
              <w:bottom w:val="single" w:sz="8" w:color="CFCFD2"/>
            </w:tcBorders>
          </w:tcPr>
          <w:p>
            <w:pPr>
              <w:spacing w:after="0"/>
              <w:rPr>
                <w:sz w:val="2"/>
                <w:szCs w:val="2"/>
                <w:color w:val="auto"/>
              </w:rPr>
            </w:pPr>
          </w:p>
        </w:tc>
        <w:tc>
          <w:tcPr>
            <w:tcW w:w="1240" w:type="dxa"/>
            <w:vAlign w:val="bottom"/>
            <w:tcBorders>
              <w:bottom w:val="single" w:sz="8" w:color="CFCFD2"/>
            </w:tcBorders>
          </w:tcPr>
          <w:p>
            <w:pPr>
              <w:spacing w:after="0"/>
              <w:rPr>
                <w:sz w:val="2"/>
                <w:szCs w:val="2"/>
                <w:color w:val="auto"/>
              </w:rPr>
            </w:pPr>
          </w:p>
        </w:tc>
        <w:tc>
          <w:tcPr>
            <w:tcW w:w="1340" w:type="dxa"/>
            <w:vAlign w:val="bottom"/>
            <w:tcBorders>
              <w:bottom w:val="single" w:sz="8" w:color="CFCFD2"/>
            </w:tcBorders>
          </w:tcPr>
          <w:p>
            <w:pPr>
              <w:spacing w:after="0"/>
              <w:rPr>
                <w:sz w:val="2"/>
                <w:szCs w:val="2"/>
                <w:color w:val="auto"/>
              </w:rPr>
            </w:pPr>
          </w:p>
        </w:tc>
        <w:tc>
          <w:tcPr>
            <w:tcW w:w="1300" w:type="dxa"/>
            <w:vAlign w:val="bottom"/>
            <w:tcBorders>
              <w:bottom w:val="single" w:sz="8" w:color="CFCFD2"/>
            </w:tcBorders>
          </w:tcPr>
          <w:p>
            <w:pPr>
              <w:spacing w:after="0"/>
              <w:rPr>
                <w:sz w:val="2"/>
                <w:szCs w:val="2"/>
                <w:color w:val="auto"/>
              </w:rPr>
            </w:pPr>
          </w:p>
        </w:tc>
        <w:tc>
          <w:tcPr>
            <w:tcW w:w="1220" w:type="dxa"/>
            <w:vAlign w:val="bottom"/>
            <w:tcBorders>
              <w:bottom w:val="single" w:sz="8" w:color="CFCFD2"/>
            </w:tcBorders>
          </w:tcPr>
          <w:p>
            <w:pPr>
              <w:spacing w:after="0"/>
              <w:rPr>
                <w:sz w:val="2"/>
                <w:szCs w:val="2"/>
                <w:color w:val="auto"/>
              </w:rPr>
            </w:pPr>
          </w:p>
        </w:tc>
        <w:tc>
          <w:tcPr>
            <w:tcW w:w="1280" w:type="dxa"/>
            <w:vAlign w:val="bottom"/>
            <w:tcBorders>
              <w:bottom w:val="single" w:sz="8" w:color="CFCFD2"/>
            </w:tcBorders>
          </w:tcPr>
          <w:p>
            <w:pPr>
              <w:spacing w:after="0"/>
              <w:rPr>
                <w:sz w:val="2"/>
                <w:szCs w:val="2"/>
                <w:color w:val="auto"/>
              </w:rPr>
            </w:pPr>
          </w:p>
        </w:tc>
        <w:tc>
          <w:tcPr>
            <w:tcW w:w="1220" w:type="dxa"/>
            <w:vAlign w:val="bottom"/>
            <w:tcBorders>
              <w:bottom w:val="single" w:sz="8" w:color="CFCFD2"/>
            </w:tcBorders>
          </w:tcPr>
          <w:p>
            <w:pPr>
              <w:spacing w:after="0"/>
              <w:rPr>
                <w:sz w:val="2"/>
                <w:szCs w:val="2"/>
                <w:color w:val="auto"/>
              </w:rPr>
            </w:pPr>
          </w:p>
        </w:tc>
        <w:tc>
          <w:tcPr>
            <w:tcW w:w="680" w:type="dxa"/>
            <w:vAlign w:val="bottom"/>
            <w:tcBorders>
              <w:bottom w:val="single" w:sz="8" w:color="CFCFD2"/>
            </w:tcBorders>
            <w:gridSpan w:val="2"/>
          </w:tcPr>
          <w:p>
            <w:pPr>
              <w:spacing w:after="0"/>
              <w:rPr>
                <w:sz w:val="2"/>
                <w:szCs w:val="2"/>
                <w:color w:val="auto"/>
              </w:rPr>
            </w:pPr>
          </w:p>
        </w:tc>
        <w:tc>
          <w:tcPr>
            <w:tcW w:w="680" w:type="dxa"/>
            <w:vAlign w:val="bottom"/>
            <w:tcBorders>
              <w:bottom w:val="single" w:sz="8" w:color="CFCFD2"/>
            </w:tcBorders>
          </w:tcPr>
          <w:p>
            <w:pPr>
              <w:spacing w:after="0"/>
              <w:rPr>
                <w:sz w:val="2"/>
                <w:szCs w:val="2"/>
                <w:color w:val="auto"/>
              </w:rPr>
            </w:pPr>
          </w:p>
        </w:tc>
        <w:tc>
          <w:tcPr>
            <w:tcW w:w="800" w:type="dxa"/>
            <w:vAlign w:val="bottom"/>
            <w:tcBorders>
              <w:bottom w:val="single" w:sz="8" w:color="CFCFD2"/>
            </w:tcBorders>
          </w:tcPr>
          <w:p>
            <w:pPr>
              <w:spacing w:after="0"/>
              <w:rPr>
                <w:sz w:val="2"/>
                <w:szCs w:val="2"/>
                <w:color w:val="auto"/>
              </w:rPr>
            </w:pPr>
          </w:p>
        </w:tc>
        <w:tc>
          <w:tcPr>
            <w:tcW w:w="90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80" w:type="dxa"/>
            <w:vAlign w:val="bottom"/>
          </w:tcPr>
          <w:p>
            <w:pPr>
              <w:jc w:val="center"/>
              <w:spacing w:after="0"/>
              <w:rPr>
                <w:sz w:val="20"/>
                <w:szCs w:val="20"/>
                <w:color w:val="auto"/>
              </w:rPr>
            </w:pPr>
            <w:r>
              <w:rPr>
                <w:rFonts w:ascii="Arial" w:cs="Arial" w:eastAsia="Arial" w:hAnsi="Arial"/>
                <w:sz w:val="13"/>
                <w:szCs w:val="13"/>
                <w:color w:val="0E1020"/>
                <w:w w:val="96"/>
              </w:rPr>
              <w:t>2023</w:t>
            </w:r>
          </w:p>
        </w:tc>
        <w:tc>
          <w:tcPr>
            <w:tcW w:w="1240" w:type="dxa"/>
            <w:vAlign w:val="bottom"/>
          </w:tcPr>
          <w:p>
            <w:pPr>
              <w:jc w:val="right"/>
              <w:spacing w:after="0"/>
              <w:rPr>
                <w:sz w:val="20"/>
                <w:szCs w:val="20"/>
                <w:color w:val="auto"/>
              </w:rPr>
            </w:pPr>
            <w:r>
              <w:rPr>
                <w:rFonts w:ascii="Arial" w:cs="Arial" w:eastAsia="Arial" w:hAnsi="Arial"/>
                <w:sz w:val="13"/>
                <w:szCs w:val="13"/>
                <w:color w:val="0E1020"/>
              </w:rPr>
              <w:t>—</w:t>
            </w:r>
          </w:p>
        </w:tc>
        <w:tc>
          <w:tcPr>
            <w:tcW w:w="1340" w:type="dxa"/>
            <w:vAlign w:val="bottom"/>
          </w:tcPr>
          <w:p>
            <w:pPr>
              <w:jc w:val="right"/>
              <w:ind w:right="98"/>
              <w:spacing w:after="0"/>
              <w:rPr>
                <w:sz w:val="20"/>
                <w:szCs w:val="20"/>
                <w:color w:val="auto"/>
              </w:rPr>
            </w:pPr>
            <w:r>
              <w:rPr>
                <w:rFonts w:ascii="Arial" w:cs="Arial" w:eastAsia="Arial" w:hAnsi="Arial"/>
                <w:sz w:val="13"/>
                <w:szCs w:val="13"/>
                <w:color w:val="0E1020"/>
              </w:rPr>
              <w:t>20,317,972</w:t>
            </w:r>
          </w:p>
        </w:tc>
        <w:tc>
          <w:tcPr>
            <w:tcW w:w="1300" w:type="dxa"/>
            <w:vAlign w:val="bottom"/>
          </w:tcPr>
          <w:p>
            <w:pPr>
              <w:jc w:val="right"/>
              <w:ind w:right="38"/>
              <w:spacing w:after="0"/>
              <w:rPr>
                <w:sz w:val="20"/>
                <w:szCs w:val="20"/>
                <w:color w:val="auto"/>
              </w:rPr>
            </w:pPr>
            <w:r>
              <w:rPr>
                <w:rFonts w:ascii="Arial" w:cs="Arial" w:eastAsia="Arial" w:hAnsi="Arial"/>
                <w:sz w:val="13"/>
                <w:szCs w:val="13"/>
                <w:color w:val="0E1020"/>
              </w:rPr>
              <w:t>—</w:t>
            </w:r>
          </w:p>
        </w:tc>
        <w:tc>
          <w:tcPr>
            <w:tcW w:w="1220" w:type="dxa"/>
            <w:vAlign w:val="bottom"/>
          </w:tcPr>
          <w:p>
            <w:pPr>
              <w:jc w:val="right"/>
              <w:spacing w:after="0"/>
              <w:rPr>
                <w:sz w:val="20"/>
                <w:szCs w:val="20"/>
                <w:color w:val="auto"/>
              </w:rPr>
            </w:pPr>
            <w:r>
              <w:rPr>
                <w:rFonts w:ascii="Arial" w:cs="Arial" w:eastAsia="Arial" w:hAnsi="Arial"/>
                <w:sz w:val="13"/>
                <w:szCs w:val="13"/>
                <w:color w:val="0E1020"/>
              </w:rPr>
              <w:t>(1,015,552)</w:t>
            </w:r>
          </w:p>
        </w:tc>
        <w:tc>
          <w:tcPr>
            <w:tcW w:w="1280" w:type="dxa"/>
            <w:vAlign w:val="bottom"/>
          </w:tcPr>
          <w:p>
            <w:pPr>
              <w:jc w:val="right"/>
              <w:ind w:right="38"/>
              <w:spacing w:after="0"/>
              <w:rPr>
                <w:sz w:val="20"/>
                <w:szCs w:val="20"/>
                <w:color w:val="auto"/>
              </w:rPr>
            </w:pPr>
            <w:r>
              <w:rPr>
                <w:rFonts w:ascii="Arial" w:cs="Arial" w:eastAsia="Arial" w:hAnsi="Arial"/>
                <w:sz w:val="13"/>
                <w:szCs w:val="13"/>
                <w:color w:val="0E1020"/>
              </w:rPr>
              <w:t>4,204,094</w:t>
            </w:r>
          </w:p>
        </w:tc>
        <w:tc>
          <w:tcPr>
            <w:tcW w:w="1220" w:type="dxa"/>
            <w:vAlign w:val="bottom"/>
          </w:tcPr>
          <w:p>
            <w:pPr>
              <w:jc w:val="right"/>
              <w:ind w:right="19"/>
              <w:spacing w:after="0"/>
              <w:rPr>
                <w:sz w:val="20"/>
                <w:szCs w:val="20"/>
                <w:color w:val="auto"/>
              </w:rPr>
            </w:pPr>
            <w:r>
              <w:rPr>
                <w:rFonts w:ascii="Arial" w:cs="Arial" w:eastAsia="Arial" w:hAnsi="Arial"/>
                <w:sz w:val="13"/>
                <w:szCs w:val="13"/>
                <w:color w:val="0E1020"/>
              </w:rPr>
              <w:t>1,442,117</w:t>
            </w:r>
          </w:p>
        </w:tc>
        <w:tc>
          <w:tcPr>
            <w:tcW w:w="680" w:type="dxa"/>
            <w:vAlign w:val="bottom"/>
            <w:gridSpan w:val="2"/>
          </w:tcPr>
          <w:p>
            <w:pPr>
              <w:jc w:val="right"/>
              <w:spacing w:after="0"/>
              <w:rPr>
                <w:sz w:val="20"/>
                <w:szCs w:val="20"/>
                <w:color w:val="auto"/>
              </w:rPr>
            </w:pPr>
            <w:r>
              <w:rPr>
                <w:rFonts w:ascii="Arial" w:cs="Arial" w:eastAsia="Arial" w:hAnsi="Arial"/>
                <w:sz w:val="13"/>
                <w:szCs w:val="13"/>
                <w:color w:val="0E1020"/>
              </w:rPr>
              <w:t>81.77</w:t>
            </w:r>
          </w:p>
        </w:tc>
        <w:tc>
          <w:tcPr>
            <w:tcW w:w="680" w:type="dxa"/>
            <w:vAlign w:val="bottom"/>
          </w:tcPr>
          <w:p>
            <w:pPr>
              <w:jc w:val="right"/>
              <w:spacing w:after="0"/>
              <w:rPr>
                <w:sz w:val="20"/>
                <w:szCs w:val="20"/>
                <w:color w:val="auto"/>
              </w:rPr>
            </w:pPr>
            <w:r>
              <w:rPr>
                <w:rFonts w:ascii="Arial" w:cs="Arial" w:eastAsia="Arial" w:hAnsi="Arial"/>
                <w:sz w:val="13"/>
                <w:szCs w:val="13"/>
                <w:color w:val="0E1020"/>
              </w:rPr>
              <w:t>97.24</w:t>
            </w:r>
          </w:p>
        </w:tc>
        <w:tc>
          <w:tcPr>
            <w:tcW w:w="800" w:type="dxa"/>
            <w:vAlign w:val="bottom"/>
          </w:tcPr>
          <w:p>
            <w:pPr>
              <w:jc w:val="right"/>
              <w:spacing w:after="0"/>
              <w:rPr>
                <w:sz w:val="20"/>
                <w:szCs w:val="20"/>
                <w:color w:val="auto"/>
              </w:rPr>
            </w:pPr>
            <w:r>
              <w:rPr>
                <w:rFonts w:ascii="Arial" w:cs="Arial" w:eastAsia="Arial" w:hAnsi="Arial"/>
                <w:sz w:val="13"/>
                <w:szCs w:val="13"/>
                <w:color w:val="0E1020"/>
              </w:rPr>
              <w:t>(566)</w:t>
            </w:r>
          </w:p>
        </w:tc>
        <w:tc>
          <w:tcPr>
            <w:tcW w:w="900" w:type="dxa"/>
            <w:vAlign w:val="bottom"/>
          </w:tcPr>
          <w:p>
            <w:pPr>
              <w:ind w:left="540"/>
              <w:spacing w:after="0"/>
              <w:rPr>
                <w:sz w:val="20"/>
                <w:szCs w:val="20"/>
                <w:color w:val="auto"/>
              </w:rPr>
            </w:pPr>
            <w:r>
              <w:rPr>
                <w:rFonts w:ascii="Arial" w:cs="Arial" w:eastAsia="Arial" w:hAnsi="Arial"/>
                <w:sz w:val="13"/>
                <w:szCs w:val="13"/>
                <w:color w:val="0E1020"/>
              </w:rPr>
              <w:t>737</w:t>
            </w:r>
          </w:p>
        </w:tc>
        <w:tc>
          <w:tcPr>
            <w:tcW w:w="0" w:type="dxa"/>
            <w:vAlign w:val="bottom"/>
          </w:tcPr>
          <w:p>
            <w:pPr>
              <w:spacing w:after="0"/>
              <w:rPr>
                <w:sz w:val="1"/>
                <w:szCs w:val="1"/>
                <w:color w:val="auto"/>
              </w:rPr>
            </w:pPr>
          </w:p>
        </w:tc>
      </w:tr>
      <w:tr>
        <w:trPr>
          <w:trHeight w:val="27"/>
        </w:trPr>
        <w:tc>
          <w:tcPr>
            <w:tcW w:w="580" w:type="dxa"/>
            <w:vAlign w:val="bottom"/>
            <w:tcBorders>
              <w:bottom w:val="single" w:sz="8" w:color="CFCFD2"/>
            </w:tcBorders>
          </w:tcPr>
          <w:p>
            <w:pPr>
              <w:spacing w:after="0"/>
              <w:rPr>
                <w:sz w:val="2"/>
                <w:szCs w:val="2"/>
                <w:color w:val="auto"/>
              </w:rPr>
            </w:pPr>
          </w:p>
        </w:tc>
        <w:tc>
          <w:tcPr>
            <w:tcW w:w="1240" w:type="dxa"/>
            <w:vAlign w:val="bottom"/>
            <w:tcBorders>
              <w:bottom w:val="single" w:sz="8" w:color="CFCFD2"/>
            </w:tcBorders>
          </w:tcPr>
          <w:p>
            <w:pPr>
              <w:spacing w:after="0"/>
              <w:rPr>
                <w:sz w:val="2"/>
                <w:szCs w:val="2"/>
                <w:color w:val="auto"/>
              </w:rPr>
            </w:pPr>
          </w:p>
        </w:tc>
        <w:tc>
          <w:tcPr>
            <w:tcW w:w="1340" w:type="dxa"/>
            <w:vAlign w:val="bottom"/>
            <w:tcBorders>
              <w:bottom w:val="single" w:sz="8" w:color="CFCFD2"/>
            </w:tcBorders>
          </w:tcPr>
          <w:p>
            <w:pPr>
              <w:spacing w:after="0"/>
              <w:rPr>
                <w:sz w:val="2"/>
                <w:szCs w:val="2"/>
                <w:color w:val="auto"/>
              </w:rPr>
            </w:pPr>
          </w:p>
        </w:tc>
        <w:tc>
          <w:tcPr>
            <w:tcW w:w="1300" w:type="dxa"/>
            <w:vAlign w:val="bottom"/>
            <w:tcBorders>
              <w:bottom w:val="single" w:sz="8" w:color="CFCFD2"/>
            </w:tcBorders>
          </w:tcPr>
          <w:p>
            <w:pPr>
              <w:spacing w:after="0"/>
              <w:rPr>
                <w:sz w:val="2"/>
                <w:szCs w:val="2"/>
                <w:color w:val="auto"/>
              </w:rPr>
            </w:pPr>
          </w:p>
        </w:tc>
        <w:tc>
          <w:tcPr>
            <w:tcW w:w="1220" w:type="dxa"/>
            <w:vAlign w:val="bottom"/>
            <w:tcBorders>
              <w:bottom w:val="single" w:sz="8" w:color="CFCFD2"/>
            </w:tcBorders>
          </w:tcPr>
          <w:p>
            <w:pPr>
              <w:spacing w:after="0"/>
              <w:rPr>
                <w:sz w:val="2"/>
                <w:szCs w:val="2"/>
                <w:color w:val="auto"/>
              </w:rPr>
            </w:pPr>
          </w:p>
        </w:tc>
        <w:tc>
          <w:tcPr>
            <w:tcW w:w="1280" w:type="dxa"/>
            <w:vAlign w:val="bottom"/>
            <w:tcBorders>
              <w:bottom w:val="single" w:sz="8" w:color="CFCFD2"/>
            </w:tcBorders>
          </w:tcPr>
          <w:p>
            <w:pPr>
              <w:spacing w:after="0"/>
              <w:rPr>
                <w:sz w:val="2"/>
                <w:szCs w:val="2"/>
                <w:color w:val="auto"/>
              </w:rPr>
            </w:pPr>
          </w:p>
        </w:tc>
        <w:tc>
          <w:tcPr>
            <w:tcW w:w="1220" w:type="dxa"/>
            <w:vAlign w:val="bottom"/>
            <w:tcBorders>
              <w:bottom w:val="single" w:sz="8" w:color="CFCFD2"/>
            </w:tcBorders>
          </w:tcPr>
          <w:p>
            <w:pPr>
              <w:spacing w:after="0"/>
              <w:rPr>
                <w:sz w:val="2"/>
                <w:szCs w:val="2"/>
                <w:color w:val="auto"/>
              </w:rPr>
            </w:pPr>
          </w:p>
        </w:tc>
        <w:tc>
          <w:tcPr>
            <w:tcW w:w="680" w:type="dxa"/>
            <w:vAlign w:val="bottom"/>
            <w:tcBorders>
              <w:bottom w:val="single" w:sz="8" w:color="CFCFD2"/>
            </w:tcBorders>
            <w:gridSpan w:val="2"/>
          </w:tcPr>
          <w:p>
            <w:pPr>
              <w:spacing w:after="0"/>
              <w:rPr>
                <w:sz w:val="2"/>
                <w:szCs w:val="2"/>
                <w:color w:val="auto"/>
              </w:rPr>
            </w:pPr>
          </w:p>
        </w:tc>
        <w:tc>
          <w:tcPr>
            <w:tcW w:w="680" w:type="dxa"/>
            <w:vAlign w:val="bottom"/>
            <w:tcBorders>
              <w:bottom w:val="single" w:sz="8" w:color="CFCFD2"/>
            </w:tcBorders>
          </w:tcPr>
          <w:p>
            <w:pPr>
              <w:spacing w:after="0"/>
              <w:rPr>
                <w:sz w:val="2"/>
                <w:szCs w:val="2"/>
                <w:color w:val="auto"/>
              </w:rPr>
            </w:pPr>
          </w:p>
        </w:tc>
        <w:tc>
          <w:tcPr>
            <w:tcW w:w="800" w:type="dxa"/>
            <w:vAlign w:val="bottom"/>
            <w:tcBorders>
              <w:bottom w:val="single" w:sz="8" w:color="CFCFD2"/>
            </w:tcBorders>
          </w:tcPr>
          <w:p>
            <w:pPr>
              <w:spacing w:after="0"/>
              <w:rPr>
                <w:sz w:val="2"/>
                <w:szCs w:val="2"/>
                <w:color w:val="auto"/>
              </w:rPr>
            </w:pPr>
          </w:p>
        </w:tc>
        <w:tc>
          <w:tcPr>
            <w:tcW w:w="90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80" w:type="dxa"/>
            <w:vAlign w:val="bottom"/>
          </w:tcPr>
          <w:p>
            <w:pPr>
              <w:jc w:val="center"/>
              <w:spacing w:after="0"/>
              <w:rPr>
                <w:sz w:val="20"/>
                <w:szCs w:val="20"/>
                <w:color w:val="auto"/>
              </w:rPr>
            </w:pPr>
            <w:r>
              <w:rPr>
                <w:rFonts w:ascii="Arial" w:cs="Arial" w:eastAsia="Arial" w:hAnsi="Arial"/>
                <w:sz w:val="13"/>
                <w:szCs w:val="13"/>
                <w:color w:val="0E1020"/>
                <w:w w:val="96"/>
              </w:rPr>
              <w:t>2022</w:t>
            </w:r>
          </w:p>
        </w:tc>
        <w:tc>
          <w:tcPr>
            <w:tcW w:w="1240" w:type="dxa"/>
            <w:vAlign w:val="bottom"/>
          </w:tcPr>
          <w:p>
            <w:pPr>
              <w:jc w:val="right"/>
              <w:spacing w:after="0"/>
              <w:rPr>
                <w:sz w:val="20"/>
                <w:szCs w:val="20"/>
                <w:color w:val="auto"/>
              </w:rPr>
            </w:pPr>
            <w:r>
              <w:rPr>
                <w:rFonts w:ascii="Arial" w:cs="Arial" w:eastAsia="Arial" w:hAnsi="Arial"/>
                <w:sz w:val="13"/>
                <w:szCs w:val="13"/>
                <w:color w:val="0E1020"/>
              </w:rPr>
              <w:t>—</w:t>
            </w:r>
          </w:p>
        </w:tc>
        <w:tc>
          <w:tcPr>
            <w:tcW w:w="1340" w:type="dxa"/>
            <w:vAlign w:val="bottom"/>
          </w:tcPr>
          <w:p>
            <w:pPr>
              <w:jc w:val="right"/>
              <w:ind w:right="98"/>
              <w:spacing w:after="0"/>
              <w:rPr>
                <w:sz w:val="20"/>
                <w:szCs w:val="20"/>
                <w:color w:val="auto"/>
              </w:rPr>
            </w:pPr>
            <w:r>
              <w:rPr>
                <w:rFonts w:ascii="Arial" w:cs="Arial" w:eastAsia="Arial" w:hAnsi="Arial"/>
                <w:sz w:val="13"/>
                <w:szCs w:val="13"/>
                <w:color w:val="0E1020"/>
              </w:rPr>
              <w:t>28,716,680</w:t>
            </w:r>
          </w:p>
        </w:tc>
        <w:tc>
          <w:tcPr>
            <w:tcW w:w="1300" w:type="dxa"/>
            <w:vAlign w:val="bottom"/>
          </w:tcPr>
          <w:p>
            <w:pPr>
              <w:jc w:val="right"/>
              <w:ind w:right="38"/>
              <w:spacing w:after="0"/>
              <w:rPr>
                <w:sz w:val="20"/>
                <w:szCs w:val="20"/>
                <w:color w:val="auto"/>
              </w:rPr>
            </w:pPr>
            <w:r>
              <w:rPr>
                <w:rFonts w:ascii="Arial" w:cs="Arial" w:eastAsia="Arial" w:hAnsi="Arial"/>
                <w:sz w:val="13"/>
                <w:szCs w:val="13"/>
                <w:color w:val="0E1020"/>
              </w:rPr>
              <w:t>—</w:t>
            </w:r>
          </w:p>
        </w:tc>
        <w:tc>
          <w:tcPr>
            <w:tcW w:w="1220" w:type="dxa"/>
            <w:vAlign w:val="bottom"/>
          </w:tcPr>
          <w:p>
            <w:pPr>
              <w:jc w:val="right"/>
              <w:spacing w:after="0"/>
              <w:rPr>
                <w:sz w:val="20"/>
                <w:szCs w:val="20"/>
                <w:color w:val="auto"/>
              </w:rPr>
            </w:pPr>
            <w:r>
              <w:rPr>
                <w:rFonts w:ascii="Arial" w:cs="Arial" w:eastAsia="Arial" w:hAnsi="Arial"/>
                <w:sz w:val="13"/>
                <w:szCs w:val="13"/>
                <w:color w:val="0E1020"/>
              </w:rPr>
              <w:t>30,679,306</w:t>
            </w:r>
          </w:p>
        </w:tc>
        <w:tc>
          <w:tcPr>
            <w:tcW w:w="1280" w:type="dxa"/>
            <w:vAlign w:val="bottom"/>
          </w:tcPr>
          <w:p>
            <w:pPr>
              <w:jc w:val="right"/>
              <w:ind w:right="38"/>
              <w:spacing w:after="0"/>
              <w:rPr>
                <w:sz w:val="20"/>
                <w:szCs w:val="20"/>
                <w:color w:val="auto"/>
              </w:rPr>
            </w:pPr>
            <w:r>
              <w:rPr>
                <w:rFonts w:ascii="Arial" w:cs="Arial" w:eastAsia="Arial" w:hAnsi="Arial"/>
                <w:sz w:val="13"/>
                <w:szCs w:val="13"/>
                <w:color w:val="0E1020"/>
              </w:rPr>
              <w:t>4,832,088</w:t>
            </w:r>
          </w:p>
        </w:tc>
        <w:tc>
          <w:tcPr>
            <w:tcW w:w="1220" w:type="dxa"/>
            <w:vAlign w:val="bottom"/>
          </w:tcPr>
          <w:p>
            <w:pPr>
              <w:jc w:val="right"/>
              <w:ind w:right="19"/>
              <w:spacing w:after="0"/>
              <w:rPr>
                <w:sz w:val="20"/>
                <w:szCs w:val="20"/>
                <w:color w:val="auto"/>
              </w:rPr>
            </w:pPr>
            <w:r>
              <w:rPr>
                <w:rFonts w:ascii="Arial" w:cs="Arial" w:eastAsia="Arial" w:hAnsi="Arial"/>
                <w:sz w:val="13"/>
                <w:szCs w:val="13"/>
                <w:color w:val="0E1020"/>
              </w:rPr>
              <w:t>5,153,180</w:t>
            </w:r>
          </w:p>
        </w:tc>
        <w:tc>
          <w:tcPr>
            <w:tcW w:w="680" w:type="dxa"/>
            <w:vAlign w:val="bottom"/>
            <w:gridSpan w:val="2"/>
          </w:tcPr>
          <w:p>
            <w:pPr>
              <w:jc w:val="right"/>
              <w:spacing w:after="0"/>
              <w:rPr>
                <w:sz w:val="20"/>
                <w:szCs w:val="20"/>
                <w:color w:val="auto"/>
              </w:rPr>
            </w:pPr>
            <w:r>
              <w:rPr>
                <w:rFonts w:ascii="Arial" w:cs="Arial" w:eastAsia="Arial" w:hAnsi="Arial"/>
                <w:sz w:val="13"/>
                <w:szCs w:val="13"/>
                <w:color w:val="0E1020"/>
              </w:rPr>
              <w:t>104.38</w:t>
            </w:r>
          </w:p>
        </w:tc>
        <w:tc>
          <w:tcPr>
            <w:tcW w:w="680" w:type="dxa"/>
            <w:vAlign w:val="bottom"/>
          </w:tcPr>
          <w:p>
            <w:pPr>
              <w:jc w:val="right"/>
              <w:spacing w:after="0"/>
              <w:rPr>
                <w:sz w:val="20"/>
                <w:szCs w:val="20"/>
                <w:color w:val="auto"/>
              </w:rPr>
            </w:pPr>
            <w:r>
              <w:rPr>
                <w:rFonts w:ascii="Arial" w:cs="Arial" w:eastAsia="Arial" w:hAnsi="Arial"/>
                <w:sz w:val="13"/>
                <w:szCs w:val="13"/>
                <w:color w:val="0E1020"/>
              </w:rPr>
              <w:t>102.49</w:t>
            </w:r>
          </w:p>
        </w:tc>
        <w:tc>
          <w:tcPr>
            <w:tcW w:w="800" w:type="dxa"/>
            <w:vAlign w:val="bottom"/>
          </w:tcPr>
          <w:p>
            <w:pPr>
              <w:jc w:val="right"/>
              <w:spacing w:after="0"/>
              <w:rPr>
                <w:sz w:val="20"/>
                <w:szCs w:val="20"/>
                <w:color w:val="auto"/>
              </w:rPr>
            </w:pPr>
            <w:r>
              <w:rPr>
                <w:rFonts w:ascii="Arial" w:cs="Arial" w:eastAsia="Arial" w:hAnsi="Arial"/>
                <w:sz w:val="13"/>
                <w:szCs w:val="13"/>
                <w:color w:val="0E1020"/>
              </w:rPr>
              <w:t>736</w:t>
            </w:r>
          </w:p>
        </w:tc>
        <w:tc>
          <w:tcPr>
            <w:tcW w:w="900" w:type="dxa"/>
            <w:vAlign w:val="bottom"/>
          </w:tcPr>
          <w:p>
            <w:pPr>
              <w:ind w:left="540"/>
              <w:spacing w:after="0"/>
              <w:rPr>
                <w:sz w:val="20"/>
                <w:szCs w:val="20"/>
                <w:color w:val="auto"/>
              </w:rPr>
            </w:pPr>
            <w:r>
              <w:rPr>
                <w:rFonts w:ascii="Arial" w:cs="Arial" w:eastAsia="Arial" w:hAnsi="Arial"/>
                <w:sz w:val="13"/>
                <w:szCs w:val="13"/>
                <w:color w:val="0E1020"/>
              </w:rPr>
              <w:t>743</w:t>
            </w:r>
          </w:p>
        </w:tc>
        <w:tc>
          <w:tcPr>
            <w:tcW w:w="0" w:type="dxa"/>
            <w:vAlign w:val="bottom"/>
          </w:tcPr>
          <w:p>
            <w:pPr>
              <w:spacing w:after="0"/>
              <w:rPr>
                <w:sz w:val="1"/>
                <w:szCs w:val="1"/>
                <w:color w:val="auto"/>
              </w:rPr>
            </w:pPr>
          </w:p>
        </w:tc>
      </w:tr>
      <w:tr>
        <w:trPr>
          <w:trHeight w:val="27"/>
        </w:trPr>
        <w:tc>
          <w:tcPr>
            <w:tcW w:w="580" w:type="dxa"/>
            <w:vAlign w:val="bottom"/>
            <w:tcBorders>
              <w:bottom w:val="single" w:sz="8" w:color="CFCFD2"/>
            </w:tcBorders>
          </w:tcPr>
          <w:p>
            <w:pPr>
              <w:spacing w:after="0"/>
              <w:rPr>
                <w:sz w:val="2"/>
                <w:szCs w:val="2"/>
                <w:color w:val="auto"/>
              </w:rPr>
            </w:pPr>
          </w:p>
        </w:tc>
        <w:tc>
          <w:tcPr>
            <w:tcW w:w="1240" w:type="dxa"/>
            <w:vAlign w:val="bottom"/>
            <w:tcBorders>
              <w:bottom w:val="single" w:sz="8" w:color="CFCFD2"/>
            </w:tcBorders>
          </w:tcPr>
          <w:p>
            <w:pPr>
              <w:spacing w:after="0"/>
              <w:rPr>
                <w:sz w:val="2"/>
                <w:szCs w:val="2"/>
                <w:color w:val="auto"/>
              </w:rPr>
            </w:pPr>
          </w:p>
        </w:tc>
        <w:tc>
          <w:tcPr>
            <w:tcW w:w="1340" w:type="dxa"/>
            <w:vAlign w:val="bottom"/>
            <w:tcBorders>
              <w:bottom w:val="single" w:sz="8" w:color="CFCFD2"/>
            </w:tcBorders>
          </w:tcPr>
          <w:p>
            <w:pPr>
              <w:spacing w:after="0"/>
              <w:rPr>
                <w:sz w:val="2"/>
                <w:szCs w:val="2"/>
                <w:color w:val="auto"/>
              </w:rPr>
            </w:pPr>
          </w:p>
        </w:tc>
        <w:tc>
          <w:tcPr>
            <w:tcW w:w="1300" w:type="dxa"/>
            <w:vAlign w:val="bottom"/>
            <w:tcBorders>
              <w:bottom w:val="single" w:sz="8" w:color="CFCFD2"/>
            </w:tcBorders>
          </w:tcPr>
          <w:p>
            <w:pPr>
              <w:spacing w:after="0"/>
              <w:rPr>
                <w:sz w:val="2"/>
                <w:szCs w:val="2"/>
                <w:color w:val="auto"/>
              </w:rPr>
            </w:pPr>
          </w:p>
        </w:tc>
        <w:tc>
          <w:tcPr>
            <w:tcW w:w="1220" w:type="dxa"/>
            <w:vAlign w:val="bottom"/>
            <w:tcBorders>
              <w:bottom w:val="single" w:sz="8" w:color="CFCFD2"/>
            </w:tcBorders>
          </w:tcPr>
          <w:p>
            <w:pPr>
              <w:spacing w:after="0"/>
              <w:rPr>
                <w:sz w:val="2"/>
                <w:szCs w:val="2"/>
                <w:color w:val="auto"/>
              </w:rPr>
            </w:pPr>
          </w:p>
        </w:tc>
        <w:tc>
          <w:tcPr>
            <w:tcW w:w="1280" w:type="dxa"/>
            <w:vAlign w:val="bottom"/>
            <w:tcBorders>
              <w:bottom w:val="single" w:sz="8" w:color="CFCFD2"/>
            </w:tcBorders>
          </w:tcPr>
          <w:p>
            <w:pPr>
              <w:spacing w:after="0"/>
              <w:rPr>
                <w:sz w:val="2"/>
                <w:szCs w:val="2"/>
                <w:color w:val="auto"/>
              </w:rPr>
            </w:pPr>
          </w:p>
        </w:tc>
        <w:tc>
          <w:tcPr>
            <w:tcW w:w="1220" w:type="dxa"/>
            <w:vAlign w:val="bottom"/>
            <w:tcBorders>
              <w:bottom w:val="single" w:sz="8" w:color="CFCFD2"/>
            </w:tcBorders>
          </w:tcPr>
          <w:p>
            <w:pPr>
              <w:spacing w:after="0"/>
              <w:rPr>
                <w:sz w:val="2"/>
                <w:szCs w:val="2"/>
                <w:color w:val="auto"/>
              </w:rPr>
            </w:pPr>
          </w:p>
        </w:tc>
        <w:tc>
          <w:tcPr>
            <w:tcW w:w="80" w:type="dxa"/>
            <w:vAlign w:val="bottom"/>
            <w:tcBorders>
              <w:bottom w:val="single" w:sz="8" w:color="CFCFD2"/>
            </w:tcBorders>
          </w:tcPr>
          <w:p>
            <w:pPr>
              <w:spacing w:after="0"/>
              <w:rPr>
                <w:sz w:val="2"/>
                <w:szCs w:val="2"/>
                <w:color w:val="auto"/>
              </w:rPr>
            </w:pPr>
          </w:p>
        </w:tc>
        <w:tc>
          <w:tcPr>
            <w:tcW w:w="600" w:type="dxa"/>
            <w:vAlign w:val="bottom"/>
            <w:tcBorders>
              <w:bottom w:val="single" w:sz="8" w:color="CFCFD2"/>
            </w:tcBorders>
          </w:tcPr>
          <w:p>
            <w:pPr>
              <w:spacing w:after="0"/>
              <w:rPr>
                <w:sz w:val="2"/>
                <w:szCs w:val="2"/>
                <w:color w:val="auto"/>
              </w:rPr>
            </w:pPr>
          </w:p>
        </w:tc>
        <w:tc>
          <w:tcPr>
            <w:tcW w:w="680" w:type="dxa"/>
            <w:vAlign w:val="bottom"/>
            <w:tcBorders>
              <w:bottom w:val="single" w:sz="8" w:color="CFCFD2"/>
            </w:tcBorders>
          </w:tcPr>
          <w:p>
            <w:pPr>
              <w:spacing w:after="0"/>
              <w:rPr>
                <w:sz w:val="2"/>
                <w:szCs w:val="2"/>
                <w:color w:val="auto"/>
              </w:rPr>
            </w:pPr>
          </w:p>
        </w:tc>
        <w:tc>
          <w:tcPr>
            <w:tcW w:w="800" w:type="dxa"/>
            <w:vAlign w:val="bottom"/>
            <w:tcBorders>
              <w:bottom w:val="single" w:sz="8" w:color="CFCFD2"/>
            </w:tcBorders>
          </w:tcPr>
          <w:p>
            <w:pPr>
              <w:spacing w:after="0"/>
              <w:rPr>
                <w:sz w:val="2"/>
                <w:szCs w:val="2"/>
                <w:color w:val="auto"/>
              </w:rPr>
            </w:pPr>
          </w:p>
        </w:tc>
        <w:tc>
          <w:tcPr>
            <w:tcW w:w="900" w:type="dxa"/>
            <w:vAlign w:val="bottom"/>
            <w:tcBorders>
              <w:bottom w:val="single" w:sz="8" w:color="CFCFD2"/>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480" w:right="520" w:hanging="312"/>
        <w:spacing w:after="0" w:line="302" w:lineRule="auto"/>
        <w:tabs>
          <w:tab w:leader="none" w:pos="480" w:val="left"/>
        </w:tabs>
        <w:numPr>
          <w:ilvl w:val="0"/>
          <w:numId w:val="102"/>
        </w:numPr>
        <w:rPr>
          <w:rFonts w:ascii="Arial" w:cs="Arial" w:eastAsia="Arial" w:hAnsi="Arial"/>
          <w:sz w:val="14"/>
          <w:szCs w:val="14"/>
          <w:color w:val="0E1020"/>
        </w:rPr>
      </w:pPr>
      <w:r>
        <w:rPr>
          <w:rFonts w:ascii="Arial" w:cs="Arial" w:eastAsia="Arial" w:hAnsi="Arial"/>
          <w:sz w:val="14"/>
          <w:szCs w:val="14"/>
          <w:color w:val="0E1020"/>
        </w:rPr>
        <w:t>Mr. Salvino was the Company’s only PEO for fiscal 2022 and fiscal 2023. Both Mr. Salvino and Mr. Fernandez separately served as PEOs during fiscal 2024. Mr. Fernandez was the Company’s only PEO for fiscal 2025 and fiscal 2026. The individuals comprising the Non-PEO NEOs for each year presented are listed below.</w:t>
      </w:r>
    </w:p>
    <w:p>
      <w:pPr>
        <w:spacing w:after="0" w:line="154" w:lineRule="exact"/>
        <w:rPr>
          <w:sz w:val="20"/>
          <w:szCs w:val="20"/>
          <w:color w:val="auto"/>
        </w:rPr>
      </w:pPr>
    </w:p>
    <w:tbl>
      <w:tblPr>
        <w:tblLayout w:type="fixed"/>
        <w:tblInd w:w="480" w:type="dxa"/>
        <w:tblCellMar>
          <w:top w:w="0" w:type="dxa"/>
          <w:left w:w="0" w:type="dxa"/>
          <w:bottom w:w="0" w:type="dxa"/>
          <w:right w:w="0" w:type="dxa"/>
        </w:tblCellMar>
      </w:tblPr>
      <w:tr>
        <w:trPr>
          <w:trHeight w:val="266"/>
        </w:trPr>
        <w:tc>
          <w:tcPr>
            <w:tcW w:w="2020" w:type="dxa"/>
            <w:vAlign w:val="bottom"/>
            <w:shd w:val="clear" w:color="auto" w:fill="F6F3F0"/>
          </w:tcPr>
          <w:p>
            <w:pPr>
              <w:jc w:val="center"/>
              <w:spacing w:after="0"/>
              <w:rPr>
                <w:sz w:val="20"/>
                <w:szCs w:val="20"/>
                <w:color w:val="auto"/>
              </w:rPr>
            </w:pPr>
            <w:r>
              <w:rPr>
                <w:rFonts w:ascii="Arial" w:cs="Arial" w:eastAsia="Arial" w:hAnsi="Arial"/>
                <w:sz w:val="14"/>
                <w:szCs w:val="14"/>
                <w:b w:val="1"/>
                <w:bCs w:val="1"/>
                <w:color w:val="0E1020"/>
              </w:rPr>
              <w:t>Fiscal 2022</w:t>
            </w:r>
          </w:p>
        </w:tc>
        <w:tc>
          <w:tcPr>
            <w:tcW w:w="2020" w:type="dxa"/>
            <w:vAlign w:val="bottom"/>
            <w:shd w:val="clear" w:color="auto" w:fill="F6F3F0"/>
          </w:tcPr>
          <w:p>
            <w:pPr>
              <w:jc w:val="center"/>
              <w:spacing w:after="0"/>
              <w:rPr>
                <w:sz w:val="20"/>
                <w:szCs w:val="20"/>
                <w:color w:val="auto"/>
              </w:rPr>
            </w:pPr>
            <w:r>
              <w:rPr>
                <w:rFonts w:ascii="Arial" w:cs="Arial" w:eastAsia="Arial" w:hAnsi="Arial"/>
                <w:sz w:val="14"/>
                <w:szCs w:val="14"/>
                <w:b w:val="1"/>
                <w:bCs w:val="1"/>
                <w:color w:val="0E1020"/>
              </w:rPr>
              <w:t>Fiscal 2023</w:t>
            </w:r>
          </w:p>
        </w:tc>
        <w:tc>
          <w:tcPr>
            <w:tcW w:w="2040" w:type="dxa"/>
            <w:vAlign w:val="bottom"/>
            <w:shd w:val="clear" w:color="auto" w:fill="F6F3F0"/>
          </w:tcPr>
          <w:p>
            <w:pPr>
              <w:jc w:val="center"/>
              <w:spacing w:after="0"/>
              <w:rPr>
                <w:sz w:val="20"/>
                <w:szCs w:val="20"/>
                <w:color w:val="auto"/>
              </w:rPr>
            </w:pPr>
            <w:r>
              <w:rPr>
                <w:rFonts w:ascii="Arial" w:cs="Arial" w:eastAsia="Arial" w:hAnsi="Arial"/>
                <w:sz w:val="14"/>
                <w:szCs w:val="14"/>
                <w:b w:val="1"/>
                <w:bCs w:val="1"/>
                <w:color w:val="0E1020"/>
              </w:rPr>
              <w:t>Fiscal 2024</w:t>
            </w:r>
          </w:p>
        </w:tc>
        <w:tc>
          <w:tcPr>
            <w:tcW w:w="2040" w:type="dxa"/>
            <w:vAlign w:val="bottom"/>
            <w:shd w:val="clear" w:color="auto" w:fill="F6F3F0"/>
          </w:tcPr>
          <w:p>
            <w:pPr>
              <w:jc w:val="center"/>
              <w:spacing w:after="0"/>
              <w:rPr>
                <w:sz w:val="20"/>
                <w:szCs w:val="20"/>
                <w:color w:val="auto"/>
              </w:rPr>
            </w:pPr>
            <w:r>
              <w:rPr>
                <w:rFonts w:ascii="Arial" w:cs="Arial" w:eastAsia="Arial" w:hAnsi="Arial"/>
                <w:sz w:val="14"/>
                <w:szCs w:val="14"/>
                <w:b w:val="1"/>
                <w:bCs w:val="1"/>
                <w:color w:val="0E1020"/>
              </w:rPr>
              <w:t>Fiscal 2025</w:t>
            </w:r>
          </w:p>
        </w:tc>
        <w:tc>
          <w:tcPr>
            <w:tcW w:w="2040" w:type="dxa"/>
            <w:vAlign w:val="bottom"/>
            <w:shd w:val="clear" w:color="auto" w:fill="F6F3F0"/>
          </w:tcPr>
          <w:p>
            <w:pPr>
              <w:jc w:val="center"/>
              <w:spacing w:after="0"/>
              <w:rPr>
                <w:sz w:val="20"/>
                <w:szCs w:val="20"/>
                <w:color w:val="auto"/>
              </w:rPr>
            </w:pPr>
            <w:r>
              <w:rPr>
                <w:rFonts w:ascii="Arial" w:cs="Arial" w:eastAsia="Arial" w:hAnsi="Arial"/>
                <w:sz w:val="14"/>
                <w:szCs w:val="14"/>
                <w:b w:val="1"/>
                <w:bCs w:val="1"/>
                <w:color w:val="0E1020"/>
              </w:rPr>
              <w:t>Fiscal 2026</w:t>
            </w:r>
          </w:p>
        </w:tc>
      </w:tr>
      <w:tr>
        <w:trPr>
          <w:trHeight w:val="69"/>
        </w:trPr>
        <w:tc>
          <w:tcPr>
            <w:tcW w:w="2020" w:type="dxa"/>
            <w:vAlign w:val="bottom"/>
            <w:tcBorders>
              <w:bottom w:val="single" w:sz="8" w:color="CFCFD2"/>
            </w:tcBorders>
            <w:shd w:val="clear" w:color="auto" w:fill="F6F3F0"/>
          </w:tcPr>
          <w:p>
            <w:pPr>
              <w:spacing w:after="0"/>
              <w:rPr>
                <w:sz w:val="5"/>
                <w:szCs w:val="5"/>
                <w:color w:val="auto"/>
              </w:rPr>
            </w:pPr>
          </w:p>
        </w:tc>
        <w:tc>
          <w:tcPr>
            <w:tcW w:w="2020" w:type="dxa"/>
            <w:vAlign w:val="bottom"/>
            <w:tcBorders>
              <w:bottom w:val="single" w:sz="8" w:color="CFCFD2"/>
            </w:tcBorders>
            <w:shd w:val="clear" w:color="auto" w:fill="F6F3F0"/>
          </w:tcPr>
          <w:p>
            <w:pPr>
              <w:spacing w:after="0"/>
              <w:rPr>
                <w:sz w:val="5"/>
                <w:szCs w:val="5"/>
                <w:color w:val="auto"/>
              </w:rPr>
            </w:pPr>
          </w:p>
        </w:tc>
        <w:tc>
          <w:tcPr>
            <w:tcW w:w="2040" w:type="dxa"/>
            <w:vAlign w:val="bottom"/>
            <w:tcBorders>
              <w:bottom w:val="single" w:sz="8" w:color="CFCFD2"/>
            </w:tcBorders>
            <w:shd w:val="clear" w:color="auto" w:fill="F6F3F0"/>
          </w:tcPr>
          <w:p>
            <w:pPr>
              <w:spacing w:after="0"/>
              <w:rPr>
                <w:sz w:val="5"/>
                <w:szCs w:val="5"/>
                <w:color w:val="auto"/>
              </w:rPr>
            </w:pPr>
          </w:p>
        </w:tc>
        <w:tc>
          <w:tcPr>
            <w:tcW w:w="2040" w:type="dxa"/>
            <w:vAlign w:val="bottom"/>
            <w:tcBorders>
              <w:bottom w:val="single" w:sz="8" w:color="CFCFD2"/>
            </w:tcBorders>
            <w:shd w:val="clear" w:color="auto" w:fill="F6F3F0"/>
          </w:tcPr>
          <w:p>
            <w:pPr>
              <w:spacing w:after="0"/>
              <w:rPr>
                <w:sz w:val="5"/>
                <w:szCs w:val="5"/>
                <w:color w:val="auto"/>
              </w:rPr>
            </w:pPr>
          </w:p>
        </w:tc>
        <w:tc>
          <w:tcPr>
            <w:tcW w:w="2040" w:type="dxa"/>
            <w:vAlign w:val="bottom"/>
            <w:tcBorders>
              <w:bottom w:val="single" w:sz="8" w:color="CFCFD2"/>
            </w:tcBorders>
            <w:shd w:val="clear" w:color="auto" w:fill="F6F3F0"/>
          </w:tcPr>
          <w:p>
            <w:pPr>
              <w:spacing w:after="0"/>
              <w:rPr>
                <w:sz w:val="5"/>
                <w:szCs w:val="5"/>
                <w:color w:val="auto"/>
              </w:rPr>
            </w:pPr>
          </w:p>
        </w:tc>
      </w:tr>
      <w:tr>
        <w:trPr>
          <w:trHeight w:val="183"/>
        </w:trPr>
        <w:tc>
          <w:tcPr>
            <w:tcW w:w="2020" w:type="dxa"/>
            <w:vAlign w:val="bottom"/>
          </w:tcPr>
          <w:p>
            <w:pPr>
              <w:jc w:val="center"/>
              <w:spacing w:after="0"/>
              <w:rPr>
                <w:sz w:val="20"/>
                <w:szCs w:val="20"/>
                <w:color w:val="auto"/>
              </w:rPr>
            </w:pPr>
            <w:r>
              <w:rPr>
                <w:rFonts w:ascii="Arial" w:cs="Arial" w:eastAsia="Arial" w:hAnsi="Arial"/>
                <w:sz w:val="13"/>
                <w:szCs w:val="13"/>
                <w:color w:val="0E1020"/>
              </w:rPr>
              <w:t>Kenneth P. Sharp</w:t>
            </w:r>
          </w:p>
        </w:tc>
        <w:tc>
          <w:tcPr>
            <w:tcW w:w="2020" w:type="dxa"/>
            <w:vAlign w:val="bottom"/>
          </w:tcPr>
          <w:p>
            <w:pPr>
              <w:jc w:val="center"/>
              <w:spacing w:after="0"/>
              <w:rPr>
                <w:sz w:val="20"/>
                <w:szCs w:val="20"/>
                <w:color w:val="auto"/>
              </w:rPr>
            </w:pPr>
            <w:r>
              <w:rPr>
                <w:rFonts w:ascii="Arial" w:cs="Arial" w:eastAsia="Arial" w:hAnsi="Arial"/>
                <w:sz w:val="13"/>
                <w:szCs w:val="13"/>
                <w:color w:val="0E1020"/>
              </w:rPr>
              <w:t>Kenneth P. Sharp</w:t>
            </w:r>
          </w:p>
        </w:tc>
        <w:tc>
          <w:tcPr>
            <w:tcW w:w="2040" w:type="dxa"/>
            <w:vAlign w:val="bottom"/>
          </w:tcPr>
          <w:p>
            <w:pPr>
              <w:jc w:val="center"/>
              <w:spacing w:after="0"/>
              <w:rPr>
                <w:sz w:val="20"/>
                <w:szCs w:val="20"/>
                <w:color w:val="auto"/>
              </w:rPr>
            </w:pPr>
            <w:r>
              <w:rPr>
                <w:rFonts w:ascii="Arial" w:cs="Arial" w:eastAsia="Arial" w:hAnsi="Arial"/>
                <w:sz w:val="13"/>
                <w:szCs w:val="13"/>
                <w:color w:val="0E1020"/>
              </w:rPr>
              <w:t>Robert Del Bene</w:t>
            </w:r>
          </w:p>
        </w:tc>
        <w:tc>
          <w:tcPr>
            <w:tcW w:w="2040" w:type="dxa"/>
            <w:vAlign w:val="bottom"/>
          </w:tcPr>
          <w:p>
            <w:pPr>
              <w:jc w:val="center"/>
              <w:spacing w:after="0"/>
              <w:rPr>
                <w:sz w:val="20"/>
                <w:szCs w:val="20"/>
                <w:color w:val="auto"/>
              </w:rPr>
            </w:pPr>
            <w:r>
              <w:rPr>
                <w:rFonts w:ascii="Arial" w:cs="Arial" w:eastAsia="Arial" w:hAnsi="Arial"/>
                <w:sz w:val="13"/>
                <w:szCs w:val="13"/>
                <w:color w:val="0E1020"/>
              </w:rPr>
              <w:t>Robert Del Bene</w:t>
            </w:r>
          </w:p>
        </w:tc>
        <w:tc>
          <w:tcPr>
            <w:tcW w:w="2040" w:type="dxa"/>
            <w:vAlign w:val="bottom"/>
          </w:tcPr>
          <w:p>
            <w:pPr>
              <w:jc w:val="center"/>
              <w:spacing w:after="0"/>
              <w:rPr>
                <w:sz w:val="20"/>
                <w:szCs w:val="20"/>
                <w:color w:val="auto"/>
              </w:rPr>
            </w:pPr>
            <w:r>
              <w:rPr>
                <w:rFonts w:ascii="Arial" w:cs="Arial" w:eastAsia="Arial" w:hAnsi="Arial"/>
                <w:sz w:val="13"/>
                <w:szCs w:val="13"/>
                <w:color w:val="0E1020"/>
              </w:rPr>
              <w:t>Robert Del Bene</w:t>
            </w:r>
          </w:p>
        </w:tc>
      </w:tr>
      <w:tr>
        <w:trPr>
          <w:trHeight w:val="25"/>
        </w:trPr>
        <w:tc>
          <w:tcPr>
            <w:tcW w:w="2020" w:type="dxa"/>
            <w:vAlign w:val="bottom"/>
            <w:tcBorders>
              <w:bottom w:val="single" w:sz="8" w:color="CFCFD2"/>
            </w:tcBorders>
          </w:tcPr>
          <w:p>
            <w:pPr>
              <w:spacing w:after="0"/>
              <w:rPr>
                <w:sz w:val="2"/>
                <w:szCs w:val="2"/>
                <w:color w:val="auto"/>
              </w:rPr>
            </w:pPr>
          </w:p>
        </w:tc>
        <w:tc>
          <w:tcPr>
            <w:tcW w:w="2020" w:type="dxa"/>
            <w:vAlign w:val="bottom"/>
            <w:tcBorders>
              <w:bottom w:val="single" w:sz="8" w:color="CFCFD2"/>
            </w:tcBorders>
          </w:tcPr>
          <w:p>
            <w:pPr>
              <w:spacing w:after="0"/>
              <w:rPr>
                <w:sz w:val="2"/>
                <w:szCs w:val="2"/>
                <w:color w:val="auto"/>
              </w:rPr>
            </w:pPr>
          </w:p>
        </w:tc>
        <w:tc>
          <w:tcPr>
            <w:tcW w:w="2040" w:type="dxa"/>
            <w:vAlign w:val="bottom"/>
            <w:tcBorders>
              <w:bottom w:val="single" w:sz="8" w:color="CFCFD2"/>
            </w:tcBorders>
          </w:tcPr>
          <w:p>
            <w:pPr>
              <w:spacing w:after="0"/>
              <w:rPr>
                <w:sz w:val="2"/>
                <w:szCs w:val="2"/>
                <w:color w:val="auto"/>
              </w:rPr>
            </w:pPr>
          </w:p>
        </w:tc>
        <w:tc>
          <w:tcPr>
            <w:tcW w:w="2040" w:type="dxa"/>
            <w:vAlign w:val="bottom"/>
            <w:tcBorders>
              <w:bottom w:val="single" w:sz="8" w:color="CFCFD2"/>
            </w:tcBorders>
          </w:tcPr>
          <w:p>
            <w:pPr>
              <w:spacing w:after="0"/>
              <w:rPr>
                <w:sz w:val="2"/>
                <w:szCs w:val="2"/>
                <w:color w:val="auto"/>
              </w:rPr>
            </w:pPr>
          </w:p>
        </w:tc>
        <w:tc>
          <w:tcPr>
            <w:tcW w:w="2040" w:type="dxa"/>
            <w:vAlign w:val="bottom"/>
            <w:tcBorders>
              <w:bottom w:val="single" w:sz="8" w:color="CFCFD2"/>
            </w:tcBorders>
          </w:tcPr>
          <w:p>
            <w:pPr>
              <w:spacing w:after="0"/>
              <w:rPr>
                <w:sz w:val="2"/>
                <w:szCs w:val="2"/>
                <w:color w:val="auto"/>
              </w:rPr>
            </w:pPr>
          </w:p>
        </w:tc>
      </w:tr>
      <w:tr>
        <w:trPr>
          <w:trHeight w:val="183"/>
        </w:trPr>
        <w:tc>
          <w:tcPr>
            <w:tcW w:w="2020" w:type="dxa"/>
            <w:vAlign w:val="bottom"/>
          </w:tcPr>
          <w:p>
            <w:pPr>
              <w:jc w:val="center"/>
              <w:spacing w:after="0"/>
              <w:rPr>
                <w:sz w:val="20"/>
                <w:szCs w:val="20"/>
                <w:color w:val="auto"/>
              </w:rPr>
            </w:pPr>
            <w:r>
              <w:rPr>
                <w:rFonts w:ascii="Arial" w:cs="Arial" w:eastAsia="Arial" w:hAnsi="Arial"/>
                <w:sz w:val="13"/>
                <w:szCs w:val="13"/>
                <w:color w:val="0E1020"/>
              </w:rPr>
              <w:t>Mary E. Finch</w:t>
            </w:r>
          </w:p>
        </w:tc>
        <w:tc>
          <w:tcPr>
            <w:tcW w:w="2020" w:type="dxa"/>
            <w:vAlign w:val="bottom"/>
          </w:tcPr>
          <w:p>
            <w:pPr>
              <w:jc w:val="center"/>
              <w:spacing w:after="0"/>
              <w:rPr>
                <w:sz w:val="20"/>
                <w:szCs w:val="20"/>
                <w:color w:val="auto"/>
              </w:rPr>
            </w:pPr>
            <w:r>
              <w:rPr>
                <w:rFonts w:ascii="Arial" w:cs="Arial" w:eastAsia="Arial" w:hAnsi="Arial"/>
                <w:sz w:val="13"/>
                <w:szCs w:val="13"/>
                <w:color w:val="0E1020"/>
              </w:rPr>
              <w:t>Mary E. Finch</w:t>
            </w:r>
          </w:p>
        </w:tc>
        <w:tc>
          <w:tcPr>
            <w:tcW w:w="2040" w:type="dxa"/>
            <w:vAlign w:val="bottom"/>
          </w:tcPr>
          <w:p>
            <w:pPr>
              <w:jc w:val="center"/>
              <w:spacing w:after="0"/>
              <w:rPr>
                <w:sz w:val="20"/>
                <w:szCs w:val="20"/>
                <w:color w:val="auto"/>
              </w:rPr>
            </w:pPr>
            <w:r>
              <w:rPr>
                <w:rFonts w:ascii="Arial" w:cs="Arial" w:eastAsia="Arial" w:hAnsi="Arial"/>
                <w:sz w:val="13"/>
                <w:szCs w:val="13"/>
                <w:color w:val="0E1020"/>
              </w:rPr>
              <w:t>Howard Boville</w:t>
            </w:r>
          </w:p>
        </w:tc>
        <w:tc>
          <w:tcPr>
            <w:tcW w:w="2040" w:type="dxa"/>
            <w:vAlign w:val="bottom"/>
          </w:tcPr>
          <w:p>
            <w:pPr>
              <w:jc w:val="center"/>
              <w:spacing w:after="0"/>
              <w:rPr>
                <w:sz w:val="20"/>
                <w:szCs w:val="20"/>
                <w:color w:val="auto"/>
              </w:rPr>
            </w:pPr>
            <w:r>
              <w:rPr>
                <w:rFonts w:ascii="Arial" w:cs="Arial" w:eastAsia="Arial" w:hAnsi="Arial"/>
                <w:sz w:val="13"/>
                <w:szCs w:val="13"/>
                <w:color w:val="0E1020"/>
              </w:rPr>
              <w:t>Howard Boville</w:t>
            </w:r>
          </w:p>
        </w:tc>
        <w:tc>
          <w:tcPr>
            <w:tcW w:w="2040" w:type="dxa"/>
            <w:vAlign w:val="bottom"/>
          </w:tcPr>
          <w:p>
            <w:pPr>
              <w:jc w:val="center"/>
              <w:spacing w:after="0"/>
              <w:rPr>
                <w:sz w:val="20"/>
                <w:szCs w:val="20"/>
                <w:color w:val="auto"/>
              </w:rPr>
            </w:pPr>
            <w:r>
              <w:rPr>
                <w:rFonts w:ascii="Arial" w:cs="Arial" w:eastAsia="Arial" w:hAnsi="Arial"/>
                <w:sz w:val="13"/>
                <w:szCs w:val="13"/>
                <w:color w:val="0E1020"/>
              </w:rPr>
              <w:t>Christopher Drumgoole</w:t>
            </w:r>
          </w:p>
        </w:tc>
      </w:tr>
      <w:tr>
        <w:trPr>
          <w:trHeight w:val="25"/>
        </w:trPr>
        <w:tc>
          <w:tcPr>
            <w:tcW w:w="2020" w:type="dxa"/>
            <w:vAlign w:val="bottom"/>
            <w:tcBorders>
              <w:bottom w:val="single" w:sz="8" w:color="CFCFD2"/>
            </w:tcBorders>
          </w:tcPr>
          <w:p>
            <w:pPr>
              <w:spacing w:after="0"/>
              <w:rPr>
                <w:sz w:val="2"/>
                <w:szCs w:val="2"/>
                <w:color w:val="auto"/>
              </w:rPr>
            </w:pPr>
          </w:p>
        </w:tc>
        <w:tc>
          <w:tcPr>
            <w:tcW w:w="2020" w:type="dxa"/>
            <w:vAlign w:val="bottom"/>
            <w:tcBorders>
              <w:bottom w:val="single" w:sz="8" w:color="CFCFD2"/>
            </w:tcBorders>
          </w:tcPr>
          <w:p>
            <w:pPr>
              <w:spacing w:after="0"/>
              <w:rPr>
                <w:sz w:val="2"/>
                <w:szCs w:val="2"/>
                <w:color w:val="auto"/>
              </w:rPr>
            </w:pPr>
          </w:p>
        </w:tc>
        <w:tc>
          <w:tcPr>
            <w:tcW w:w="2040" w:type="dxa"/>
            <w:vAlign w:val="bottom"/>
            <w:tcBorders>
              <w:bottom w:val="single" w:sz="8" w:color="CFCFD2"/>
            </w:tcBorders>
          </w:tcPr>
          <w:p>
            <w:pPr>
              <w:spacing w:after="0"/>
              <w:rPr>
                <w:sz w:val="2"/>
                <w:szCs w:val="2"/>
                <w:color w:val="auto"/>
              </w:rPr>
            </w:pPr>
          </w:p>
        </w:tc>
        <w:tc>
          <w:tcPr>
            <w:tcW w:w="2040" w:type="dxa"/>
            <w:vAlign w:val="bottom"/>
            <w:tcBorders>
              <w:bottom w:val="single" w:sz="8" w:color="CFCFD2"/>
            </w:tcBorders>
          </w:tcPr>
          <w:p>
            <w:pPr>
              <w:spacing w:after="0"/>
              <w:rPr>
                <w:sz w:val="2"/>
                <w:szCs w:val="2"/>
                <w:color w:val="auto"/>
              </w:rPr>
            </w:pPr>
          </w:p>
        </w:tc>
        <w:tc>
          <w:tcPr>
            <w:tcW w:w="2040" w:type="dxa"/>
            <w:vAlign w:val="bottom"/>
            <w:tcBorders>
              <w:bottom w:val="single" w:sz="8" w:color="CFCFD2"/>
            </w:tcBorders>
          </w:tcPr>
          <w:p>
            <w:pPr>
              <w:spacing w:after="0"/>
              <w:rPr>
                <w:sz w:val="2"/>
                <w:szCs w:val="2"/>
                <w:color w:val="auto"/>
              </w:rPr>
            </w:pPr>
          </w:p>
        </w:tc>
      </w:tr>
      <w:tr>
        <w:trPr>
          <w:trHeight w:val="183"/>
        </w:trPr>
        <w:tc>
          <w:tcPr>
            <w:tcW w:w="2020" w:type="dxa"/>
            <w:vAlign w:val="bottom"/>
          </w:tcPr>
          <w:p>
            <w:pPr>
              <w:jc w:val="center"/>
              <w:spacing w:after="0"/>
              <w:rPr>
                <w:sz w:val="20"/>
                <w:szCs w:val="20"/>
                <w:color w:val="auto"/>
              </w:rPr>
            </w:pPr>
            <w:r>
              <w:rPr>
                <w:rFonts w:ascii="Arial" w:cs="Arial" w:eastAsia="Arial" w:hAnsi="Arial"/>
                <w:sz w:val="13"/>
                <w:szCs w:val="13"/>
                <w:color w:val="0E1020"/>
              </w:rPr>
              <w:t>William L. Deckelman Jr.</w:t>
            </w:r>
          </w:p>
        </w:tc>
        <w:tc>
          <w:tcPr>
            <w:tcW w:w="2020" w:type="dxa"/>
            <w:vAlign w:val="bottom"/>
          </w:tcPr>
          <w:p>
            <w:pPr>
              <w:jc w:val="center"/>
              <w:spacing w:after="0"/>
              <w:rPr>
                <w:sz w:val="20"/>
                <w:szCs w:val="20"/>
                <w:color w:val="auto"/>
              </w:rPr>
            </w:pPr>
            <w:r>
              <w:rPr>
                <w:rFonts w:ascii="Arial" w:cs="Arial" w:eastAsia="Arial" w:hAnsi="Arial"/>
                <w:sz w:val="13"/>
                <w:szCs w:val="13"/>
                <w:color w:val="0E1020"/>
              </w:rPr>
              <w:t>Christopher Drumgoole</w:t>
            </w:r>
          </w:p>
        </w:tc>
        <w:tc>
          <w:tcPr>
            <w:tcW w:w="2040" w:type="dxa"/>
            <w:vAlign w:val="bottom"/>
          </w:tcPr>
          <w:p>
            <w:pPr>
              <w:jc w:val="center"/>
              <w:spacing w:after="0"/>
              <w:rPr>
                <w:sz w:val="20"/>
                <w:szCs w:val="20"/>
                <w:color w:val="auto"/>
              </w:rPr>
            </w:pPr>
            <w:r>
              <w:rPr>
                <w:rFonts w:ascii="Arial" w:cs="Arial" w:eastAsia="Arial" w:hAnsi="Arial"/>
                <w:sz w:val="13"/>
                <w:szCs w:val="13"/>
                <w:color w:val="0E1020"/>
              </w:rPr>
              <w:t>Christopher Drumgoole</w:t>
            </w:r>
          </w:p>
        </w:tc>
        <w:tc>
          <w:tcPr>
            <w:tcW w:w="2040" w:type="dxa"/>
            <w:vAlign w:val="bottom"/>
          </w:tcPr>
          <w:p>
            <w:pPr>
              <w:jc w:val="center"/>
              <w:spacing w:after="0"/>
              <w:rPr>
                <w:sz w:val="20"/>
                <w:szCs w:val="20"/>
                <w:color w:val="auto"/>
              </w:rPr>
            </w:pPr>
            <w:r>
              <w:rPr>
                <w:rFonts w:ascii="Arial" w:cs="Arial" w:eastAsia="Arial" w:hAnsi="Arial"/>
                <w:sz w:val="13"/>
                <w:szCs w:val="13"/>
                <w:color w:val="0E1020"/>
              </w:rPr>
              <w:t>Christopher Drumgoole</w:t>
            </w:r>
          </w:p>
        </w:tc>
        <w:tc>
          <w:tcPr>
            <w:tcW w:w="2040" w:type="dxa"/>
            <w:vAlign w:val="bottom"/>
          </w:tcPr>
          <w:p>
            <w:pPr>
              <w:jc w:val="center"/>
              <w:spacing w:after="0"/>
              <w:rPr>
                <w:sz w:val="20"/>
                <w:szCs w:val="20"/>
                <w:color w:val="auto"/>
              </w:rPr>
            </w:pPr>
            <w:r>
              <w:rPr>
                <w:rFonts w:ascii="Arial" w:cs="Arial" w:eastAsia="Arial" w:hAnsi="Arial"/>
                <w:sz w:val="13"/>
                <w:szCs w:val="13"/>
                <w:color w:val="0E1020"/>
              </w:rPr>
              <w:t>Raymond A. August</w:t>
            </w:r>
          </w:p>
        </w:tc>
      </w:tr>
      <w:tr>
        <w:trPr>
          <w:trHeight w:val="25"/>
        </w:trPr>
        <w:tc>
          <w:tcPr>
            <w:tcW w:w="2020" w:type="dxa"/>
            <w:vAlign w:val="bottom"/>
            <w:tcBorders>
              <w:bottom w:val="single" w:sz="8" w:color="CFCFD2"/>
            </w:tcBorders>
          </w:tcPr>
          <w:p>
            <w:pPr>
              <w:spacing w:after="0"/>
              <w:rPr>
                <w:sz w:val="2"/>
                <w:szCs w:val="2"/>
                <w:color w:val="auto"/>
              </w:rPr>
            </w:pPr>
          </w:p>
        </w:tc>
        <w:tc>
          <w:tcPr>
            <w:tcW w:w="2020" w:type="dxa"/>
            <w:vAlign w:val="bottom"/>
            <w:tcBorders>
              <w:bottom w:val="single" w:sz="8" w:color="CFCFD2"/>
            </w:tcBorders>
          </w:tcPr>
          <w:p>
            <w:pPr>
              <w:spacing w:after="0"/>
              <w:rPr>
                <w:sz w:val="2"/>
                <w:szCs w:val="2"/>
                <w:color w:val="auto"/>
              </w:rPr>
            </w:pPr>
          </w:p>
        </w:tc>
        <w:tc>
          <w:tcPr>
            <w:tcW w:w="2040" w:type="dxa"/>
            <w:vAlign w:val="bottom"/>
            <w:tcBorders>
              <w:bottom w:val="single" w:sz="8" w:color="CFCFD2"/>
            </w:tcBorders>
          </w:tcPr>
          <w:p>
            <w:pPr>
              <w:spacing w:after="0"/>
              <w:rPr>
                <w:sz w:val="2"/>
                <w:szCs w:val="2"/>
                <w:color w:val="auto"/>
              </w:rPr>
            </w:pPr>
          </w:p>
        </w:tc>
        <w:tc>
          <w:tcPr>
            <w:tcW w:w="2040" w:type="dxa"/>
            <w:vAlign w:val="bottom"/>
            <w:tcBorders>
              <w:bottom w:val="single" w:sz="8" w:color="CFCFD2"/>
            </w:tcBorders>
          </w:tcPr>
          <w:p>
            <w:pPr>
              <w:spacing w:after="0"/>
              <w:rPr>
                <w:sz w:val="2"/>
                <w:szCs w:val="2"/>
                <w:color w:val="auto"/>
              </w:rPr>
            </w:pPr>
          </w:p>
        </w:tc>
        <w:tc>
          <w:tcPr>
            <w:tcW w:w="2040" w:type="dxa"/>
            <w:vAlign w:val="bottom"/>
            <w:tcBorders>
              <w:bottom w:val="single" w:sz="8" w:color="CFCFD2"/>
            </w:tcBorders>
          </w:tcPr>
          <w:p>
            <w:pPr>
              <w:spacing w:after="0"/>
              <w:rPr>
                <w:sz w:val="2"/>
                <w:szCs w:val="2"/>
                <w:color w:val="auto"/>
              </w:rPr>
            </w:pPr>
          </w:p>
        </w:tc>
      </w:tr>
      <w:tr>
        <w:trPr>
          <w:trHeight w:val="183"/>
        </w:trPr>
        <w:tc>
          <w:tcPr>
            <w:tcW w:w="2020" w:type="dxa"/>
            <w:vAlign w:val="bottom"/>
          </w:tcPr>
          <w:p>
            <w:pPr>
              <w:jc w:val="center"/>
              <w:spacing w:after="0"/>
              <w:rPr>
                <w:sz w:val="20"/>
                <w:szCs w:val="20"/>
                <w:color w:val="auto"/>
              </w:rPr>
            </w:pPr>
            <w:r>
              <w:rPr>
                <w:rFonts w:ascii="Arial" w:cs="Arial" w:eastAsia="Arial" w:hAnsi="Arial"/>
                <w:sz w:val="13"/>
                <w:szCs w:val="13"/>
                <w:color w:val="0E1020"/>
              </w:rPr>
              <w:t>Vinod Bagal</w:t>
            </w:r>
          </w:p>
        </w:tc>
        <w:tc>
          <w:tcPr>
            <w:tcW w:w="2020" w:type="dxa"/>
            <w:vAlign w:val="bottom"/>
          </w:tcPr>
          <w:p>
            <w:pPr>
              <w:jc w:val="center"/>
              <w:spacing w:after="0"/>
              <w:rPr>
                <w:sz w:val="20"/>
                <w:szCs w:val="20"/>
                <w:color w:val="auto"/>
              </w:rPr>
            </w:pPr>
            <w:r>
              <w:rPr>
                <w:rFonts w:ascii="Arial" w:cs="Arial" w:eastAsia="Arial" w:hAnsi="Arial"/>
                <w:sz w:val="13"/>
                <w:szCs w:val="13"/>
                <w:color w:val="0E1020"/>
              </w:rPr>
              <w:t>William L. Deckelman Jr.</w:t>
            </w:r>
          </w:p>
        </w:tc>
        <w:tc>
          <w:tcPr>
            <w:tcW w:w="2040" w:type="dxa"/>
            <w:vAlign w:val="bottom"/>
          </w:tcPr>
          <w:p>
            <w:pPr>
              <w:jc w:val="center"/>
              <w:spacing w:after="0"/>
              <w:rPr>
                <w:sz w:val="20"/>
                <w:szCs w:val="20"/>
                <w:color w:val="auto"/>
              </w:rPr>
            </w:pPr>
            <w:r>
              <w:rPr>
                <w:rFonts w:ascii="Arial" w:cs="Arial" w:eastAsia="Arial" w:hAnsi="Arial"/>
                <w:sz w:val="13"/>
                <w:szCs w:val="13"/>
                <w:color w:val="0E1020"/>
              </w:rPr>
              <w:t>James M. Brady</w:t>
            </w:r>
          </w:p>
        </w:tc>
        <w:tc>
          <w:tcPr>
            <w:tcW w:w="2040" w:type="dxa"/>
            <w:vAlign w:val="bottom"/>
          </w:tcPr>
          <w:p>
            <w:pPr>
              <w:jc w:val="center"/>
              <w:spacing w:after="0"/>
              <w:rPr>
                <w:sz w:val="20"/>
                <w:szCs w:val="20"/>
                <w:color w:val="auto"/>
              </w:rPr>
            </w:pPr>
            <w:r>
              <w:rPr>
                <w:rFonts w:ascii="Arial" w:cs="Arial" w:eastAsia="Arial" w:hAnsi="Arial"/>
                <w:sz w:val="13"/>
                <w:szCs w:val="13"/>
                <w:color w:val="0E1020"/>
              </w:rPr>
              <w:t>Matthew K. Fawcett</w:t>
            </w:r>
          </w:p>
        </w:tc>
        <w:tc>
          <w:tcPr>
            <w:tcW w:w="2040" w:type="dxa"/>
            <w:vAlign w:val="bottom"/>
          </w:tcPr>
          <w:p>
            <w:pPr>
              <w:jc w:val="center"/>
              <w:spacing w:after="0"/>
              <w:rPr>
                <w:sz w:val="20"/>
                <w:szCs w:val="20"/>
                <w:color w:val="auto"/>
              </w:rPr>
            </w:pPr>
            <w:r>
              <w:rPr>
                <w:rFonts w:ascii="Arial" w:cs="Arial" w:eastAsia="Arial" w:hAnsi="Arial"/>
                <w:sz w:val="13"/>
                <w:szCs w:val="13"/>
                <w:color w:val="0E1020"/>
              </w:rPr>
              <w:t>Matthew K. Fawcett</w:t>
            </w:r>
          </w:p>
        </w:tc>
      </w:tr>
      <w:tr>
        <w:trPr>
          <w:trHeight w:val="25"/>
        </w:trPr>
        <w:tc>
          <w:tcPr>
            <w:tcW w:w="2020" w:type="dxa"/>
            <w:vAlign w:val="bottom"/>
            <w:tcBorders>
              <w:bottom w:val="single" w:sz="8" w:color="CFCFD2"/>
            </w:tcBorders>
          </w:tcPr>
          <w:p>
            <w:pPr>
              <w:spacing w:after="0"/>
              <w:rPr>
                <w:sz w:val="2"/>
                <w:szCs w:val="2"/>
                <w:color w:val="auto"/>
              </w:rPr>
            </w:pPr>
          </w:p>
        </w:tc>
        <w:tc>
          <w:tcPr>
            <w:tcW w:w="2020" w:type="dxa"/>
            <w:vAlign w:val="bottom"/>
            <w:tcBorders>
              <w:bottom w:val="single" w:sz="8" w:color="CFCFD2"/>
            </w:tcBorders>
          </w:tcPr>
          <w:p>
            <w:pPr>
              <w:spacing w:after="0"/>
              <w:rPr>
                <w:sz w:val="2"/>
                <w:szCs w:val="2"/>
                <w:color w:val="auto"/>
              </w:rPr>
            </w:pPr>
          </w:p>
        </w:tc>
        <w:tc>
          <w:tcPr>
            <w:tcW w:w="2040" w:type="dxa"/>
            <w:vAlign w:val="bottom"/>
            <w:tcBorders>
              <w:bottom w:val="single" w:sz="8" w:color="CFCFD2"/>
            </w:tcBorders>
          </w:tcPr>
          <w:p>
            <w:pPr>
              <w:spacing w:after="0"/>
              <w:rPr>
                <w:sz w:val="2"/>
                <w:szCs w:val="2"/>
                <w:color w:val="auto"/>
              </w:rPr>
            </w:pPr>
          </w:p>
        </w:tc>
        <w:tc>
          <w:tcPr>
            <w:tcW w:w="2040" w:type="dxa"/>
            <w:vAlign w:val="bottom"/>
            <w:tcBorders>
              <w:bottom w:val="single" w:sz="8" w:color="CFCFD2"/>
            </w:tcBorders>
          </w:tcPr>
          <w:p>
            <w:pPr>
              <w:spacing w:after="0"/>
              <w:rPr>
                <w:sz w:val="2"/>
                <w:szCs w:val="2"/>
                <w:color w:val="auto"/>
              </w:rPr>
            </w:pPr>
          </w:p>
        </w:tc>
        <w:tc>
          <w:tcPr>
            <w:tcW w:w="2040" w:type="dxa"/>
            <w:vAlign w:val="bottom"/>
            <w:tcBorders>
              <w:bottom w:val="single" w:sz="8" w:color="CFCFD2"/>
            </w:tcBorders>
          </w:tcPr>
          <w:p>
            <w:pPr>
              <w:spacing w:after="0"/>
              <w:rPr>
                <w:sz w:val="2"/>
                <w:szCs w:val="2"/>
                <w:color w:val="auto"/>
              </w:rPr>
            </w:pPr>
          </w:p>
        </w:tc>
      </w:tr>
      <w:tr>
        <w:trPr>
          <w:trHeight w:val="183"/>
        </w:trPr>
        <w:tc>
          <w:tcPr>
            <w:tcW w:w="20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3"/>
                <w:szCs w:val="13"/>
                <w:color w:val="0E1020"/>
              </w:rPr>
              <w:t>Kenneth P. Sharp</w:t>
            </w:r>
          </w:p>
        </w:tc>
        <w:tc>
          <w:tcPr>
            <w:tcW w:w="2040" w:type="dxa"/>
            <w:vAlign w:val="bottom"/>
          </w:tcPr>
          <w:p>
            <w:pPr>
              <w:jc w:val="center"/>
              <w:spacing w:after="0"/>
              <w:rPr>
                <w:sz w:val="20"/>
                <w:szCs w:val="20"/>
                <w:color w:val="auto"/>
              </w:rPr>
            </w:pPr>
            <w:r>
              <w:rPr>
                <w:rFonts w:ascii="Arial" w:cs="Arial" w:eastAsia="Arial" w:hAnsi="Arial"/>
                <w:sz w:val="13"/>
                <w:szCs w:val="13"/>
                <w:color w:val="0E1020"/>
              </w:rPr>
              <w:t>Andrew Wilson</w:t>
            </w:r>
          </w:p>
        </w:tc>
        <w:tc>
          <w:tcPr>
            <w:tcW w:w="2040" w:type="dxa"/>
            <w:vAlign w:val="bottom"/>
          </w:tcPr>
          <w:p>
            <w:pPr>
              <w:jc w:val="center"/>
              <w:spacing w:after="0"/>
              <w:rPr>
                <w:sz w:val="20"/>
                <w:szCs w:val="20"/>
                <w:color w:val="auto"/>
              </w:rPr>
            </w:pPr>
            <w:r>
              <w:rPr>
                <w:rFonts w:ascii="Arial" w:cs="Arial" w:eastAsia="Arial" w:hAnsi="Arial"/>
                <w:sz w:val="13"/>
                <w:szCs w:val="13"/>
                <w:color w:val="0E1020"/>
              </w:rPr>
              <w:t>Howard Boville</w:t>
            </w:r>
          </w:p>
        </w:tc>
      </w:tr>
      <w:tr>
        <w:trPr>
          <w:trHeight w:val="25"/>
        </w:trPr>
        <w:tc>
          <w:tcPr>
            <w:tcW w:w="2020" w:type="dxa"/>
            <w:vAlign w:val="bottom"/>
            <w:tcBorders>
              <w:bottom w:val="single" w:sz="8" w:color="CFCFD2"/>
            </w:tcBorders>
          </w:tcPr>
          <w:p>
            <w:pPr>
              <w:spacing w:after="0"/>
              <w:rPr>
                <w:sz w:val="2"/>
                <w:szCs w:val="2"/>
                <w:color w:val="auto"/>
              </w:rPr>
            </w:pPr>
          </w:p>
        </w:tc>
        <w:tc>
          <w:tcPr>
            <w:tcW w:w="2020" w:type="dxa"/>
            <w:vAlign w:val="bottom"/>
            <w:tcBorders>
              <w:bottom w:val="single" w:sz="8" w:color="CFCFD2"/>
            </w:tcBorders>
          </w:tcPr>
          <w:p>
            <w:pPr>
              <w:spacing w:after="0"/>
              <w:rPr>
                <w:sz w:val="2"/>
                <w:szCs w:val="2"/>
                <w:color w:val="auto"/>
              </w:rPr>
            </w:pPr>
          </w:p>
        </w:tc>
        <w:tc>
          <w:tcPr>
            <w:tcW w:w="2040" w:type="dxa"/>
            <w:vAlign w:val="bottom"/>
            <w:tcBorders>
              <w:bottom w:val="single" w:sz="8" w:color="CFCFD2"/>
            </w:tcBorders>
          </w:tcPr>
          <w:p>
            <w:pPr>
              <w:spacing w:after="0"/>
              <w:rPr>
                <w:sz w:val="2"/>
                <w:szCs w:val="2"/>
                <w:color w:val="auto"/>
              </w:rPr>
            </w:pPr>
          </w:p>
        </w:tc>
        <w:tc>
          <w:tcPr>
            <w:tcW w:w="2040" w:type="dxa"/>
            <w:vAlign w:val="bottom"/>
            <w:tcBorders>
              <w:bottom w:val="single" w:sz="8" w:color="CFCFD2"/>
            </w:tcBorders>
          </w:tcPr>
          <w:p>
            <w:pPr>
              <w:spacing w:after="0"/>
              <w:rPr>
                <w:sz w:val="2"/>
                <w:szCs w:val="2"/>
                <w:color w:val="auto"/>
              </w:rPr>
            </w:pPr>
          </w:p>
        </w:tc>
        <w:tc>
          <w:tcPr>
            <w:tcW w:w="2040" w:type="dxa"/>
            <w:vAlign w:val="bottom"/>
            <w:tcBorders>
              <w:bottom w:val="single" w:sz="8" w:color="CFCFD2"/>
            </w:tcBorders>
          </w:tcPr>
          <w:p>
            <w:pPr>
              <w:spacing w:after="0"/>
              <w:rPr>
                <w:sz w:val="2"/>
                <w:szCs w:val="2"/>
                <w:color w:val="auto"/>
              </w:rPr>
            </w:pPr>
          </w:p>
        </w:tc>
      </w:tr>
      <w:tr>
        <w:trPr>
          <w:trHeight w:val="183"/>
        </w:trPr>
        <w:tc>
          <w:tcPr>
            <w:tcW w:w="20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3"/>
                <w:szCs w:val="13"/>
                <w:color w:val="0E1020"/>
              </w:rPr>
              <w:t>James M. Brady</w:t>
            </w:r>
          </w:p>
        </w:tc>
        <w:tc>
          <w:tcPr>
            <w:tcW w:w="2040" w:type="dxa"/>
            <w:vAlign w:val="bottom"/>
          </w:tcPr>
          <w:p>
            <w:pPr>
              <w:spacing w:after="0"/>
              <w:rPr>
                <w:sz w:val="15"/>
                <w:szCs w:val="15"/>
                <w:color w:val="auto"/>
              </w:rPr>
            </w:pPr>
          </w:p>
        </w:tc>
      </w:tr>
      <w:tr>
        <w:trPr>
          <w:trHeight w:val="25"/>
        </w:trPr>
        <w:tc>
          <w:tcPr>
            <w:tcW w:w="2020" w:type="dxa"/>
            <w:vAlign w:val="bottom"/>
            <w:tcBorders>
              <w:bottom w:val="single" w:sz="8" w:color="CFCFD2"/>
            </w:tcBorders>
          </w:tcPr>
          <w:p>
            <w:pPr>
              <w:spacing w:after="0"/>
              <w:rPr>
                <w:sz w:val="2"/>
                <w:szCs w:val="2"/>
                <w:color w:val="auto"/>
              </w:rPr>
            </w:pPr>
          </w:p>
        </w:tc>
        <w:tc>
          <w:tcPr>
            <w:tcW w:w="2020" w:type="dxa"/>
            <w:vAlign w:val="bottom"/>
            <w:tcBorders>
              <w:bottom w:val="single" w:sz="8" w:color="CFCFD2"/>
            </w:tcBorders>
          </w:tcPr>
          <w:p>
            <w:pPr>
              <w:spacing w:after="0"/>
              <w:rPr>
                <w:sz w:val="2"/>
                <w:szCs w:val="2"/>
                <w:color w:val="auto"/>
              </w:rPr>
            </w:pPr>
          </w:p>
        </w:tc>
        <w:tc>
          <w:tcPr>
            <w:tcW w:w="2040" w:type="dxa"/>
            <w:vAlign w:val="bottom"/>
            <w:tcBorders>
              <w:bottom w:val="single" w:sz="8" w:color="CFCFD2"/>
            </w:tcBorders>
          </w:tcPr>
          <w:p>
            <w:pPr>
              <w:spacing w:after="0"/>
              <w:rPr>
                <w:sz w:val="2"/>
                <w:szCs w:val="2"/>
                <w:color w:val="auto"/>
              </w:rPr>
            </w:pPr>
          </w:p>
        </w:tc>
        <w:tc>
          <w:tcPr>
            <w:tcW w:w="2040" w:type="dxa"/>
            <w:vAlign w:val="bottom"/>
            <w:tcBorders>
              <w:bottom w:val="single" w:sz="8" w:color="CFCFD2"/>
            </w:tcBorders>
          </w:tcPr>
          <w:p>
            <w:pPr>
              <w:spacing w:after="0"/>
              <w:rPr>
                <w:sz w:val="2"/>
                <w:szCs w:val="2"/>
                <w:color w:val="auto"/>
              </w:rPr>
            </w:pPr>
          </w:p>
        </w:tc>
        <w:tc>
          <w:tcPr>
            <w:tcW w:w="2040" w:type="dxa"/>
            <w:vAlign w:val="bottom"/>
            <w:tcBorders>
              <w:bottom w:val="single" w:sz="8" w:color="CFCFD2"/>
            </w:tcBorders>
          </w:tcPr>
          <w:p>
            <w:pPr>
              <w:spacing w:after="0"/>
              <w:rPr>
                <w:sz w:val="2"/>
                <w:szCs w:val="2"/>
                <w:color w:val="auto"/>
              </w:rPr>
            </w:pPr>
          </w:p>
        </w:tc>
      </w:tr>
    </w:tbl>
    <w:p>
      <w:pPr>
        <w:spacing w:after="0" w:line="192" w:lineRule="exact"/>
        <w:rPr>
          <w:sz w:val="20"/>
          <w:szCs w:val="20"/>
          <w:color w:val="auto"/>
        </w:rPr>
      </w:pPr>
    </w:p>
    <w:p>
      <w:pPr>
        <w:ind w:left="480" w:right="100" w:hanging="312"/>
        <w:spacing w:after="0" w:line="280" w:lineRule="auto"/>
        <w:tabs>
          <w:tab w:leader="none" w:pos="453" w:val="left"/>
        </w:tabs>
        <w:numPr>
          <w:ilvl w:val="0"/>
          <w:numId w:val="103"/>
        </w:numPr>
        <w:rPr>
          <w:rFonts w:ascii="Arial" w:cs="Arial" w:eastAsia="Arial" w:hAnsi="Arial"/>
          <w:sz w:val="14"/>
          <w:szCs w:val="14"/>
          <w:color w:val="0E1020"/>
        </w:rPr>
      </w:pPr>
      <w:r>
        <w:rPr>
          <w:rFonts w:ascii="Arial" w:cs="Arial" w:eastAsia="Arial" w:hAnsi="Arial"/>
          <w:sz w:val="14"/>
          <w:szCs w:val="14"/>
          <w:color w:val="0E1020"/>
        </w:rPr>
        <w:t>The amounts shown for Compensation Actually Paid have been calculated in accordance with Item 402(v) of Regulation S-K and do not reflect compensation actually realized or received by the Company’s PEO and Non-PEO NEOs. These amounts reflect compensation as set forth in the Summary Compensation Table above for each year, adjusted as described in footnote 3 below.</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tabs>
          <w:tab w:leader="none" w:pos="552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98</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06" w:name="page107"/>
    <w:bookmarkEnd w:id="106"/>
    <w:p>
      <w:pPr>
        <w:spacing w:after="0"/>
        <w:tabs>
          <w:tab w:leader="none" w:pos="916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0E1020"/>
        </w:rPr>
        <w:t>Executive Compensation Tables</w:t>
      </w:r>
    </w:p>
    <w:p>
      <w:pPr>
        <w:spacing w:after="0" w:line="200" w:lineRule="exact"/>
        <w:rPr>
          <w:sz w:val="20"/>
          <w:szCs w:val="20"/>
          <w:color w:val="auto"/>
        </w:rPr>
      </w:pPr>
    </w:p>
    <w:p>
      <w:pPr>
        <w:spacing w:after="0" w:line="349" w:lineRule="exact"/>
        <w:rPr>
          <w:sz w:val="20"/>
          <w:szCs w:val="20"/>
          <w:color w:val="auto"/>
        </w:rPr>
      </w:pPr>
    </w:p>
    <w:p>
      <w:pPr>
        <w:ind w:left="460" w:right="360" w:hanging="312"/>
        <w:spacing w:after="0" w:line="280" w:lineRule="auto"/>
        <w:tabs>
          <w:tab w:leader="none" w:pos="433" w:val="left"/>
        </w:tabs>
        <w:numPr>
          <w:ilvl w:val="0"/>
          <w:numId w:val="104"/>
        </w:numPr>
        <w:rPr>
          <w:rFonts w:ascii="Arial" w:cs="Arial" w:eastAsia="Arial" w:hAnsi="Arial"/>
          <w:sz w:val="14"/>
          <w:szCs w:val="14"/>
          <w:color w:val="0E1020"/>
        </w:rPr>
      </w:pPr>
      <w:r>
        <w:rPr>
          <w:rFonts w:ascii="Arial" w:cs="Arial" w:eastAsia="Arial" w:hAnsi="Arial"/>
          <w:sz w:val="14"/>
          <w:szCs w:val="14"/>
          <w:color w:val="0E1020"/>
        </w:rPr>
        <w:t>Compensation Actually Paid reflects the exclusions and inclusions of certain amounts for the PEO and the Non-PEO NEOs as set forth below. Equity values are calculated in accordance with FASB ASC Topic 718. Amounts in the Exclusion of Stock Awards column are the totals from the Stock Awards columns set forth in the Summary Compensation Table.</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45"/>
        </w:trPr>
        <w:tc>
          <w:tcPr>
            <w:tcW w:w="780" w:type="dxa"/>
            <w:vAlign w:val="bottom"/>
            <w:vMerge w:val="restart"/>
            <w:shd w:val="clear" w:color="auto" w:fill="F6F3F0"/>
          </w:tcPr>
          <w:p>
            <w:pPr>
              <w:ind w:left="100"/>
              <w:spacing w:after="0"/>
              <w:rPr>
                <w:sz w:val="20"/>
                <w:szCs w:val="20"/>
                <w:color w:val="auto"/>
              </w:rPr>
            </w:pPr>
            <w:r>
              <w:rPr>
                <w:rFonts w:ascii="Arial" w:cs="Arial" w:eastAsia="Arial" w:hAnsi="Arial"/>
                <w:sz w:val="14"/>
                <w:szCs w:val="14"/>
                <w:b w:val="1"/>
                <w:bCs w:val="1"/>
                <w:color w:val="0E1020"/>
              </w:rPr>
              <w:t>Fiscal</w:t>
            </w:r>
          </w:p>
        </w:tc>
        <w:tc>
          <w:tcPr>
            <w:tcW w:w="232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Summary Compensation Table</w:t>
            </w:r>
          </w:p>
        </w:tc>
        <w:tc>
          <w:tcPr>
            <w:tcW w:w="23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Exclusion of Stock Awards for</w:t>
            </w:r>
          </w:p>
        </w:tc>
        <w:tc>
          <w:tcPr>
            <w:tcW w:w="2380" w:type="dxa"/>
            <w:vAlign w:val="bottom"/>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Total - Inclusion of Equity Values</w:t>
            </w:r>
          </w:p>
        </w:tc>
        <w:tc>
          <w:tcPr>
            <w:tcW w:w="2360" w:type="dxa"/>
            <w:vAlign w:val="bottom"/>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Compensation Actually Paid to</w:t>
            </w:r>
          </w:p>
        </w:tc>
        <w:tc>
          <w:tcPr>
            <w:tcW w:w="0" w:type="dxa"/>
            <w:vAlign w:val="bottom"/>
          </w:tcPr>
          <w:p>
            <w:pPr>
              <w:spacing w:after="0"/>
              <w:rPr>
                <w:sz w:val="1"/>
                <w:szCs w:val="1"/>
                <w:color w:val="auto"/>
              </w:rPr>
            </w:pPr>
          </w:p>
        </w:tc>
      </w:tr>
      <w:tr>
        <w:trPr>
          <w:trHeight w:val="161"/>
        </w:trPr>
        <w:tc>
          <w:tcPr>
            <w:tcW w:w="780" w:type="dxa"/>
            <w:vAlign w:val="bottom"/>
            <w:vMerge w:val="continue"/>
            <w:shd w:val="clear" w:color="auto" w:fill="F6F3F0"/>
          </w:tcPr>
          <w:p>
            <w:pPr>
              <w:spacing w:after="0"/>
              <w:rPr>
                <w:sz w:val="13"/>
                <w:szCs w:val="13"/>
                <w:color w:val="auto"/>
              </w:rPr>
            </w:pPr>
          </w:p>
        </w:tc>
        <w:tc>
          <w:tcPr>
            <w:tcW w:w="232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Total for Mr. Fernandez</w:t>
            </w:r>
          </w:p>
        </w:tc>
        <w:tc>
          <w:tcPr>
            <w:tcW w:w="23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Mr. Fernandez</w:t>
            </w:r>
          </w:p>
        </w:tc>
        <w:tc>
          <w:tcPr>
            <w:tcW w:w="2380" w:type="dxa"/>
            <w:vAlign w:val="bottom"/>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for Mr. Fernandez</w:t>
            </w:r>
          </w:p>
        </w:tc>
        <w:tc>
          <w:tcPr>
            <w:tcW w:w="2360" w:type="dxa"/>
            <w:vAlign w:val="bottom"/>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Mr. Fernandez</w:t>
            </w:r>
          </w:p>
        </w:tc>
        <w:tc>
          <w:tcPr>
            <w:tcW w:w="0" w:type="dxa"/>
            <w:vAlign w:val="bottom"/>
          </w:tcPr>
          <w:p>
            <w:pPr>
              <w:spacing w:after="0"/>
              <w:rPr>
                <w:sz w:val="1"/>
                <w:szCs w:val="1"/>
                <w:color w:val="auto"/>
              </w:rPr>
            </w:pPr>
          </w:p>
        </w:tc>
      </w:tr>
      <w:tr>
        <w:trPr>
          <w:trHeight w:val="195"/>
        </w:trPr>
        <w:tc>
          <w:tcPr>
            <w:tcW w:w="780" w:type="dxa"/>
            <w:vAlign w:val="bottom"/>
            <w:shd w:val="clear" w:color="auto" w:fill="F6F3F0"/>
          </w:tcPr>
          <w:p>
            <w:pPr>
              <w:ind w:left="100"/>
              <w:spacing w:after="0"/>
              <w:rPr>
                <w:sz w:val="20"/>
                <w:szCs w:val="20"/>
                <w:color w:val="auto"/>
              </w:rPr>
            </w:pPr>
            <w:r>
              <w:rPr>
                <w:rFonts w:ascii="Arial" w:cs="Arial" w:eastAsia="Arial" w:hAnsi="Arial"/>
                <w:sz w:val="14"/>
                <w:szCs w:val="14"/>
                <w:b w:val="1"/>
                <w:bCs w:val="1"/>
                <w:color w:val="0E1020"/>
              </w:rPr>
              <w:t>Year</w:t>
            </w:r>
          </w:p>
        </w:tc>
        <w:tc>
          <w:tcPr>
            <w:tcW w:w="232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23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2380" w:type="dxa"/>
            <w:vAlign w:val="bottom"/>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w:t>
            </w:r>
          </w:p>
        </w:tc>
        <w:tc>
          <w:tcPr>
            <w:tcW w:w="2360" w:type="dxa"/>
            <w:vAlign w:val="bottom"/>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w:t>
            </w:r>
          </w:p>
        </w:tc>
        <w:tc>
          <w:tcPr>
            <w:tcW w:w="0" w:type="dxa"/>
            <w:vAlign w:val="bottom"/>
          </w:tcPr>
          <w:p>
            <w:pPr>
              <w:spacing w:after="0"/>
              <w:rPr>
                <w:sz w:val="1"/>
                <w:szCs w:val="1"/>
                <w:color w:val="auto"/>
              </w:rPr>
            </w:pPr>
          </w:p>
        </w:tc>
      </w:tr>
      <w:tr>
        <w:trPr>
          <w:trHeight w:val="69"/>
        </w:trPr>
        <w:tc>
          <w:tcPr>
            <w:tcW w:w="780" w:type="dxa"/>
            <w:vAlign w:val="bottom"/>
            <w:tcBorders>
              <w:bottom w:val="single" w:sz="8" w:color="CFCFD2"/>
            </w:tcBorders>
            <w:shd w:val="clear" w:color="auto" w:fill="F6F3F0"/>
          </w:tcPr>
          <w:p>
            <w:pPr>
              <w:spacing w:after="0"/>
              <w:rPr>
                <w:sz w:val="5"/>
                <w:szCs w:val="5"/>
                <w:color w:val="auto"/>
              </w:rPr>
            </w:pPr>
          </w:p>
        </w:tc>
        <w:tc>
          <w:tcPr>
            <w:tcW w:w="2320" w:type="dxa"/>
            <w:vAlign w:val="bottom"/>
            <w:tcBorders>
              <w:bottom w:val="single" w:sz="8" w:color="CFCFD2"/>
            </w:tcBorders>
            <w:shd w:val="clear" w:color="auto" w:fill="F6F3F0"/>
          </w:tcPr>
          <w:p>
            <w:pPr>
              <w:spacing w:after="0"/>
              <w:rPr>
                <w:sz w:val="5"/>
                <w:szCs w:val="5"/>
                <w:color w:val="auto"/>
              </w:rPr>
            </w:pPr>
          </w:p>
        </w:tc>
        <w:tc>
          <w:tcPr>
            <w:tcW w:w="2340" w:type="dxa"/>
            <w:vAlign w:val="bottom"/>
            <w:tcBorders>
              <w:bottom w:val="single" w:sz="8" w:color="CFCFD2"/>
            </w:tcBorders>
            <w:shd w:val="clear" w:color="auto" w:fill="F6F3F0"/>
          </w:tcPr>
          <w:p>
            <w:pPr>
              <w:spacing w:after="0"/>
              <w:rPr>
                <w:sz w:val="5"/>
                <w:szCs w:val="5"/>
                <w:color w:val="auto"/>
              </w:rPr>
            </w:pPr>
          </w:p>
        </w:tc>
        <w:tc>
          <w:tcPr>
            <w:tcW w:w="2380" w:type="dxa"/>
            <w:vAlign w:val="bottom"/>
            <w:tcBorders>
              <w:bottom w:val="single" w:sz="8" w:color="CFCFD2"/>
            </w:tcBorders>
            <w:shd w:val="clear" w:color="auto" w:fill="F6F3F0"/>
          </w:tcPr>
          <w:p>
            <w:pPr>
              <w:spacing w:after="0"/>
              <w:rPr>
                <w:sz w:val="5"/>
                <w:szCs w:val="5"/>
                <w:color w:val="auto"/>
              </w:rPr>
            </w:pPr>
          </w:p>
        </w:tc>
        <w:tc>
          <w:tcPr>
            <w:tcW w:w="2360" w:type="dxa"/>
            <w:vAlign w:val="bottom"/>
            <w:tcBorders>
              <w:bottom w:val="single" w:sz="8" w:color="CFCFD2"/>
            </w:tcBorders>
            <w:shd w:val="clear" w:color="auto" w:fill="F6F3F0"/>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780" w:type="dxa"/>
            <w:vAlign w:val="bottom"/>
          </w:tcPr>
          <w:p>
            <w:pPr>
              <w:ind w:left="100"/>
              <w:spacing w:after="0"/>
              <w:rPr>
                <w:sz w:val="20"/>
                <w:szCs w:val="20"/>
                <w:color w:val="auto"/>
              </w:rPr>
            </w:pPr>
            <w:r>
              <w:rPr>
                <w:rFonts w:ascii="Arial" w:cs="Arial" w:eastAsia="Arial" w:hAnsi="Arial"/>
                <w:sz w:val="14"/>
                <w:szCs w:val="14"/>
                <w:color w:val="0E1020"/>
              </w:rPr>
              <w:t>2026</w:t>
            </w:r>
          </w:p>
        </w:tc>
        <w:tc>
          <w:tcPr>
            <w:tcW w:w="2320" w:type="dxa"/>
            <w:vAlign w:val="bottom"/>
          </w:tcPr>
          <w:p>
            <w:pPr>
              <w:jc w:val="right"/>
              <w:ind w:right="9"/>
              <w:spacing w:after="0"/>
              <w:rPr>
                <w:sz w:val="20"/>
                <w:szCs w:val="20"/>
                <w:color w:val="auto"/>
              </w:rPr>
            </w:pPr>
            <w:r>
              <w:rPr>
                <w:rFonts w:ascii="Arial" w:cs="Arial" w:eastAsia="Arial" w:hAnsi="Arial"/>
                <w:sz w:val="14"/>
                <w:szCs w:val="14"/>
                <w:color w:val="0E1020"/>
              </w:rPr>
              <w:t>47,790,716</w:t>
            </w:r>
          </w:p>
        </w:tc>
        <w:tc>
          <w:tcPr>
            <w:tcW w:w="2340" w:type="dxa"/>
            <w:vAlign w:val="bottom"/>
          </w:tcPr>
          <w:p>
            <w:pPr>
              <w:jc w:val="right"/>
              <w:ind w:right="29"/>
              <w:spacing w:after="0"/>
              <w:rPr>
                <w:sz w:val="20"/>
                <w:szCs w:val="20"/>
                <w:color w:val="auto"/>
              </w:rPr>
            </w:pPr>
            <w:r>
              <w:rPr>
                <w:rFonts w:ascii="Arial" w:cs="Arial" w:eastAsia="Arial" w:hAnsi="Arial"/>
                <w:sz w:val="14"/>
                <w:szCs w:val="14"/>
                <w:color w:val="0E1020"/>
              </w:rPr>
              <w:t>42,402,038</w:t>
            </w:r>
          </w:p>
        </w:tc>
        <w:tc>
          <w:tcPr>
            <w:tcW w:w="2380" w:type="dxa"/>
            <w:vAlign w:val="bottom"/>
          </w:tcPr>
          <w:p>
            <w:pPr>
              <w:jc w:val="right"/>
              <w:ind w:right="89"/>
              <w:spacing w:after="0"/>
              <w:rPr>
                <w:sz w:val="20"/>
                <w:szCs w:val="20"/>
                <w:color w:val="auto"/>
              </w:rPr>
            </w:pPr>
            <w:r>
              <w:rPr>
                <w:rFonts w:ascii="Arial" w:cs="Arial" w:eastAsia="Arial" w:hAnsi="Arial"/>
                <w:sz w:val="14"/>
                <w:szCs w:val="14"/>
                <w:color w:val="0E1020"/>
              </w:rPr>
              <w:t>31,058,948</w:t>
            </w:r>
          </w:p>
        </w:tc>
        <w:tc>
          <w:tcPr>
            <w:tcW w:w="2360" w:type="dxa"/>
            <w:vAlign w:val="bottom"/>
          </w:tcPr>
          <w:p>
            <w:pPr>
              <w:jc w:val="right"/>
              <w:ind w:right="129"/>
              <w:spacing w:after="0"/>
              <w:rPr>
                <w:sz w:val="20"/>
                <w:szCs w:val="20"/>
                <w:color w:val="auto"/>
              </w:rPr>
            </w:pPr>
            <w:r>
              <w:rPr>
                <w:rFonts w:ascii="Arial" w:cs="Arial" w:eastAsia="Arial" w:hAnsi="Arial"/>
                <w:sz w:val="14"/>
                <w:szCs w:val="14"/>
                <w:color w:val="0E1020"/>
              </w:rPr>
              <w:t>36,447,626</w:t>
            </w:r>
          </w:p>
        </w:tc>
        <w:tc>
          <w:tcPr>
            <w:tcW w:w="0" w:type="dxa"/>
            <w:vAlign w:val="bottom"/>
          </w:tcPr>
          <w:p>
            <w:pPr>
              <w:spacing w:after="0"/>
              <w:rPr>
                <w:sz w:val="1"/>
                <w:szCs w:val="1"/>
                <w:color w:val="auto"/>
              </w:rPr>
            </w:pPr>
          </w:p>
        </w:tc>
      </w:tr>
      <w:tr>
        <w:trPr>
          <w:trHeight w:val="21"/>
        </w:trPr>
        <w:tc>
          <w:tcPr>
            <w:tcW w:w="780" w:type="dxa"/>
            <w:vAlign w:val="bottom"/>
            <w:tcBorders>
              <w:bottom w:val="single" w:sz="8" w:color="CFCFD2"/>
            </w:tcBorders>
          </w:tcPr>
          <w:p>
            <w:pPr>
              <w:spacing w:after="0" w:line="20" w:lineRule="exact"/>
              <w:rPr>
                <w:sz w:val="1"/>
                <w:szCs w:val="1"/>
                <w:color w:val="auto"/>
              </w:rPr>
            </w:pPr>
          </w:p>
        </w:tc>
        <w:tc>
          <w:tcPr>
            <w:tcW w:w="23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380" w:type="dxa"/>
            <w:vAlign w:val="bottom"/>
            <w:tcBorders>
              <w:bottom w:val="single" w:sz="8" w:color="CFCFD2"/>
            </w:tcBorders>
          </w:tcPr>
          <w:p>
            <w:pPr>
              <w:spacing w:after="0" w:line="20" w:lineRule="exact"/>
              <w:rPr>
                <w:sz w:val="1"/>
                <w:szCs w:val="1"/>
                <w:color w:val="auto"/>
              </w:rPr>
            </w:pPr>
          </w:p>
        </w:tc>
        <w:tc>
          <w:tcPr>
            <w:tcW w:w="2360" w:type="dxa"/>
            <w:vAlign w:val="bottom"/>
            <w:tcBorders>
              <w:bottom w:val="single" w:sz="8" w:color="CFCF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80" w:type="dxa"/>
            <w:vAlign w:val="bottom"/>
          </w:tcPr>
          <w:p>
            <w:pPr>
              <w:ind w:left="100"/>
              <w:spacing w:after="0"/>
              <w:rPr>
                <w:sz w:val="20"/>
                <w:szCs w:val="20"/>
                <w:color w:val="auto"/>
              </w:rPr>
            </w:pPr>
            <w:r>
              <w:rPr>
                <w:rFonts w:ascii="Arial" w:cs="Arial" w:eastAsia="Arial" w:hAnsi="Arial"/>
                <w:sz w:val="14"/>
                <w:szCs w:val="14"/>
                <w:color w:val="0E1020"/>
              </w:rPr>
              <w:t>2025</w:t>
            </w:r>
          </w:p>
        </w:tc>
        <w:tc>
          <w:tcPr>
            <w:tcW w:w="2320" w:type="dxa"/>
            <w:vAlign w:val="bottom"/>
          </w:tcPr>
          <w:p>
            <w:pPr>
              <w:jc w:val="right"/>
              <w:ind w:right="9"/>
              <w:spacing w:after="0"/>
              <w:rPr>
                <w:sz w:val="20"/>
                <w:szCs w:val="20"/>
                <w:color w:val="auto"/>
              </w:rPr>
            </w:pPr>
            <w:r>
              <w:rPr>
                <w:rFonts w:ascii="Arial" w:cs="Arial" w:eastAsia="Arial" w:hAnsi="Arial"/>
                <w:sz w:val="14"/>
                <w:szCs w:val="14"/>
                <w:color w:val="0E1020"/>
              </w:rPr>
              <w:t>16,737,748</w:t>
            </w:r>
          </w:p>
        </w:tc>
        <w:tc>
          <w:tcPr>
            <w:tcW w:w="2340" w:type="dxa"/>
            <w:vAlign w:val="bottom"/>
          </w:tcPr>
          <w:p>
            <w:pPr>
              <w:jc w:val="right"/>
              <w:ind w:right="29"/>
              <w:spacing w:after="0"/>
              <w:rPr>
                <w:sz w:val="20"/>
                <w:szCs w:val="20"/>
                <w:color w:val="auto"/>
              </w:rPr>
            </w:pPr>
            <w:r>
              <w:rPr>
                <w:rFonts w:ascii="Arial" w:cs="Arial" w:eastAsia="Arial" w:hAnsi="Arial"/>
                <w:sz w:val="14"/>
                <w:szCs w:val="14"/>
                <w:color w:val="0E1020"/>
              </w:rPr>
              <w:t>11,941,625</w:t>
            </w:r>
          </w:p>
        </w:tc>
        <w:tc>
          <w:tcPr>
            <w:tcW w:w="2380" w:type="dxa"/>
            <w:vAlign w:val="bottom"/>
          </w:tcPr>
          <w:p>
            <w:pPr>
              <w:jc w:val="right"/>
              <w:ind w:right="89"/>
              <w:spacing w:after="0"/>
              <w:rPr>
                <w:sz w:val="20"/>
                <w:szCs w:val="20"/>
                <w:color w:val="auto"/>
              </w:rPr>
            </w:pPr>
            <w:r>
              <w:rPr>
                <w:rFonts w:ascii="Arial" w:cs="Arial" w:eastAsia="Arial" w:hAnsi="Arial"/>
                <w:sz w:val="14"/>
                <w:szCs w:val="14"/>
                <w:color w:val="0E1020"/>
              </w:rPr>
              <w:t>10,408,942</w:t>
            </w:r>
          </w:p>
        </w:tc>
        <w:tc>
          <w:tcPr>
            <w:tcW w:w="2360" w:type="dxa"/>
            <w:vAlign w:val="bottom"/>
          </w:tcPr>
          <w:p>
            <w:pPr>
              <w:jc w:val="right"/>
              <w:ind w:right="129"/>
              <w:spacing w:after="0"/>
              <w:rPr>
                <w:sz w:val="20"/>
                <w:szCs w:val="20"/>
                <w:color w:val="auto"/>
              </w:rPr>
            </w:pPr>
            <w:r>
              <w:rPr>
                <w:rFonts w:ascii="Arial" w:cs="Arial" w:eastAsia="Arial" w:hAnsi="Arial"/>
                <w:sz w:val="14"/>
                <w:szCs w:val="14"/>
                <w:color w:val="0E1020"/>
              </w:rPr>
              <w:t>15,205,065</w:t>
            </w:r>
          </w:p>
        </w:tc>
        <w:tc>
          <w:tcPr>
            <w:tcW w:w="0" w:type="dxa"/>
            <w:vAlign w:val="bottom"/>
          </w:tcPr>
          <w:p>
            <w:pPr>
              <w:spacing w:after="0"/>
              <w:rPr>
                <w:sz w:val="1"/>
                <w:szCs w:val="1"/>
                <w:color w:val="auto"/>
              </w:rPr>
            </w:pPr>
          </w:p>
        </w:tc>
      </w:tr>
      <w:tr>
        <w:trPr>
          <w:trHeight w:val="21"/>
        </w:trPr>
        <w:tc>
          <w:tcPr>
            <w:tcW w:w="780" w:type="dxa"/>
            <w:vAlign w:val="bottom"/>
            <w:tcBorders>
              <w:bottom w:val="single" w:sz="8" w:color="CFCFD2"/>
            </w:tcBorders>
          </w:tcPr>
          <w:p>
            <w:pPr>
              <w:spacing w:after="0" w:line="20" w:lineRule="exact"/>
              <w:rPr>
                <w:sz w:val="1"/>
                <w:szCs w:val="1"/>
                <w:color w:val="auto"/>
              </w:rPr>
            </w:pPr>
          </w:p>
        </w:tc>
        <w:tc>
          <w:tcPr>
            <w:tcW w:w="23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380" w:type="dxa"/>
            <w:vAlign w:val="bottom"/>
            <w:tcBorders>
              <w:bottom w:val="single" w:sz="8" w:color="CFCFD2"/>
            </w:tcBorders>
          </w:tcPr>
          <w:p>
            <w:pPr>
              <w:spacing w:after="0" w:line="20" w:lineRule="exact"/>
              <w:rPr>
                <w:sz w:val="1"/>
                <w:szCs w:val="1"/>
                <w:color w:val="auto"/>
              </w:rPr>
            </w:pPr>
          </w:p>
        </w:tc>
        <w:tc>
          <w:tcPr>
            <w:tcW w:w="2360" w:type="dxa"/>
            <w:vAlign w:val="bottom"/>
            <w:tcBorders>
              <w:bottom w:val="single" w:sz="8" w:color="CFCF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80" w:type="dxa"/>
            <w:vAlign w:val="bottom"/>
          </w:tcPr>
          <w:p>
            <w:pPr>
              <w:ind w:left="100"/>
              <w:spacing w:after="0"/>
              <w:rPr>
                <w:sz w:val="20"/>
                <w:szCs w:val="20"/>
                <w:color w:val="auto"/>
              </w:rPr>
            </w:pPr>
            <w:r>
              <w:rPr>
                <w:rFonts w:ascii="Arial" w:cs="Arial" w:eastAsia="Arial" w:hAnsi="Arial"/>
                <w:sz w:val="14"/>
                <w:szCs w:val="14"/>
                <w:color w:val="0E1020"/>
              </w:rPr>
              <w:t>2024</w:t>
            </w:r>
          </w:p>
        </w:tc>
        <w:tc>
          <w:tcPr>
            <w:tcW w:w="2320" w:type="dxa"/>
            <w:vAlign w:val="bottom"/>
          </w:tcPr>
          <w:p>
            <w:pPr>
              <w:jc w:val="right"/>
              <w:ind w:right="9"/>
              <w:spacing w:after="0"/>
              <w:rPr>
                <w:sz w:val="20"/>
                <w:szCs w:val="20"/>
                <w:color w:val="auto"/>
              </w:rPr>
            </w:pPr>
            <w:r>
              <w:rPr>
                <w:rFonts w:ascii="Arial" w:cs="Arial" w:eastAsia="Arial" w:hAnsi="Arial"/>
                <w:sz w:val="14"/>
                <w:szCs w:val="14"/>
                <w:color w:val="0E1020"/>
              </w:rPr>
              <w:t>9,666,663</w:t>
            </w:r>
          </w:p>
        </w:tc>
        <w:tc>
          <w:tcPr>
            <w:tcW w:w="2340" w:type="dxa"/>
            <w:vAlign w:val="bottom"/>
          </w:tcPr>
          <w:p>
            <w:pPr>
              <w:jc w:val="right"/>
              <w:ind w:right="29"/>
              <w:spacing w:after="0"/>
              <w:rPr>
                <w:sz w:val="20"/>
                <w:szCs w:val="20"/>
                <w:color w:val="auto"/>
              </w:rPr>
            </w:pPr>
            <w:r>
              <w:rPr>
                <w:rFonts w:ascii="Arial" w:cs="Arial" w:eastAsia="Arial" w:hAnsi="Arial"/>
                <w:sz w:val="14"/>
                <w:szCs w:val="14"/>
                <w:color w:val="0E1020"/>
              </w:rPr>
              <w:t>8,208,431</w:t>
            </w:r>
          </w:p>
        </w:tc>
        <w:tc>
          <w:tcPr>
            <w:tcW w:w="2380" w:type="dxa"/>
            <w:vAlign w:val="bottom"/>
          </w:tcPr>
          <w:p>
            <w:pPr>
              <w:jc w:val="right"/>
              <w:ind w:right="89"/>
              <w:spacing w:after="0"/>
              <w:rPr>
                <w:sz w:val="20"/>
                <w:szCs w:val="20"/>
                <w:color w:val="auto"/>
              </w:rPr>
            </w:pPr>
            <w:r>
              <w:rPr>
                <w:rFonts w:ascii="Arial" w:cs="Arial" w:eastAsia="Arial" w:hAnsi="Arial"/>
                <w:sz w:val="14"/>
                <w:szCs w:val="14"/>
                <w:color w:val="0E1020"/>
              </w:rPr>
              <w:t>8,208,431</w:t>
            </w:r>
          </w:p>
        </w:tc>
        <w:tc>
          <w:tcPr>
            <w:tcW w:w="2360" w:type="dxa"/>
            <w:vAlign w:val="bottom"/>
          </w:tcPr>
          <w:p>
            <w:pPr>
              <w:jc w:val="right"/>
              <w:ind w:right="129"/>
              <w:spacing w:after="0"/>
              <w:rPr>
                <w:sz w:val="20"/>
                <w:szCs w:val="20"/>
                <w:color w:val="auto"/>
              </w:rPr>
            </w:pPr>
            <w:r>
              <w:rPr>
                <w:rFonts w:ascii="Arial" w:cs="Arial" w:eastAsia="Arial" w:hAnsi="Arial"/>
                <w:sz w:val="14"/>
                <w:szCs w:val="14"/>
                <w:color w:val="0E1020"/>
              </w:rPr>
              <w:t>9,666,663</w:t>
            </w:r>
          </w:p>
        </w:tc>
        <w:tc>
          <w:tcPr>
            <w:tcW w:w="0" w:type="dxa"/>
            <w:vAlign w:val="bottom"/>
          </w:tcPr>
          <w:p>
            <w:pPr>
              <w:spacing w:after="0"/>
              <w:rPr>
                <w:sz w:val="1"/>
                <w:szCs w:val="1"/>
                <w:color w:val="auto"/>
              </w:rPr>
            </w:pPr>
          </w:p>
        </w:tc>
      </w:tr>
      <w:tr>
        <w:trPr>
          <w:trHeight w:val="21"/>
        </w:trPr>
        <w:tc>
          <w:tcPr>
            <w:tcW w:w="780" w:type="dxa"/>
            <w:vAlign w:val="bottom"/>
            <w:tcBorders>
              <w:bottom w:val="single" w:sz="8" w:color="CFCFD2"/>
            </w:tcBorders>
          </w:tcPr>
          <w:p>
            <w:pPr>
              <w:spacing w:after="0" w:line="20" w:lineRule="exact"/>
              <w:rPr>
                <w:sz w:val="1"/>
                <w:szCs w:val="1"/>
                <w:color w:val="auto"/>
              </w:rPr>
            </w:pPr>
          </w:p>
        </w:tc>
        <w:tc>
          <w:tcPr>
            <w:tcW w:w="23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380" w:type="dxa"/>
            <w:vAlign w:val="bottom"/>
            <w:tcBorders>
              <w:bottom w:val="single" w:sz="8" w:color="CFCFD2"/>
            </w:tcBorders>
          </w:tcPr>
          <w:p>
            <w:pPr>
              <w:spacing w:after="0" w:line="20" w:lineRule="exact"/>
              <w:rPr>
                <w:sz w:val="1"/>
                <w:szCs w:val="1"/>
                <w:color w:val="auto"/>
              </w:rPr>
            </w:pPr>
          </w:p>
        </w:tc>
        <w:tc>
          <w:tcPr>
            <w:tcW w:w="2360" w:type="dxa"/>
            <w:vAlign w:val="bottom"/>
            <w:tcBorders>
              <w:bottom w:val="single" w:sz="8" w:color="CFCF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80" w:type="dxa"/>
            <w:vAlign w:val="bottom"/>
          </w:tcPr>
          <w:p>
            <w:pPr>
              <w:ind w:left="100"/>
              <w:spacing w:after="0"/>
              <w:rPr>
                <w:sz w:val="20"/>
                <w:szCs w:val="20"/>
                <w:color w:val="auto"/>
              </w:rPr>
            </w:pPr>
            <w:r>
              <w:rPr>
                <w:rFonts w:ascii="Arial" w:cs="Arial" w:eastAsia="Arial" w:hAnsi="Arial"/>
                <w:sz w:val="14"/>
                <w:szCs w:val="14"/>
                <w:color w:val="0E1020"/>
              </w:rPr>
              <w:t>2023</w:t>
            </w:r>
          </w:p>
        </w:tc>
        <w:tc>
          <w:tcPr>
            <w:tcW w:w="2320" w:type="dxa"/>
            <w:vAlign w:val="bottom"/>
          </w:tcPr>
          <w:p>
            <w:pPr>
              <w:jc w:val="right"/>
              <w:ind w:right="9"/>
              <w:spacing w:after="0"/>
              <w:rPr>
                <w:sz w:val="20"/>
                <w:szCs w:val="20"/>
                <w:color w:val="auto"/>
              </w:rPr>
            </w:pPr>
            <w:r>
              <w:rPr>
                <w:rFonts w:ascii="Arial" w:cs="Arial" w:eastAsia="Arial" w:hAnsi="Arial"/>
                <w:sz w:val="14"/>
                <w:szCs w:val="14"/>
                <w:color w:val="0E1020"/>
              </w:rPr>
              <w:t>—</w:t>
            </w:r>
          </w:p>
        </w:tc>
        <w:tc>
          <w:tcPr>
            <w:tcW w:w="2340" w:type="dxa"/>
            <w:vAlign w:val="bottom"/>
          </w:tcPr>
          <w:p>
            <w:pPr>
              <w:jc w:val="right"/>
              <w:ind w:right="29"/>
              <w:spacing w:after="0"/>
              <w:rPr>
                <w:sz w:val="20"/>
                <w:szCs w:val="20"/>
                <w:color w:val="auto"/>
              </w:rPr>
            </w:pPr>
            <w:r>
              <w:rPr>
                <w:rFonts w:ascii="Arial" w:cs="Arial" w:eastAsia="Arial" w:hAnsi="Arial"/>
                <w:sz w:val="14"/>
                <w:szCs w:val="14"/>
                <w:color w:val="0E1020"/>
              </w:rPr>
              <w:t>—</w:t>
            </w:r>
          </w:p>
        </w:tc>
        <w:tc>
          <w:tcPr>
            <w:tcW w:w="2380" w:type="dxa"/>
            <w:vAlign w:val="bottom"/>
          </w:tcPr>
          <w:p>
            <w:pPr>
              <w:jc w:val="right"/>
              <w:ind w:right="89"/>
              <w:spacing w:after="0"/>
              <w:rPr>
                <w:sz w:val="20"/>
                <w:szCs w:val="20"/>
                <w:color w:val="auto"/>
              </w:rPr>
            </w:pPr>
            <w:r>
              <w:rPr>
                <w:rFonts w:ascii="Arial" w:cs="Arial" w:eastAsia="Arial" w:hAnsi="Arial"/>
                <w:sz w:val="14"/>
                <w:szCs w:val="14"/>
                <w:color w:val="0E1020"/>
              </w:rPr>
              <w:t>—</w:t>
            </w:r>
          </w:p>
        </w:tc>
        <w:tc>
          <w:tcPr>
            <w:tcW w:w="2360" w:type="dxa"/>
            <w:vAlign w:val="bottom"/>
          </w:tcPr>
          <w:p>
            <w:pPr>
              <w:jc w:val="right"/>
              <w:ind w:right="129"/>
              <w:spacing w:after="0"/>
              <w:rPr>
                <w:sz w:val="20"/>
                <w:szCs w:val="20"/>
                <w:color w:val="auto"/>
              </w:rPr>
            </w:pPr>
            <w:r>
              <w:rPr>
                <w:rFonts w:ascii="Arial" w:cs="Arial" w:eastAsia="Arial" w:hAnsi="Arial"/>
                <w:sz w:val="14"/>
                <w:szCs w:val="14"/>
                <w:color w:val="0E1020"/>
              </w:rPr>
              <w:t>—</w:t>
            </w:r>
          </w:p>
        </w:tc>
        <w:tc>
          <w:tcPr>
            <w:tcW w:w="0" w:type="dxa"/>
            <w:vAlign w:val="bottom"/>
          </w:tcPr>
          <w:p>
            <w:pPr>
              <w:spacing w:after="0"/>
              <w:rPr>
                <w:sz w:val="1"/>
                <w:szCs w:val="1"/>
                <w:color w:val="auto"/>
              </w:rPr>
            </w:pPr>
          </w:p>
        </w:tc>
      </w:tr>
      <w:tr>
        <w:trPr>
          <w:trHeight w:val="21"/>
        </w:trPr>
        <w:tc>
          <w:tcPr>
            <w:tcW w:w="780" w:type="dxa"/>
            <w:vAlign w:val="bottom"/>
            <w:tcBorders>
              <w:bottom w:val="single" w:sz="8" w:color="CFCFD2"/>
            </w:tcBorders>
          </w:tcPr>
          <w:p>
            <w:pPr>
              <w:spacing w:after="0" w:line="20" w:lineRule="exact"/>
              <w:rPr>
                <w:sz w:val="1"/>
                <w:szCs w:val="1"/>
                <w:color w:val="auto"/>
              </w:rPr>
            </w:pPr>
          </w:p>
        </w:tc>
        <w:tc>
          <w:tcPr>
            <w:tcW w:w="23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380" w:type="dxa"/>
            <w:vAlign w:val="bottom"/>
            <w:tcBorders>
              <w:bottom w:val="single" w:sz="8" w:color="CFCFD2"/>
            </w:tcBorders>
          </w:tcPr>
          <w:p>
            <w:pPr>
              <w:spacing w:after="0" w:line="20" w:lineRule="exact"/>
              <w:rPr>
                <w:sz w:val="1"/>
                <w:szCs w:val="1"/>
                <w:color w:val="auto"/>
              </w:rPr>
            </w:pPr>
          </w:p>
        </w:tc>
        <w:tc>
          <w:tcPr>
            <w:tcW w:w="2360" w:type="dxa"/>
            <w:vAlign w:val="bottom"/>
            <w:tcBorders>
              <w:bottom w:val="single" w:sz="8" w:color="CFCF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80" w:type="dxa"/>
            <w:vAlign w:val="bottom"/>
          </w:tcPr>
          <w:p>
            <w:pPr>
              <w:ind w:left="100"/>
              <w:spacing w:after="0"/>
              <w:rPr>
                <w:sz w:val="20"/>
                <w:szCs w:val="20"/>
                <w:color w:val="auto"/>
              </w:rPr>
            </w:pPr>
            <w:r>
              <w:rPr>
                <w:rFonts w:ascii="Arial" w:cs="Arial" w:eastAsia="Arial" w:hAnsi="Arial"/>
                <w:sz w:val="14"/>
                <w:szCs w:val="14"/>
                <w:color w:val="0E1020"/>
              </w:rPr>
              <w:t>2022</w:t>
            </w:r>
          </w:p>
        </w:tc>
        <w:tc>
          <w:tcPr>
            <w:tcW w:w="2320" w:type="dxa"/>
            <w:vAlign w:val="bottom"/>
          </w:tcPr>
          <w:p>
            <w:pPr>
              <w:jc w:val="right"/>
              <w:ind w:right="9"/>
              <w:spacing w:after="0"/>
              <w:rPr>
                <w:sz w:val="20"/>
                <w:szCs w:val="20"/>
                <w:color w:val="auto"/>
              </w:rPr>
            </w:pPr>
            <w:r>
              <w:rPr>
                <w:rFonts w:ascii="Arial" w:cs="Arial" w:eastAsia="Arial" w:hAnsi="Arial"/>
                <w:sz w:val="14"/>
                <w:szCs w:val="14"/>
                <w:color w:val="0E1020"/>
              </w:rPr>
              <w:t>—</w:t>
            </w:r>
          </w:p>
        </w:tc>
        <w:tc>
          <w:tcPr>
            <w:tcW w:w="2340" w:type="dxa"/>
            <w:vAlign w:val="bottom"/>
          </w:tcPr>
          <w:p>
            <w:pPr>
              <w:jc w:val="right"/>
              <w:ind w:right="29"/>
              <w:spacing w:after="0"/>
              <w:rPr>
                <w:sz w:val="20"/>
                <w:szCs w:val="20"/>
                <w:color w:val="auto"/>
              </w:rPr>
            </w:pPr>
            <w:r>
              <w:rPr>
                <w:rFonts w:ascii="Arial" w:cs="Arial" w:eastAsia="Arial" w:hAnsi="Arial"/>
                <w:sz w:val="14"/>
                <w:szCs w:val="14"/>
                <w:color w:val="0E1020"/>
              </w:rPr>
              <w:t>—</w:t>
            </w:r>
          </w:p>
        </w:tc>
        <w:tc>
          <w:tcPr>
            <w:tcW w:w="2380" w:type="dxa"/>
            <w:vAlign w:val="bottom"/>
          </w:tcPr>
          <w:p>
            <w:pPr>
              <w:jc w:val="right"/>
              <w:ind w:right="89"/>
              <w:spacing w:after="0"/>
              <w:rPr>
                <w:sz w:val="20"/>
                <w:szCs w:val="20"/>
                <w:color w:val="auto"/>
              </w:rPr>
            </w:pPr>
            <w:r>
              <w:rPr>
                <w:rFonts w:ascii="Arial" w:cs="Arial" w:eastAsia="Arial" w:hAnsi="Arial"/>
                <w:sz w:val="14"/>
                <w:szCs w:val="14"/>
                <w:color w:val="0E1020"/>
              </w:rPr>
              <w:t>—</w:t>
            </w:r>
          </w:p>
        </w:tc>
        <w:tc>
          <w:tcPr>
            <w:tcW w:w="2360" w:type="dxa"/>
            <w:vAlign w:val="bottom"/>
          </w:tcPr>
          <w:p>
            <w:pPr>
              <w:jc w:val="right"/>
              <w:ind w:right="129"/>
              <w:spacing w:after="0"/>
              <w:rPr>
                <w:sz w:val="20"/>
                <w:szCs w:val="20"/>
                <w:color w:val="auto"/>
              </w:rPr>
            </w:pPr>
            <w:r>
              <w:rPr>
                <w:rFonts w:ascii="Arial" w:cs="Arial" w:eastAsia="Arial" w:hAnsi="Arial"/>
                <w:sz w:val="14"/>
                <w:szCs w:val="14"/>
                <w:color w:val="0E1020"/>
              </w:rPr>
              <w:t>—</w:t>
            </w:r>
          </w:p>
        </w:tc>
        <w:tc>
          <w:tcPr>
            <w:tcW w:w="0" w:type="dxa"/>
            <w:vAlign w:val="bottom"/>
          </w:tcPr>
          <w:p>
            <w:pPr>
              <w:spacing w:after="0"/>
              <w:rPr>
                <w:sz w:val="1"/>
                <w:szCs w:val="1"/>
                <w:color w:val="auto"/>
              </w:rPr>
            </w:pPr>
          </w:p>
        </w:tc>
      </w:tr>
      <w:tr>
        <w:trPr>
          <w:trHeight w:val="21"/>
        </w:trPr>
        <w:tc>
          <w:tcPr>
            <w:tcW w:w="780" w:type="dxa"/>
            <w:vAlign w:val="bottom"/>
            <w:tcBorders>
              <w:bottom w:val="single" w:sz="8" w:color="CFCFD2"/>
            </w:tcBorders>
          </w:tcPr>
          <w:p>
            <w:pPr>
              <w:spacing w:after="0" w:line="20" w:lineRule="exact"/>
              <w:rPr>
                <w:sz w:val="1"/>
                <w:szCs w:val="1"/>
                <w:color w:val="auto"/>
              </w:rPr>
            </w:pPr>
          </w:p>
        </w:tc>
        <w:tc>
          <w:tcPr>
            <w:tcW w:w="23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380" w:type="dxa"/>
            <w:vAlign w:val="bottom"/>
            <w:tcBorders>
              <w:bottom w:val="single" w:sz="8" w:color="CFCFD2"/>
            </w:tcBorders>
          </w:tcPr>
          <w:p>
            <w:pPr>
              <w:spacing w:after="0" w:line="20" w:lineRule="exact"/>
              <w:rPr>
                <w:sz w:val="1"/>
                <w:szCs w:val="1"/>
                <w:color w:val="auto"/>
              </w:rPr>
            </w:pPr>
          </w:p>
        </w:tc>
        <w:tc>
          <w:tcPr>
            <w:tcW w:w="2360" w:type="dxa"/>
            <w:vAlign w:val="bottom"/>
            <w:tcBorders>
              <w:bottom w:val="single" w:sz="8" w:color="CFCFD2"/>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245"/>
        </w:trPr>
        <w:tc>
          <w:tcPr>
            <w:tcW w:w="780" w:type="dxa"/>
            <w:vAlign w:val="bottom"/>
            <w:vMerge w:val="restart"/>
            <w:shd w:val="clear" w:color="auto" w:fill="F6F3F0"/>
          </w:tcPr>
          <w:p>
            <w:pPr>
              <w:ind w:left="100"/>
              <w:spacing w:after="0"/>
              <w:rPr>
                <w:sz w:val="20"/>
                <w:szCs w:val="20"/>
                <w:color w:val="auto"/>
              </w:rPr>
            </w:pPr>
            <w:r>
              <w:rPr>
                <w:rFonts w:ascii="Arial" w:cs="Arial" w:eastAsia="Arial" w:hAnsi="Arial"/>
                <w:sz w:val="14"/>
                <w:szCs w:val="14"/>
                <w:b w:val="1"/>
                <w:bCs w:val="1"/>
                <w:color w:val="0E1020"/>
              </w:rPr>
              <w:t>Fiscal</w:t>
            </w:r>
          </w:p>
        </w:tc>
        <w:tc>
          <w:tcPr>
            <w:tcW w:w="232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Summary Compensation Table</w:t>
            </w:r>
          </w:p>
        </w:tc>
        <w:tc>
          <w:tcPr>
            <w:tcW w:w="23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Exclusion of Stock Awards for</w:t>
            </w:r>
          </w:p>
        </w:tc>
        <w:tc>
          <w:tcPr>
            <w:tcW w:w="23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Total - Inclusion of Equity Values</w:t>
            </w:r>
          </w:p>
        </w:tc>
        <w:tc>
          <w:tcPr>
            <w:tcW w:w="2400" w:type="dxa"/>
            <w:vAlign w:val="bottom"/>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Compensation Actually Paid to</w:t>
            </w:r>
          </w:p>
        </w:tc>
        <w:tc>
          <w:tcPr>
            <w:tcW w:w="0" w:type="dxa"/>
            <w:vAlign w:val="bottom"/>
          </w:tcPr>
          <w:p>
            <w:pPr>
              <w:spacing w:after="0"/>
              <w:rPr>
                <w:sz w:val="1"/>
                <w:szCs w:val="1"/>
                <w:color w:val="auto"/>
              </w:rPr>
            </w:pPr>
          </w:p>
        </w:tc>
      </w:tr>
      <w:tr>
        <w:trPr>
          <w:trHeight w:val="161"/>
        </w:trPr>
        <w:tc>
          <w:tcPr>
            <w:tcW w:w="780" w:type="dxa"/>
            <w:vAlign w:val="bottom"/>
            <w:vMerge w:val="continue"/>
            <w:shd w:val="clear" w:color="auto" w:fill="F6F3F0"/>
          </w:tcPr>
          <w:p>
            <w:pPr>
              <w:spacing w:after="0"/>
              <w:rPr>
                <w:sz w:val="13"/>
                <w:szCs w:val="13"/>
                <w:color w:val="auto"/>
              </w:rPr>
            </w:pPr>
          </w:p>
        </w:tc>
        <w:tc>
          <w:tcPr>
            <w:tcW w:w="232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Total for Mr. Salvino</w:t>
            </w:r>
          </w:p>
        </w:tc>
        <w:tc>
          <w:tcPr>
            <w:tcW w:w="23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Mr. Salvino</w:t>
            </w:r>
          </w:p>
        </w:tc>
        <w:tc>
          <w:tcPr>
            <w:tcW w:w="23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for Mr. Salvino</w:t>
            </w:r>
          </w:p>
        </w:tc>
        <w:tc>
          <w:tcPr>
            <w:tcW w:w="2400" w:type="dxa"/>
            <w:vAlign w:val="bottom"/>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Mr. Salvino</w:t>
            </w:r>
          </w:p>
        </w:tc>
        <w:tc>
          <w:tcPr>
            <w:tcW w:w="0" w:type="dxa"/>
            <w:vAlign w:val="bottom"/>
          </w:tcPr>
          <w:p>
            <w:pPr>
              <w:spacing w:after="0"/>
              <w:rPr>
                <w:sz w:val="1"/>
                <w:szCs w:val="1"/>
                <w:color w:val="auto"/>
              </w:rPr>
            </w:pPr>
          </w:p>
        </w:tc>
      </w:tr>
      <w:tr>
        <w:trPr>
          <w:trHeight w:val="269"/>
        </w:trPr>
        <w:tc>
          <w:tcPr>
            <w:tcW w:w="780" w:type="dxa"/>
            <w:vAlign w:val="bottom"/>
            <w:tcBorders>
              <w:bottom w:val="single" w:sz="8" w:color="F6F3F0"/>
            </w:tcBorders>
            <w:shd w:val="clear" w:color="auto" w:fill="F6F3F0"/>
          </w:tcPr>
          <w:p>
            <w:pPr>
              <w:ind w:left="100"/>
              <w:spacing w:after="0"/>
              <w:rPr>
                <w:sz w:val="20"/>
                <w:szCs w:val="20"/>
                <w:color w:val="auto"/>
              </w:rPr>
            </w:pPr>
            <w:r>
              <w:rPr>
                <w:rFonts w:ascii="Arial" w:cs="Arial" w:eastAsia="Arial" w:hAnsi="Arial"/>
                <w:sz w:val="14"/>
                <w:szCs w:val="14"/>
                <w:b w:val="1"/>
                <w:bCs w:val="1"/>
                <w:color w:val="0E1020"/>
              </w:rPr>
              <w:t>Year</w:t>
            </w:r>
          </w:p>
        </w:tc>
        <w:tc>
          <w:tcPr>
            <w:tcW w:w="232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234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234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2400" w:type="dxa"/>
            <w:vAlign w:val="bottom"/>
            <w:tcBorders>
              <w:bottom w:val="single" w:sz="8" w:color="F6F3F0"/>
            </w:tcBorders>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w:t>
            </w:r>
          </w:p>
        </w:tc>
        <w:tc>
          <w:tcPr>
            <w:tcW w:w="0" w:type="dxa"/>
            <w:vAlign w:val="bottom"/>
          </w:tcPr>
          <w:p>
            <w:pPr>
              <w:spacing w:after="0"/>
              <w:rPr>
                <w:sz w:val="1"/>
                <w:szCs w:val="1"/>
                <w:color w:val="auto"/>
              </w:rPr>
            </w:pPr>
          </w:p>
        </w:tc>
      </w:tr>
      <w:tr>
        <w:trPr>
          <w:trHeight w:val="200"/>
        </w:trPr>
        <w:tc>
          <w:tcPr>
            <w:tcW w:w="780" w:type="dxa"/>
            <w:vAlign w:val="bottom"/>
            <w:tcBorders>
              <w:top w:val="single" w:sz="8" w:color="CFCFD2"/>
            </w:tcBorders>
          </w:tcPr>
          <w:p>
            <w:pPr>
              <w:ind w:left="100"/>
              <w:spacing w:after="0"/>
              <w:rPr>
                <w:sz w:val="20"/>
                <w:szCs w:val="20"/>
                <w:color w:val="auto"/>
              </w:rPr>
            </w:pPr>
            <w:r>
              <w:rPr>
                <w:rFonts w:ascii="Arial" w:cs="Arial" w:eastAsia="Arial" w:hAnsi="Arial"/>
                <w:sz w:val="14"/>
                <w:szCs w:val="14"/>
                <w:color w:val="0E1020"/>
              </w:rPr>
              <w:t>2026</w:t>
            </w:r>
          </w:p>
        </w:tc>
        <w:tc>
          <w:tcPr>
            <w:tcW w:w="2320" w:type="dxa"/>
            <w:vAlign w:val="bottom"/>
            <w:tcBorders>
              <w:top w:val="single" w:sz="8" w:color="CFCFD2"/>
            </w:tcBorders>
          </w:tcPr>
          <w:p>
            <w:pPr>
              <w:jc w:val="right"/>
              <w:ind w:right="9"/>
              <w:spacing w:after="0"/>
              <w:rPr>
                <w:sz w:val="20"/>
                <w:szCs w:val="20"/>
                <w:color w:val="auto"/>
              </w:rPr>
            </w:pPr>
            <w:r>
              <w:rPr>
                <w:rFonts w:ascii="Arial" w:cs="Arial" w:eastAsia="Arial" w:hAnsi="Arial"/>
                <w:sz w:val="14"/>
                <w:szCs w:val="14"/>
                <w:color w:val="0E1020"/>
              </w:rPr>
              <w:t>—</w:t>
            </w:r>
          </w:p>
        </w:tc>
        <w:tc>
          <w:tcPr>
            <w:tcW w:w="2340" w:type="dxa"/>
            <w:vAlign w:val="bottom"/>
            <w:tcBorders>
              <w:top w:val="single" w:sz="8" w:color="CFCFD2"/>
            </w:tcBorders>
          </w:tcPr>
          <w:p>
            <w:pPr>
              <w:jc w:val="right"/>
              <w:ind w:right="29"/>
              <w:spacing w:after="0"/>
              <w:rPr>
                <w:sz w:val="20"/>
                <w:szCs w:val="20"/>
                <w:color w:val="auto"/>
              </w:rPr>
            </w:pPr>
            <w:r>
              <w:rPr>
                <w:rFonts w:ascii="Arial" w:cs="Arial" w:eastAsia="Arial" w:hAnsi="Arial"/>
                <w:sz w:val="14"/>
                <w:szCs w:val="14"/>
                <w:color w:val="0E1020"/>
              </w:rPr>
              <w:t>—</w:t>
            </w:r>
          </w:p>
        </w:tc>
        <w:tc>
          <w:tcPr>
            <w:tcW w:w="2340" w:type="dxa"/>
            <w:vAlign w:val="bottom"/>
            <w:tcBorders>
              <w:top w:val="single" w:sz="8" w:color="CFCFD2"/>
            </w:tcBorders>
          </w:tcPr>
          <w:p>
            <w:pPr>
              <w:jc w:val="right"/>
              <w:ind w:right="49"/>
              <w:spacing w:after="0"/>
              <w:rPr>
                <w:sz w:val="20"/>
                <w:szCs w:val="20"/>
                <w:color w:val="auto"/>
              </w:rPr>
            </w:pPr>
            <w:r>
              <w:rPr>
                <w:rFonts w:ascii="Arial" w:cs="Arial" w:eastAsia="Arial" w:hAnsi="Arial"/>
                <w:sz w:val="14"/>
                <w:szCs w:val="14"/>
                <w:color w:val="0E1020"/>
              </w:rPr>
              <w:t>—</w:t>
            </w:r>
          </w:p>
        </w:tc>
        <w:tc>
          <w:tcPr>
            <w:tcW w:w="2400" w:type="dxa"/>
            <w:vAlign w:val="bottom"/>
            <w:tcBorders>
              <w:top w:val="single" w:sz="8" w:color="CFCFD2"/>
            </w:tcBorders>
          </w:tcPr>
          <w:p>
            <w:pPr>
              <w:jc w:val="right"/>
              <w:ind w:right="129"/>
              <w:spacing w:after="0"/>
              <w:rPr>
                <w:sz w:val="20"/>
                <w:szCs w:val="20"/>
                <w:color w:val="auto"/>
              </w:rPr>
            </w:pPr>
            <w:r>
              <w:rPr>
                <w:rFonts w:ascii="Arial" w:cs="Arial" w:eastAsia="Arial" w:hAnsi="Arial"/>
                <w:sz w:val="14"/>
                <w:szCs w:val="14"/>
                <w:color w:val="0E1020"/>
              </w:rPr>
              <w:t>—</w:t>
            </w:r>
          </w:p>
        </w:tc>
        <w:tc>
          <w:tcPr>
            <w:tcW w:w="0" w:type="dxa"/>
            <w:vAlign w:val="bottom"/>
          </w:tcPr>
          <w:p>
            <w:pPr>
              <w:spacing w:after="0"/>
              <w:rPr>
                <w:sz w:val="1"/>
                <w:szCs w:val="1"/>
                <w:color w:val="auto"/>
              </w:rPr>
            </w:pPr>
          </w:p>
        </w:tc>
      </w:tr>
      <w:tr>
        <w:trPr>
          <w:trHeight w:val="21"/>
        </w:trPr>
        <w:tc>
          <w:tcPr>
            <w:tcW w:w="780" w:type="dxa"/>
            <w:vAlign w:val="bottom"/>
            <w:tcBorders>
              <w:bottom w:val="single" w:sz="8" w:color="CFCFD2"/>
            </w:tcBorders>
          </w:tcPr>
          <w:p>
            <w:pPr>
              <w:spacing w:after="0" w:line="20" w:lineRule="exact"/>
              <w:rPr>
                <w:sz w:val="1"/>
                <w:szCs w:val="1"/>
                <w:color w:val="auto"/>
              </w:rPr>
            </w:pPr>
          </w:p>
        </w:tc>
        <w:tc>
          <w:tcPr>
            <w:tcW w:w="23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00" w:type="dxa"/>
            <w:vAlign w:val="bottom"/>
            <w:tcBorders>
              <w:bottom w:val="single" w:sz="8" w:color="CFCF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80" w:type="dxa"/>
            <w:vAlign w:val="bottom"/>
          </w:tcPr>
          <w:p>
            <w:pPr>
              <w:ind w:left="100"/>
              <w:spacing w:after="0"/>
              <w:rPr>
                <w:sz w:val="20"/>
                <w:szCs w:val="20"/>
                <w:color w:val="auto"/>
              </w:rPr>
            </w:pPr>
            <w:r>
              <w:rPr>
                <w:rFonts w:ascii="Arial" w:cs="Arial" w:eastAsia="Arial" w:hAnsi="Arial"/>
                <w:sz w:val="14"/>
                <w:szCs w:val="14"/>
                <w:color w:val="0E1020"/>
              </w:rPr>
              <w:t>2025</w:t>
            </w:r>
          </w:p>
        </w:tc>
        <w:tc>
          <w:tcPr>
            <w:tcW w:w="2320" w:type="dxa"/>
            <w:vAlign w:val="bottom"/>
          </w:tcPr>
          <w:p>
            <w:pPr>
              <w:jc w:val="right"/>
              <w:ind w:right="9"/>
              <w:spacing w:after="0"/>
              <w:rPr>
                <w:sz w:val="20"/>
                <w:szCs w:val="20"/>
                <w:color w:val="auto"/>
              </w:rPr>
            </w:pPr>
            <w:r>
              <w:rPr>
                <w:rFonts w:ascii="Arial" w:cs="Arial" w:eastAsia="Arial" w:hAnsi="Arial"/>
                <w:sz w:val="14"/>
                <w:szCs w:val="14"/>
                <w:color w:val="0E1020"/>
              </w:rPr>
              <w:t>—</w:t>
            </w:r>
          </w:p>
        </w:tc>
        <w:tc>
          <w:tcPr>
            <w:tcW w:w="2340" w:type="dxa"/>
            <w:vAlign w:val="bottom"/>
          </w:tcPr>
          <w:p>
            <w:pPr>
              <w:jc w:val="right"/>
              <w:ind w:right="29"/>
              <w:spacing w:after="0"/>
              <w:rPr>
                <w:sz w:val="20"/>
                <w:szCs w:val="20"/>
                <w:color w:val="auto"/>
              </w:rPr>
            </w:pPr>
            <w:r>
              <w:rPr>
                <w:rFonts w:ascii="Arial" w:cs="Arial" w:eastAsia="Arial" w:hAnsi="Arial"/>
                <w:sz w:val="14"/>
                <w:szCs w:val="14"/>
                <w:color w:val="0E1020"/>
              </w:rPr>
              <w:t>—</w:t>
            </w:r>
          </w:p>
        </w:tc>
        <w:tc>
          <w:tcPr>
            <w:tcW w:w="2340" w:type="dxa"/>
            <w:vAlign w:val="bottom"/>
          </w:tcPr>
          <w:p>
            <w:pPr>
              <w:jc w:val="right"/>
              <w:ind w:right="49"/>
              <w:spacing w:after="0"/>
              <w:rPr>
                <w:sz w:val="20"/>
                <w:szCs w:val="20"/>
                <w:color w:val="auto"/>
              </w:rPr>
            </w:pPr>
            <w:r>
              <w:rPr>
                <w:rFonts w:ascii="Arial" w:cs="Arial" w:eastAsia="Arial" w:hAnsi="Arial"/>
                <w:sz w:val="14"/>
                <w:szCs w:val="14"/>
                <w:color w:val="0E1020"/>
              </w:rPr>
              <w:t>—</w:t>
            </w:r>
          </w:p>
        </w:tc>
        <w:tc>
          <w:tcPr>
            <w:tcW w:w="2400" w:type="dxa"/>
            <w:vAlign w:val="bottom"/>
          </w:tcPr>
          <w:p>
            <w:pPr>
              <w:jc w:val="right"/>
              <w:ind w:right="129"/>
              <w:spacing w:after="0"/>
              <w:rPr>
                <w:sz w:val="20"/>
                <w:szCs w:val="20"/>
                <w:color w:val="auto"/>
              </w:rPr>
            </w:pPr>
            <w:r>
              <w:rPr>
                <w:rFonts w:ascii="Arial" w:cs="Arial" w:eastAsia="Arial" w:hAnsi="Arial"/>
                <w:sz w:val="14"/>
                <w:szCs w:val="14"/>
                <w:color w:val="0E1020"/>
              </w:rPr>
              <w:t>—</w:t>
            </w:r>
          </w:p>
        </w:tc>
        <w:tc>
          <w:tcPr>
            <w:tcW w:w="0" w:type="dxa"/>
            <w:vAlign w:val="bottom"/>
          </w:tcPr>
          <w:p>
            <w:pPr>
              <w:spacing w:after="0"/>
              <w:rPr>
                <w:sz w:val="1"/>
                <w:szCs w:val="1"/>
                <w:color w:val="auto"/>
              </w:rPr>
            </w:pPr>
          </w:p>
        </w:tc>
      </w:tr>
      <w:tr>
        <w:trPr>
          <w:trHeight w:val="21"/>
        </w:trPr>
        <w:tc>
          <w:tcPr>
            <w:tcW w:w="780" w:type="dxa"/>
            <w:vAlign w:val="bottom"/>
            <w:tcBorders>
              <w:bottom w:val="single" w:sz="8" w:color="CFCFD2"/>
            </w:tcBorders>
          </w:tcPr>
          <w:p>
            <w:pPr>
              <w:spacing w:after="0" w:line="20" w:lineRule="exact"/>
              <w:rPr>
                <w:sz w:val="1"/>
                <w:szCs w:val="1"/>
                <w:color w:val="auto"/>
              </w:rPr>
            </w:pPr>
          </w:p>
        </w:tc>
        <w:tc>
          <w:tcPr>
            <w:tcW w:w="23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00" w:type="dxa"/>
            <w:vAlign w:val="bottom"/>
            <w:tcBorders>
              <w:bottom w:val="single" w:sz="8" w:color="CFCF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80" w:type="dxa"/>
            <w:vAlign w:val="bottom"/>
          </w:tcPr>
          <w:p>
            <w:pPr>
              <w:ind w:left="100"/>
              <w:spacing w:after="0"/>
              <w:rPr>
                <w:sz w:val="20"/>
                <w:szCs w:val="20"/>
                <w:color w:val="auto"/>
              </w:rPr>
            </w:pPr>
            <w:r>
              <w:rPr>
                <w:rFonts w:ascii="Arial" w:cs="Arial" w:eastAsia="Arial" w:hAnsi="Arial"/>
                <w:sz w:val="14"/>
                <w:szCs w:val="14"/>
                <w:color w:val="0E1020"/>
              </w:rPr>
              <w:t>2024</w:t>
            </w:r>
          </w:p>
        </w:tc>
        <w:tc>
          <w:tcPr>
            <w:tcW w:w="2320" w:type="dxa"/>
            <w:vAlign w:val="bottom"/>
          </w:tcPr>
          <w:p>
            <w:pPr>
              <w:jc w:val="right"/>
              <w:ind w:right="9"/>
              <w:spacing w:after="0"/>
              <w:rPr>
                <w:sz w:val="20"/>
                <w:szCs w:val="20"/>
                <w:color w:val="auto"/>
              </w:rPr>
            </w:pPr>
            <w:r>
              <w:rPr>
                <w:rFonts w:ascii="Arial" w:cs="Arial" w:eastAsia="Arial" w:hAnsi="Arial"/>
                <w:sz w:val="14"/>
                <w:szCs w:val="14"/>
                <w:color w:val="0E1020"/>
              </w:rPr>
              <w:t>19,821,384</w:t>
            </w:r>
          </w:p>
        </w:tc>
        <w:tc>
          <w:tcPr>
            <w:tcW w:w="2340" w:type="dxa"/>
            <w:vAlign w:val="bottom"/>
          </w:tcPr>
          <w:p>
            <w:pPr>
              <w:jc w:val="right"/>
              <w:ind w:right="29"/>
              <w:spacing w:after="0"/>
              <w:rPr>
                <w:sz w:val="20"/>
                <w:szCs w:val="20"/>
                <w:color w:val="auto"/>
              </w:rPr>
            </w:pPr>
            <w:r>
              <w:rPr>
                <w:rFonts w:ascii="Arial" w:cs="Arial" w:eastAsia="Arial" w:hAnsi="Arial"/>
                <w:sz w:val="14"/>
                <w:szCs w:val="14"/>
                <w:color w:val="0E1020"/>
              </w:rPr>
              <w:t>16,575,400</w:t>
            </w:r>
          </w:p>
        </w:tc>
        <w:tc>
          <w:tcPr>
            <w:tcW w:w="2340" w:type="dxa"/>
            <w:vAlign w:val="bottom"/>
          </w:tcPr>
          <w:p>
            <w:pPr>
              <w:jc w:val="right"/>
              <w:ind w:right="49"/>
              <w:spacing w:after="0"/>
              <w:rPr>
                <w:sz w:val="20"/>
                <w:szCs w:val="20"/>
                <w:color w:val="auto"/>
              </w:rPr>
            </w:pPr>
            <w:r>
              <w:rPr>
                <w:rFonts w:ascii="Arial" w:cs="Arial" w:eastAsia="Arial" w:hAnsi="Arial"/>
                <w:sz w:val="14"/>
                <w:szCs w:val="14"/>
                <w:color w:val="0E1020"/>
              </w:rPr>
              <w:t>4,702,107</w:t>
            </w:r>
          </w:p>
        </w:tc>
        <w:tc>
          <w:tcPr>
            <w:tcW w:w="2400" w:type="dxa"/>
            <w:vAlign w:val="bottom"/>
          </w:tcPr>
          <w:p>
            <w:pPr>
              <w:jc w:val="right"/>
              <w:ind w:right="129"/>
              <w:spacing w:after="0"/>
              <w:rPr>
                <w:sz w:val="20"/>
                <w:szCs w:val="20"/>
                <w:color w:val="auto"/>
              </w:rPr>
            </w:pPr>
            <w:r>
              <w:rPr>
                <w:rFonts w:ascii="Arial" w:cs="Arial" w:eastAsia="Arial" w:hAnsi="Arial"/>
                <w:sz w:val="14"/>
                <w:szCs w:val="14"/>
                <w:color w:val="0E1020"/>
              </w:rPr>
              <w:t>7,948,091</w:t>
            </w:r>
          </w:p>
        </w:tc>
        <w:tc>
          <w:tcPr>
            <w:tcW w:w="0" w:type="dxa"/>
            <w:vAlign w:val="bottom"/>
          </w:tcPr>
          <w:p>
            <w:pPr>
              <w:spacing w:after="0"/>
              <w:rPr>
                <w:sz w:val="1"/>
                <w:szCs w:val="1"/>
                <w:color w:val="auto"/>
              </w:rPr>
            </w:pPr>
          </w:p>
        </w:tc>
      </w:tr>
      <w:tr>
        <w:trPr>
          <w:trHeight w:val="21"/>
        </w:trPr>
        <w:tc>
          <w:tcPr>
            <w:tcW w:w="780" w:type="dxa"/>
            <w:vAlign w:val="bottom"/>
            <w:tcBorders>
              <w:bottom w:val="single" w:sz="8" w:color="CFCFD2"/>
            </w:tcBorders>
          </w:tcPr>
          <w:p>
            <w:pPr>
              <w:spacing w:after="0" w:line="20" w:lineRule="exact"/>
              <w:rPr>
                <w:sz w:val="1"/>
                <w:szCs w:val="1"/>
                <w:color w:val="auto"/>
              </w:rPr>
            </w:pPr>
          </w:p>
        </w:tc>
        <w:tc>
          <w:tcPr>
            <w:tcW w:w="23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00" w:type="dxa"/>
            <w:vAlign w:val="bottom"/>
            <w:tcBorders>
              <w:bottom w:val="single" w:sz="8" w:color="CFCF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80" w:type="dxa"/>
            <w:vAlign w:val="bottom"/>
          </w:tcPr>
          <w:p>
            <w:pPr>
              <w:ind w:left="100"/>
              <w:spacing w:after="0"/>
              <w:rPr>
                <w:sz w:val="20"/>
                <w:szCs w:val="20"/>
                <w:color w:val="auto"/>
              </w:rPr>
            </w:pPr>
            <w:r>
              <w:rPr>
                <w:rFonts w:ascii="Arial" w:cs="Arial" w:eastAsia="Arial" w:hAnsi="Arial"/>
                <w:sz w:val="14"/>
                <w:szCs w:val="14"/>
                <w:color w:val="0E1020"/>
              </w:rPr>
              <w:t>2023</w:t>
            </w:r>
          </w:p>
        </w:tc>
        <w:tc>
          <w:tcPr>
            <w:tcW w:w="2320" w:type="dxa"/>
            <w:vAlign w:val="bottom"/>
          </w:tcPr>
          <w:p>
            <w:pPr>
              <w:jc w:val="right"/>
              <w:ind w:right="9"/>
              <w:spacing w:after="0"/>
              <w:rPr>
                <w:sz w:val="20"/>
                <w:szCs w:val="20"/>
                <w:color w:val="auto"/>
              </w:rPr>
            </w:pPr>
            <w:r>
              <w:rPr>
                <w:rFonts w:ascii="Arial" w:cs="Arial" w:eastAsia="Arial" w:hAnsi="Arial"/>
                <w:sz w:val="14"/>
                <w:szCs w:val="14"/>
                <w:color w:val="0E1020"/>
              </w:rPr>
              <w:t>20,317,972</w:t>
            </w:r>
          </w:p>
        </w:tc>
        <w:tc>
          <w:tcPr>
            <w:tcW w:w="2340" w:type="dxa"/>
            <w:vAlign w:val="bottom"/>
          </w:tcPr>
          <w:p>
            <w:pPr>
              <w:jc w:val="right"/>
              <w:ind w:right="29"/>
              <w:spacing w:after="0"/>
              <w:rPr>
                <w:sz w:val="20"/>
                <w:szCs w:val="20"/>
                <w:color w:val="auto"/>
              </w:rPr>
            </w:pPr>
            <w:r>
              <w:rPr>
                <w:rFonts w:ascii="Arial" w:cs="Arial" w:eastAsia="Arial" w:hAnsi="Arial"/>
                <w:sz w:val="14"/>
                <w:szCs w:val="14"/>
                <w:color w:val="0E1020"/>
              </w:rPr>
              <w:t>17,130,174</w:t>
            </w:r>
          </w:p>
        </w:tc>
        <w:tc>
          <w:tcPr>
            <w:tcW w:w="2340" w:type="dxa"/>
            <w:vAlign w:val="bottom"/>
          </w:tcPr>
          <w:p>
            <w:pPr>
              <w:jc w:val="right"/>
              <w:ind w:right="9"/>
              <w:spacing w:after="0"/>
              <w:rPr>
                <w:sz w:val="20"/>
                <w:szCs w:val="20"/>
                <w:color w:val="auto"/>
              </w:rPr>
            </w:pPr>
            <w:r>
              <w:rPr>
                <w:rFonts w:ascii="Arial" w:cs="Arial" w:eastAsia="Arial" w:hAnsi="Arial"/>
                <w:sz w:val="14"/>
                <w:szCs w:val="14"/>
                <w:color w:val="0E1020"/>
              </w:rPr>
              <w:t>(4,203,350)</w:t>
            </w:r>
          </w:p>
        </w:tc>
        <w:tc>
          <w:tcPr>
            <w:tcW w:w="2400" w:type="dxa"/>
            <w:vAlign w:val="bottom"/>
          </w:tcPr>
          <w:p>
            <w:pPr>
              <w:jc w:val="right"/>
              <w:ind w:right="89"/>
              <w:spacing w:after="0"/>
              <w:rPr>
                <w:sz w:val="20"/>
                <w:szCs w:val="20"/>
                <w:color w:val="auto"/>
              </w:rPr>
            </w:pPr>
            <w:r>
              <w:rPr>
                <w:rFonts w:ascii="Arial" w:cs="Arial" w:eastAsia="Arial" w:hAnsi="Arial"/>
                <w:sz w:val="14"/>
                <w:szCs w:val="14"/>
                <w:color w:val="0E1020"/>
              </w:rPr>
              <w:t>(1,015,552)</w:t>
            </w:r>
          </w:p>
        </w:tc>
        <w:tc>
          <w:tcPr>
            <w:tcW w:w="0" w:type="dxa"/>
            <w:vAlign w:val="bottom"/>
          </w:tcPr>
          <w:p>
            <w:pPr>
              <w:spacing w:after="0"/>
              <w:rPr>
                <w:sz w:val="1"/>
                <w:szCs w:val="1"/>
                <w:color w:val="auto"/>
              </w:rPr>
            </w:pPr>
          </w:p>
        </w:tc>
      </w:tr>
      <w:tr>
        <w:trPr>
          <w:trHeight w:val="21"/>
        </w:trPr>
        <w:tc>
          <w:tcPr>
            <w:tcW w:w="780" w:type="dxa"/>
            <w:vAlign w:val="bottom"/>
            <w:tcBorders>
              <w:bottom w:val="single" w:sz="8" w:color="CFCFD2"/>
            </w:tcBorders>
          </w:tcPr>
          <w:p>
            <w:pPr>
              <w:spacing w:after="0" w:line="20" w:lineRule="exact"/>
              <w:rPr>
                <w:sz w:val="1"/>
                <w:szCs w:val="1"/>
                <w:color w:val="auto"/>
              </w:rPr>
            </w:pPr>
          </w:p>
        </w:tc>
        <w:tc>
          <w:tcPr>
            <w:tcW w:w="23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00" w:type="dxa"/>
            <w:vAlign w:val="bottom"/>
            <w:tcBorders>
              <w:bottom w:val="single" w:sz="8" w:color="CFCF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80" w:type="dxa"/>
            <w:vAlign w:val="bottom"/>
          </w:tcPr>
          <w:p>
            <w:pPr>
              <w:ind w:left="100"/>
              <w:spacing w:after="0"/>
              <w:rPr>
                <w:sz w:val="20"/>
                <w:szCs w:val="20"/>
                <w:color w:val="auto"/>
              </w:rPr>
            </w:pPr>
            <w:r>
              <w:rPr>
                <w:rFonts w:ascii="Arial" w:cs="Arial" w:eastAsia="Arial" w:hAnsi="Arial"/>
                <w:sz w:val="14"/>
                <w:szCs w:val="14"/>
                <w:color w:val="0E1020"/>
              </w:rPr>
              <w:t>2022</w:t>
            </w:r>
          </w:p>
        </w:tc>
        <w:tc>
          <w:tcPr>
            <w:tcW w:w="2320" w:type="dxa"/>
            <w:vAlign w:val="bottom"/>
          </w:tcPr>
          <w:p>
            <w:pPr>
              <w:jc w:val="right"/>
              <w:ind w:right="9"/>
              <w:spacing w:after="0"/>
              <w:rPr>
                <w:sz w:val="20"/>
                <w:szCs w:val="20"/>
                <w:color w:val="auto"/>
              </w:rPr>
            </w:pPr>
            <w:r>
              <w:rPr>
                <w:rFonts w:ascii="Arial" w:cs="Arial" w:eastAsia="Arial" w:hAnsi="Arial"/>
                <w:sz w:val="14"/>
                <w:szCs w:val="14"/>
                <w:color w:val="0E1020"/>
              </w:rPr>
              <w:t>28,716,680</w:t>
            </w:r>
          </w:p>
        </w:tc>
        <w:tc>
          <w:tcPr>
            <w:tcW w:w="2340" w:type="dxa"/>
            <w:vAlign w:val="bottom"/>
          </w:tcPr>
          <w:p>
            <w:pPr>
              <w:jc w:val="right"/>
              <w:ind w:right="29"/>
              <w:spacing w:after="0"/>
              <w:rPr>
                <w:sz w:val="20"/>
                <w:szCs w:val="20"/>
                <w:color w:val="auto"/>
              </w:rPr>
            </w:pPr>
            <w:r>
              <w:rPr>
                <w:rFonts w:ascii="Arial" w:cs="Arial" w:eastAsia="Arial" w:hAnsi="Arial"/>
                <w:sz w:val="14"/>
                <w:szCs w:val="14"/>
                <w:color w:val="0E1020"/>
              </w:rPr>
              <w:t>25,087,727</w:t>
            </w:r>
          </w:p>
        </w:tc>
        <w:tc>
          <w:tcPr>
            <w:tcW w:w="2340" w:type="dxa"/>
            <w:vAlign w:val="bottom"/>
          </w:tcPr>
          <w:p>
            <w:pPr>
              <w:jc w:val="right"/>
              <w:ind w:right="49"/>
              <w:spacing w:after="0"/>
              <w:rPr>
                <w:sz w:val="20"/>
                <w:szCs w:val="20"/>
                <w:color w:val="auto"/>
              </w:rPr>
            </w:pPr>
            <w:r>
              <w:rPr>
                <w:rFonts w:ascii="Arial" w:cs="Arial" w:eastAsia="Arial" w:hAnsi="Arial"/>
                <w:sz w:val="14"/>
                <w:szCs w:val="14"/>
                <w:color w:val="0E1020"/>
              </w:rPr>
              <w:t>27,050,353</w:t>
            </w:r>
          </w:p>
        </w:tc>
        <w:tc>
          <w:tcPr>
            <w:tcW w:w="2400" w:type="dxa"/>
            <w:vAlign w:val="bottom"/>
          </w:tcPr>
          <w:p>
            <w:pPr>
              <w:jc w:val="right"/>
              <w:ind w:right="129"/>
              <w:spacing w:after="0"/>
              <w:rPr>
                <w:sz w:val="20"/>
                <w:szCs w:val="20"/>
                <w:color w:val="auto"/>
              </w:rPr>
            </w:pPr>
            <w:r>
              <w:rPr>
                <w:rFonts w:ascii="Arial" w:cs="Arial" w:eastAsia="Arial" w:hAnsi="Arial"/>
                <w:sz w:val="14"/>
                <w:szCs w:val="14"/>
                <w:color w:val="0E1020"/>
              </w:rPr>
              <w:t>30,679,306</w:t>
            </w:r>
          </w:p>
        </w:tc>
        <w:tc>
          <w:tcPr>
            <w:tcW w:w="0" w:type="dxa"/>
            <w:vAlign w:val="bottom"/>
          </w:tcPr>
          <w:p>
            <w:pPr>
              <w:spacing w:after="0"/>
              <w:rPr>
                <w:sz w:val="1"/>
                <w:szCs w:val="1"/>
                <w:color w:val="auto"/>
              </w:rPr>
            </w:pPr>
          </w:p>
        </w:tc>
      </w:tr>
      <w:tr>
        <w:trPr>
          <w:trHeight w:val="21"/>
        </w:trPr>
        <w:tc>
          <w:tcPr>
            <w:tcW w:w="780" w:type="dxa"/>
            <w:vAlign w:val="bottom"/>
            <w:tcBorders>
              <w:bottom w:val="single" w:sz="8" w:color="CFCFD2"/>
            </w:tcBorders>
          </w:tcPr>
          <w:p>
            <w:pPr>
              <w:spacing w:after="0" w:line="20" w:lineRule="exact"/>
              <w:rPr>
                <w:sz w:val="1"/>
                <w:szCs w:val="1"/>
                <w:color w:val="auto"/>
              </w:rPr>
            </w:pPr>
          </w:p>
        </w:tc>
        <w:tc>
          <w:tcPr>
            <w:tcW w:w="23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00" w:type="dxa"/>
            <w:vAlign w:val="bottom"/>
            <w:tcBorders>
              <w:bottom w:val="single" w:sz="8" w:color="CFCF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7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80" w:type="dxa"/>
            <w:vAlign w:val="bottom"/>
            <w:shd w:val="clear" w:color="auto" w:fill="F6F3F0"/>
          </w:tcPr>
          <w:p>
            <w:pPr>
              <w:spacing w:after="0"/>
              <w:rPr>
                <w:sz w:val="21"/>
                <w:szCs w:val="21"/>
                <w:color w:val="auto"/>
              </w:rPr>
            </w:pPr>
          </w:p>
        </w:tc>
        <w:tc>
          <w:tcPr>
            <w:tcW w:w="232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Average Summary</w:t>
            </w:r>
          </w:p>
        </w:tc>
        <w:tc>
          <w:tcPr>
            <w:tcW w:w="2340" w:type="dxa"/>
            <w:vAlign w:val="bottom"/>
            <w:shd w:val="clear" w:color="auto" w:fill="F6F3F0"/>
          </w:tcPr>
          <w:p>
            <w:pPr>
              <w:spacing w:after="0"/>
              <w:rPr>
                <w:sz w:val="21"/>
                <w:szCs w:val="21"/>
                <w:color w:val="auto"/>
              </w:rPr>
            </w:pPr>
          </w:p>
        </w:tc>
        <w:tc>
          <w:tcPr>
            <w:tcW w:w="2340" w:type="dxa"/>
            <w:vAlign w:val="bottom"/>
            <w:shd w:val="clear" w:color="auto" w:fill="F6F3F0"/>
          </w:tcPr>
          <w:p>
            <w:pPr>
              <w:spacing w:after="0"/>
              <w:rPr>
                <w:sz w:val="21"/>
                <w:szCs w:val="21"/>
                <w:color w:val="auto"/>
              </w:rPr>
            </w:pPr>
          </w:p>
        </w:tc>
        <w:tc>
          <w:tcPr>
            <w:tcW w:w="2400" w:type="dxa"/>
            <w:vAlign w:val="bottom"/>
            <w:shd w:val="clear" w:color="auto" w:fill="F6F3F0"/>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780" w:type="dxa"/>
            <w:vAlign w:val="bottom"/>
            <w:shd w:val="clear" w:color="auto" w:fill="F6F3F0"/>
          </w:tcPr>
          <w:p>
            <w:pPr>
              <w:spacing w:after="0"/>
              <w:rPr>
                <w:sz w:val="12"/>
                <w:szCs w:val="12"/>
                <w:color w:val="auto"/>
              </w:rPr>
            </w:pPr>
          </w:p>
        </w:tc>
        <w:tc>
          <w:tcPr>
            <w:tcW w:w="2320" w:type="dxa"/>
            <w:vAlign w:val="bottom"/>
            <w:shd w:val="clear" w:color="auto" w:fill="F6F3F0"/>
          </w:tcPr>
          <w:p>
            <w:pPr>
              <w:jc w:val="right"/>
              <w:spacing w:after="0" w:line="143" w:lineRule="exact"/>
              <w:rPr>
                <w:sz w:val="20"/>
                <w:szCs w:val="20"/>
                <w:color w:val="auto"/>
              </w:rPr>
            </w:pPr>
            <w:r>
              <w:rPr>
                <w:rFonts w:ascii="Arial" w:cs="Arial" w:eastAsia="Arial" w:hAnsi="Arial"/>
                <w:sz w:val="14"/>
                <w:szCs w:val="14"/>
                <w:b w:val="1"/>
                <w:bCs w:val="1"/>
                <w:color w:val="0E1020"/>
              </w:rPr>
              <w:t>Compensation Table Total for</w:t>
            </w:r>
          </w:p>
        </w:tc>
        <w:tc>
          <w:tcPr>
            <w:tcW w:w="2340" w:type="dxa"/>
            <w:vAlign w:val="bottom"/>
            <w:shd w:val="clear" w:color="auto" w:fill="F6F3F0"/>
          </w:tcPr>
          <w:p>
            <w:pPr>
              <w:jc w:val="right"/>
              <w:spacing w:after="0" w:line="143" w:lineRule="exact"/>
              <w:rPr>
                <w:sz w:val="20"/>
                <w:szCs w:val="20"/>
                <w:color w:val="auto"/>
              </w:rPr>
            </w:pPr>
            <w:r>
              <w:rPr>
                <w:rFonts w:ascii="Arial" w:cs="Arial" w:eastAsia="Arial" w:hAnsi="Arial"/>
                <w:sz w:val="14"/>
                <w:szCs w:val="14"/>
                <w:b w:val="1"/>
                <w:bCs w:val="1"/>
                <w:color w:val="0E1020"/>
              </w:rPr>
              <w:t>Average Exclusion of Stock</w:t>
            </w:r>
          </w:p>
        </w:tc>
        <w:tc>
          <w:tcPr>
            <w:tcW w:w="2340" w:type="dxa"/>
            <w:vAlign w:val="bottom"/>
            <w:shd w:val="clear" w:color="auto" w:fill="F6F3F0"/>
          </w:tcPr>
          <w:p>
            <w:pPr>
              <w:jc w:val="right"/>
              <w:spacing w:after="0" w:line="143" w:lineRule="exact"/>
              <w:rPr>
                <w:sz w:val="20"/>
                <w:szCs w:val="20"/>
                <w:color w:val="auto"/>
              </w:rPr>
            </w:pPr>
            <w:r>
              <w:rPr>
                <w:rFonts w:ascii="Arial" w:cs="Arial" w:eastAsia="Arial" w:hAnsi="Arial"/>
                <w:sz w:val="14"/>
                <w:szCs w:val="14"/>
                <w:b w:val="1"/>
                <w:bCs w:val="1"/>
                <w:color w:val="0E1020"/>
              </w:rPr>
              <w:t>Total - Average Inclusion of</w:t>
            </w:r>
          </w:p>
        </w:tc>
        <w:tc>
          <w:tcPr>
            <w:tcW w:w="2400" w:type="dxa"/>
            <w:vAlign w:val="bottom"/>
            <w:shd w:val="clear" w:color="auto" w:fill="F6F3F0"/>
          </w:tcPr>
          <w:p>
            <w:pPr>
              <w:jc w:val="right"/>
              <w:ind w:right="69"/>
              <w:spacing w:after="0" w:line="143" w:lineRule="exact"/>
              <w:rPr>
                <w:sz w:val="20"/>
                <w:szCs w:val="20"/>
                <w:color w:val="auto"/>
              </w:rPr>
            </w:pPr>
            <w:r>
              <w:rPr>
                <w:rFonts w:ascii="Arial" w:cs="Arial" w:eastAsia="Arial" w:hAnsi="Arial"/>
                <w:sz w:val="14"/>
                <w:szCs w:val="14"/>
                <w:b w:val="1"/>
                <w:bCs w:val="1"/>
                <w:color w:val="0E1020"/>
              </w:rPr>
              <w:t>Average Compensation Actually</w:t>
            </w:r>
          </w:p>
        </w:tc>
        <w:tc>
          <w:tcPr>
            <w:tcW w:w="0" w:type="dxa"/>
            <w:vAlign w:val="bottom"/>
          </w:tcPr>
          <w:p>
            <w:pPr>
              <w:spacing w:after="0"/>
              <w:rPr>
                <w:sz w:val="1"/>
                <w:szCs w:val="1"/>
                <w:color w:val="auto"/>
              </w:rPr>
            </w:pPr>
          </w:p>
        </w:tc>
      </w:tr>
      <w:tr>
        <w:trPr>
          <w:trHeight w:val="192"/>
        </w:trPr>
        <w:tc>
          <w:tcPr>
            <w:tcW w:w="780" w:type="dxa"/>
            <w:vAlign w:val="bottom"/>
            <w:shd w:val="clear" w:color="auto" w:fill="F6F3F0"/>
          </w:tcPr>
          <w:p>
            <w:pPr>
              <w:ind w:left="100"/>
              <w:spacing w:after="0"/>
              <w:rPr>
                <w:sz w:val="20"/>
                <w:szCs w:val="20"/>
                <w:color w:val="auto"/>
              </w:rPr>
            </w:pPr>
            <w:r>
              <w:rPr>
                <w:rFonts w:ascii="Arial" w:cs="Arial" w:eastAsia="Arial" w:hAnsi="Arial"/>
                <w:sz w:val="14"/>
                <w:szCs w:val="14"/>
                <w:b w:val="1"/>
                <w:bCs w:val="1"/>
                <w:color w:val="0E1020"/>
              </w:rPr>
              <w:t>Fiscal</w:t>
            </w:r>
          </w:p>
        </w:tc>
        <w:tc>
          <w:tcPr>
            <w:tcW w:w="232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Non-PEO NEOs</w:t>
            </w:r>
          </w:p>
        </w:tc>
        <w:tc>
          <w:tcPr>
            <w:tcW w:w="4680" w:type="dxa"/>
            <w:vAlign w:val="bottom"/>
            <w:gridSpan w:val="2"/>
            <w:shd w:val="clear" w:color="auto" w:fill="F6F3F0"/>
          </w:tcPr>
          <w:p>
            <w:pPr>
              <w:jc w:val="right"/>
              <w:spacing w:after="0" w:line="161" w:lineRule="exact"/>
              <w:rPr>
                <w:sz w:val="20"/>
                <w:szCs w:val="20"/>
                <w:color w:val="auto"/>
              </w:rPr>
            </w:pPr>
            <w:r>
              <w:rPr>
                <w:rFonts w:ascii="Arial" w:cs="Arial" w:eastAsia="Arial" w:hAnsi="Arial"/>
                <w:sz w:val="14"/>
                <w:szCs w:val="14"/>
                <w:b w:val="1"/>
                <w:bCs w:val="1"/>
                <w:color w:val="0E1020"/>
              </w:rPr>
              <w:t>Awards for Non</w:t>
            </w:r>
            <w:r>
              <w:rPr>
                <w:rFonts w:ascii="MS PGothic" w:cs="MS PGothic" w:eastAsia="MS PGothic" w:hAnsi="MS PGothic"/>
                <w:sz w:val="14"/>
                <w:szCs w:val="14"/>
                <w:color w:val="000000"/>
              </w:rPr>
              <w:t>‑</w:t>
            </w:r>
            <w:r>
              <w:rPr>
                <w:rFonts w:ascii="Arial" w:cs="Arial" w:eastAsia="Arial" w:hAnsi="Arial"/>
                <w:sz w:val="14"/>
                <w:szCs w:val="14"/>
                <w:b w:val="1"/>
                <w:bCs w:val="1"/>
                <w:color w:val="0E1020"/>
              </w:rPr>
              <w:t>PEO NEOs Equity Values for Non</w:t>
            </w:r>
            <w:r>
              <w:rPr>
                <w:rFonts w:ascii="MS PGothic" w:cs="MS PGothic" w:eastAsia="MS PGothic" w:hAnsi="MS PGothic"/>
                <w:sz w:val="14"/>
                <w:szCs w:val="14"/>
                <w:color w:val="000000"/>
              </w:rPr>
              <w:t>‑</w:t>
            </w:r>
            <w:r>
              <w:rPr>
                <w:rFonts w:ascii="Arial" w:cs="Arial" w:eastAsia="Arial" w:hAnsi="Arial"/>
                <w:sz w:val="14"/>
                <w:szCs w:val="14"/>
                <w:b w:val="1"/>
                <w:bCs w:val="1"/>
                <w:color w:val="0E1020"/>
              </w:rPr>
              <w:t>PEO NEOs</w:t>
            </w:r>
          </w:p>
        </w:tc>
        <w:tc>
          <w:tcPr>
            <w:tcW w:w="2400" w:type="dxa"/>
            <w:vAlign w:val="bottom"/>
            <w:shd w:val="clear" w:color="auto" w:fill="F6F3F0"/>
          </w:tcPr>
          <w:p>
            <w:pPr>
              <w:jc w:val="right"/>
              <w:ind w:right="69"/>
              <w:spacing w:after="0" w:line="161" w:lineRule="exact"/>
              <w:rPr>
                <w:sz w:val="20"/>
                <w:szCs w:val="20"/>
                <w:color w:val="auto"/>
              </w:rPr>
            </w:pPr>
            <w:r>
              <w:rPr>
                <w:rFonts w:ascii="Arial" w:cs="Arial" w:eastAsia="Arial" w:hAnsi="Arial"/>
                <w:sz w:val="14"/>
                <w:szCs w:val="14"/>
                <w:b w:val="1"/>
                <w:bCs w:val="1"/>
                <w:color w:val="0E1020"/>
              </w:rPr>
              <w:t>Paid to Non</w:t>
            </w:r>
            <w:r>
              <w:rPr>
                <w:rFonts w:ascii="MS PGothic" w:cs="MS PGothic" w:eastAsia="MS PGothic" w:hAnsi="MS PGothic"/>
                <w:sz w:val="14"/>
                <w:szCs w:val="14"/>
                <w:color w:val="000000"/>
              </w:rPr>
              <w:t>‑</w:t>
            </w:r>
            <w:r>
              <w:rPr>
                <w:rFonts w:ascii="Arial" w:cs="Arial" w:eastAsia="Arial" w:hAnsi="Arial"/>
                <w:sz w:val="14"/>
                <w:szCs w:val="14"/>
                <w:b w:val="1"/>
                <w:bCs w:val="1"/>
                <w:color w:val="0E1020"/>
              </w:rPr>
              <w:t>PEO NEOs</w:t>
            </w:r>
          </w:p>
        </w:tc>
        <w:tc>
          <w:tcPr>
            <w:tcW w:w="0" w:type="dxa"/>
            <w:vAlign w:val="bottom"/>
          </w:tcPr>
          <w:p>
            <w:pPr>
              <w:spacing w:after="0"/>
              <w:rPr>
                <w:sz w:val="1"/>
                <w:szCs w:val="1"/>
                <w:color w:val="auto"/>
              </w:rPr>
            </w:pPr>
          </w:p>
        </w:tc>
      </w:tr>
      <w:tr>
        <w:trPr>
          <w:trHeight w:val="269"/>
        </w:trPr>
        <w:tc>
          <w:tcPr>
            <w:tcW w:w="780" w:type="dxa"/>
            <w:vAlign w:val="bottom"/>
            <w:tcBorders>
              <w:bottom w:val="single" w:sz="8" w:color="F6F3F0"/>
            </w:tcBorders>
            <w:shd w:val="clear" w:color="auto" w:fill="F6F3F0"/>
          </w:tcPr>
          <w:p>
            <w:pPr>
              <w:ind w:left="100"/>
              <w:spacing w:after="0"/>
              <w:rPr>
                <w:sz w:val="20"/>
                <w:szCs w:val="20"/>
                <w:color w:val="auto"/>
              </w:rPr>
            </w:pPr>
            <w:r>
              <w:rPr>
                <w:rFonts w:ascii="Arial" w:cs="Arial" w:eastAsia="Arial" w:hAnsi="Arial"/>
                <w:sz w:val="14"/>
                <w:szCs w:val="14"/>
                <w:b w:val="1"/>
                <w:bCs w:val="1"/>
                <w:color w:val="0E1020"/>
              </w:rPr>
              <w:t>Year</w:t>
            </w:r>
          </w:p>
        </w:tc>
        <w:tc>
          <w:tcPr>
            <w:tcW w:w="232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234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234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2400" w:type="dxa"/>
            <w:vAlign w:val="bottom"/>
            <w:tcBorders>
              <w:bottom w:val="single" w:sz="8" w:color="F6F3F0"/>
            </w:tcBorders>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w:t>
            </w:r>
          </w:p>
        </w:tc>
        <w:tc>
          <w:tcPr>
            <w:tcW w:w="0" w:type="dxa"/>
            <w:vAlign w:val="bottom"/>
          </w:tcPr>
          <w:p>
            <w:pPr>
              <w:spacing w:after="0"/>
              <w:rPr>
                <w:sz w:val="1"/>
                <w:szCs w:val="1"/>
                <w:color w:val="auto"/>
              </w:rPr>
            </w:pPr>
          </w:p>
        </w:tc>
      </w:tr>
      <w:tr>
        <w:trPr>
          <w:trHeight w:val="200"/>
        </w:trPr>
        <w:tc>
          <w:tcPr>
            <w:tcW w:w="780" w:type="dxa"/>
            <w:vAlign w:val="bottom"/>
            <w:tcBorders>
              <w:top w:val="single" w:sz="8" w:color="CFCFD2"/>
            </w:tcBorders>
          </w:tcPr>
          <w:p>
            <w:pPr>
              <w:ind w:left="100"/>
              <w:spacing w:after="0"/>
              <w:rPr>
                <w:sz w:val="20"/>
                <w:szCs w:val="20"/>
                <w:color w:val="auto"/>
              </w:rPr>
            </w:pPr>
            <w:r>
              <w:rPr>
                <w:rFonts w:ascii="Arial" w:cs="Arial" w:eastAsia="Arial" w:hAnsi="Arial"/>
                <w:sz w:val="14"/>
                <w:szCs w:val="14"/>
                <w:color w:val="0E1020"/>
              </w:rPr>
              <w:t>2026</w:t>
            </w:r>
          </w:p>
        </w:tc>
        <w:tc>
          <w:tcPr>
            <w:tcW w:w="2320" w:type="dxa"/>
            <w:vAlign w:val="bottom"/>
            <w:tcBorders>
              <w:top w:val="single" w:sz="8" w:color="CFCFD2"/>
            </w:tcBorders>
          </w:tcPr>
          <w:p>
            <w:pPr>
              <w:jc w:val="right"/>
              <w:ind w:right="9"/>
              <w:spacing w:after="0"/>
              <w:rPr>
                <w:sz w:val="20"/>
                <w:szCs w:val="20"/>
                <w:color w:val="auto"/>
              </w:rPr>
            </w:pPr>
            <w:r>
              <w:rPr>
                <w:rFonts w:ascii="Arial" w:cs="Arial" w:eastAsia="Arial" w:hAnsi="Arial"/>
                <w:sz w:val="14"/>
                <w:szCs w:val="14"/>
                <w:color w:val="0E1020"/>
              </w:rPr>
              <w:t>9,839,514</w:t>
            </w:r>
          </w:p>
        </w:tc>
        <w:tc>
          <w:tcPr>
            <w:tcW w:w="2340" w:type="dxa"/>
            <w:vAlign w:val="bottom"/>
            <w:tcBorders>
              <w:top w:val="single" w:sz="8" w:color="CFCFD2"/>
            </w:tcBorders>
          </w:tcPr>
          <w:p>
            <w:pPr>
              <w:jc w:val="right"/>
              <w:ind w:right="29"/>
              <w:spacing w:after="0"/>
              <w:rPr>
                <w:sz w:val="20"/>
                <w:szCs w:val="20"/>
                <w:color w:val="auto"/>
              </w:rPr>
            </w:pPr>
            <w:r>
              <w:rPr>
                <w:rFonts w:ascii="Arial" w:cs="Arial" w:eastAsia="Arial" w:hAnsi="Arial"/>
                <w:sz w:val="14"/>
                <w:szCs w:val="14"/>
                <w:color w:val="0E1020"/>
              </w:rPr>
              <w:t>8,134,295</w:t>
            </w:r>
          </w:p>
        </w:tc>
        <w:tc>
          <w:tcPr>
            <w:tcW w:w="2340" w:type="dxa"/>
            <w:vAlign w:val="bottom"/>
            <w:tcBorders>
              <w:top w:val="single" w:sz="8" w:color="CFCFD2"/>
            </w:tcBorders>
          </w:tcPr>
          <w:p>
            <w:pPr>
              <w:jc w:val="right"/>
              <w:ind w:right="49"/>
              <w:spacing w:after="0"/>
              <w:rPr>
                <w:sz w:val="20"/>
                <w:szCs w:val="20"/>
                <w:color w:val="auto"/>
              </w:rPr>
            </w:pPr>
            <w:r>
              <w:rPr>
                <w:rFonts w:ascii="Arial" w:cs="Arial" w:eastAsia="Arial" w:hAnsi="Arial"/>
                <w:sz w:val="14"/>
                <w:szCs w:val="14"/>
                <w:color w:val="0E1020"/>
              </w:rPr>
              <w:t>3,082,633</w:t>
            </w:r>
          </w:p>
        </w:tc>
        <w:tc>
          <w:tcPr>
            <w:tcW w:w="2400" w:type="dxa"/>
            <w:vAlign w:val="bottom"/>
            <w:tcBorders>
              <w:top w:val="single" w:sz="8" w:color="CFCFD2"/>
            </w:tcBorders>
          </w:tcPr>
          <w:p>
            <w:pPr>
              <w:jc w:val="right"/>
              <w:ind w:right="129"/>
              <w:spacing w:after="0"/>
              <w:rPr>
                <w:sz w:val="20"/>
                <w:szCs w:val="20"/>
                <w:color w:val="auto"/>
              </w:rPr>
            </w:pPr>
            <w:r>
              <w:rPr>
                <w:rFonts w:ascii="Arial" w:cs="Arial" w:eastAsia="Arial" w:hAnsi="Arial"/>
                <w:sz w:val="14"/>
                <w:szCs w:val="14"/>
                <w:color w:val="0E1020"/>
              </w:rPr>
              <w:t>4,787,852</w:t>
            </w:r>
          </w:p>
        </w:tc>
        <w:tc>
          <w:tcPr>
            <w:tcW w:w="0" w:type="dxa"/>
            <w:vAlign w:val="bottom"/>
          </w:tcPr>
          <w:p>
            <w:pPr>
              <w:spacing w:after="0"/>
              <w:rPr>
                <w:sz w:val="1"/>
                <w:szCs w:val="1"/>
                <w:color w:val="auto"/>
              </w:rPr>
            </w:pPr>
          </w:p>
        </w:tc>
      </w:tr>
      <w:tr>
        <w:trPr>
          <w:trHeight w:val="21"/>
        </w:trPr>
        <w:tc>
          <w:tcPr>
            <w:tcW w:w="780" w:type="dxa"/>
            <w:vAlign w:val="bottom"/>
            <w:tcBorders>
              <w:bottom w:val="single" w:sz="8" w:color="CFCFD2"/>
            </w:tcBorders>
          </w:tcPr>
          <w:p>
            <w:pPr>
              <w:spacing w:after="0" w:line="20" w:lineRule="exact"/>
              <w:rPr>
                <w:sz w:val="1"/>
                <w:szCs w:val="1"/>
                <w:color w:val="auto"/>
              </w:rPr>
            </w:pPr>
          </w:p>
        </w:tc>
        <w:tc>
          <w:tcPr>
            <w:tcW w:w="23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00" w:type="dxa"/>
            <w:vAlign w:val="bottom"/>
            <w:tcBorders>
              <w:bottom w:val="single" w:sz="8" w:color="CFCF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80" w:type="dxa"/>
            <w:vAlign w:val="bottom"/>
          </w:tcPr>
          <w:p>
            <w:pPr>
              <w:ind w:left="100"/>
              <w:spacing w:after="0"/>
              <w:rPr>
                <w:sz w:val="20"/>
                <w:szCs w:val="20"/>
                <w:color w:val="auto"/>
              </w:rPr>
            </w:pPr>
            <w:r>
              <w:rPr>
                <w:rFonts w:ascii="Arial" w:cs="Arial" w:eastAsia="Arial" w:hAnsi="Arial"/>
                <w:sz w:val="14"/>
                <w:szCs w:val="14"/>
                <w:color w:val="0E1020"/>
              </w:rPr>
              <w:t>2025</w:t>
            </w:r>
          </w:p>
        </w:tc>
        <w:tc>
          <w:tcPr>
            <w:tcW w:w="2320" w:type="dxa"/>
            <w:vAlign w:val="bottom"/>
          </w:tcPr>
          <w:p>
            <w:pPr>
              <w:jc w:val="right"/>
              <w:ind w:right="9"/>
              <w:spacing w:after="0"/>
              <w:rPr>
                <w:sz w:val="20"/>
                <w:szCs w:val="20"/>
                <w:color w:val="auto"/>
              </w:rPr>
            </w:pPr>
            <w:r>
              <w:rPr>
                <w:rFonts w:ascii="Arial" w:cs="Arial" w:eastAsia="Arial" w:hAnsi="Arial"/>
                <w:sz w:val="14"/>
                <w:szCs w:val="14"/>
                <w:color w:val="0E1020"/>
              </w:rPr>
              <w:t>6,008,801</w:t>
            </w:r>
          </w:p>
        </w:tc>
        <w:tc>
          <w:tcPr>
            <w:tcW w:w="2340" w:type="dxa"/>
            <w:vAlign w:val="bottom"/>
          </w:tcPr>
          <w:p>
            <w:pPr>
              <w:jc w:val="right"/>
              <w:ind w:right="29"/>
              <w:spacing w:after="0"/>
              <w:rPr>
                <w:sz w:val="20"/>
                <w:szCs w:val="20"/>
                <w:color w:val="auto"/>
              </w:rPr>
            </w:pPr>
            <w:r>
              <w:rPr>
                <w:rFonts w:ascii="Arial" w:cs="Arial" w:eastAsia="Arial" w:hAnsi="Arial"/>
                <w:sz w:val="14"/>
                <w:szCs w:val="14"/>
                <w:color w:val="0E1020"/>
              </w:rPr>
              <w:t>4,339,205</w:t>
            </w:r>
          </w:p>
        </w:tc>
        <w:tc>
          <w:tcPr>
            <w:tcW w:w="2340" w:type="dxa"/>
            <w:vAlign w:val="bottom"/>
          </w:tcPr>
          <w:p>
            <w:pPr>
              <w:jc w:val="right"/>
              <w:ind w:right="49"/>
              <w:spacing w:after="0"/>
              <w:rPr>
                <w:sz w:val="20"/>
                <w:szCs w:val="20"/>
                <w:color w:val="auto"/>
              </w:rPr>
            </w:pPr>
            <w:r>
              <w:rPr>
                <w:rFonts w:ascii="Arial" w:cs="Arial" w:eastAsia="Arial" w:hAnsi="Arial"/>
                <w:sz w:val="14"/>
                <w:szCs w:val="14"/>
                <w:color w:val="0E1020"/>
              </w:rPr>
              <w:t>1,660,002</w:t>
            </w:r>
          </w:p>
        </w:tc>
        <w:tc>
          <w:tcPr>
            <w:tcW w:w="2400" w:type="dxa"/>
            <w:vAlign w:val="bottom"/>
          </w:tcPr>
          <w:p>
            <w:pPr>
              <w:jc w:val="right"/>
              <w:ind w:right="129"/>
              <w:spacing w:after="0"/>
              <w:rPr>
                <w:sz w:val="20"/>
                <w:szCs w:val="20"/>
                <w:color w:val="auto"/>
              </w:rPr>
            </w:pPr>
            <w:r>
              <w:rPr>
                <w:rFonts w:ascii="Arial" w:cs="Arial" w:eastAsia="Arial" w:hAnsi="Arial"/>
                <w:sz w:val="14"/>
                <w:szCs w:val="14"/>
                <w:color w:val="0E1020"/>
              </w:rPr>
              <w:t>3,329,598</w:t>
            </w:r>
          </w:p>
        </w:tc>
        <w:tc>
          <w:tcPr>
            <w:tcW w:w="0" w:type="dxa"/>
            <w:vAlign w:val="bottom"/>
          </w:tcPr>
          <w:p>
            <w:pPr>
              <w:spacing w:after="0"/>
              <w:rPr>
                <w:sz w:val="1"/>
                <w:szCs w:val="1"/>
                <w:color w:val="auto"/>
              </w:rPr>
            </w:pPr>
          </w:p>
        </w:tc>
      </w:tr>
      <w:tr>
        <w:trPr>
          <w:trHeight w:val="21"/>
        </w:trPr>
        <w:tc>
          <w:tcPr>
            <w:tcW w:w="780" w:type="dxa"/>
            <w:vAlign w:val="bottom"/>
            <w:tcBorders>
              <w:bottom w:val="single" w:sz="8" w:color="CFCFD2"/>
            </w:tcBorders>
          </w:tcPr>
          <w:p>
            <w:pPr>
              <w:spacing w:after="0" w:line="20" w:lineRule="exact"/>
              <w:rPr>
                <w:sz w:val="1"/>
                <w:szCs w:val="1"/>
                <w:color w:val="auto"/>
              </w:rPr>
            </w:pPr>
          </w:p>
        </w:tc>
        <w:tc>
          <w:tcPr>
            <w:tcW w:w="23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00" w:type="dxa"/>
            <w:vAlign w:val="bottom"/>
            <w:tcBorders>
              <w:bottom w:val="single" w:sz="8" w:color="CFCF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80" w:type="dxa"/>
            <w:vAlign w:val="bottom"/>
          </w:tcPr>
          <w:p>
            <w:pPr>
              <w:ind w:left="100"/>
              <w:spacing w:after="0"/>
              <w:rPr>
                <w:sz w:val="20"/>
                <w:szCs w:val="20"/>
                <w:color w:val="auto"/>
              </w:rPr>
            </w:pPr>
            <w:r>
              <w:rPr>
                <w:rFonts w:ascii="Arial" w:cs="Arial" w:eastAsia="Arial" w:hAnsi="Arial"/>
                <w:sz w:val="14"/>
                <w:szCs w:val="14"/>
                <w:color w:val="0E1020"/>
              </w:rPr>
              <w:t>2024</w:t>
            </w:r>
          </w:p>
        </w:tc>
        <w:tc>
          <w:tcPr>
            <w:tcW w:w="2320" w:type="dxa"/>
            <w:vAlign w:val="bottom"/>
          </w:tcPr>
          <w:p>
            <w:pPr>
              <w:jc w:val="right"/>
              <w:ind w:right="9"/>
              <w:spacing w:after="0"/>
              <w:rPr>
                <w:sz w:val="20"/>
                <w:szCs w:val="20"/>
                <w:color w:val="auto"/>
              </w:rPr>
            </w:pPr>
            <w:r>
              <w:rPr>
                <w:rFonts w:ascii="Arial" w:cs="Arial" w:eastAsia="Arial" w:hAnsi="Arial"/>
                <w:sz w:val="14"/>
                <w:szCs w:val="14"/>
                <w:color w:val="0E1020"/>
              </w:rPr>
              <w:t>5,697,213</w:t>
            </w:r>
          </w:p>
        </w:tc>
        <w:tc>
          <w:tcPr>
            <w:tcW w:w="2340" w:type="dxa"/>
            <w:vAlign w:val="bottom"/>
          </w:tcPr>
          <w:p>
            <w:pPr>
              <w:jc w:val="right"/>
              <w:ind w:right="29"/>
              <w:spacing w:after="0"/>
              <w:rPr>
                <w:sz w:val="20"/>
                <w:szCs w:val="20"/>
                <w:color w:val="auto"/>
              </w:rPr>
            </w:pPr>
            <w:r>
              <w:rPr>
                <w:rFonts w:ascii="Arial" w:cs="Arial" w:eastAsia="Arial" w:hAnsi="Arial"/>
                <w:sz w:val="14"/>
                <w:szCs w:val="14"/>
                <w:color w:val="0E1020"/>
              </w:rPr>
              <w:t>4,122,256</w:t>
            </w:r>
          </w:p>
        </w:tc>
        <w:tc>
          <w:tcPr>
            <w:tcW w:w="2340" w:type="dxa"/>
            <w:vAlign w:val="bottom"/>
          </w:tcPr>
          <w:p>
            <w:pPr>
              <w:jc w:val="right"/>
              <w:ind w:right="49"/>
              <w:spacing w:after="0"/>
              <w:rPr>
                <w:sz w:val="20"/>
                <w:szCs w:val="20"/>
                <w:color w:val="auto"/>
              </w:rPr>
            </w:pPr>
            <w:r>
              <w:rPr>
                <w:rFonts w:ascii="Arial" w:cs="Arial" w:eastAsia="Arial" w:hAnsi="Arial"/>
                <w:sz w:val="14"/>
                <w:szCs w:val="14"/>
                <w:color w:val="0E1020"/>
              </w:rPr>
              <w:t>1,933,145</w:t>
            </w:r>
          </w:p>
        </w:tc>
        <w:tc>
          <w:tcPr>
            <w:tcW w:w="2400" w:type="dxa"/>
            <w:vAlign w:val="bottom"/>
          </w:tcPr>
          <w:p>
            <w:pPr>
              <w:jc w:val="right"/>
              <w:ind w:right="129"/>
              <w:spacing w:after="0"/>
              <w:rPr>
                <w:sz w:val="20"/>
                <w:szCs w:val="20"/>
                <w:color w:val="auto"/>
              </w:rPr>
            </w:pPr>
            <w:r>
              <w:rPr>
                <w:rFonts w:ascii="Arial" w:cs="Arial" w:eastAsia="Arial" w:hAnsi="Arial"/>
                <w:sz w:val="14"/>
                <w:szCs w:val="14"/>
                <w:color w:val="0E1020"/>
              </w:rPr>
              <w:t>3,508,102</w:t>
            </w:r>
          </w:p>
        </w:tc>
        <w:tc>
          <w:tcPr>
            <w:tcW w:w="0" w:type="dxa"/>
            <w:vAlign w:val="bottom"/>
          </w:tcPr>
          <w:p>
            <w:pPr>
              <w:spacing w:after="0"/>
              <w:rPr>
                <w:sz w:val="1"/>
                <w:szCs w:val="1"/>
                <w:color w:val="auto"/>
              </w:rPr>
            </w:pPr>
          </w:p>
        </w:tc>
      </w:tr>
      <w:tr>
        <w:trPr>
          <w:trHeight w:val="21"/>
        </w:trPr>
        <w:tc>
          <w:tcPr>
            <w:tcW w:w="780" w:type="dxa"/>
            <w:vAlign w:val="bottom"/>
            <w:tcBorders>
              <w:bottom w:val="single" w:sz="8" w:color="CFCFD2"/>
            </w:tcBorders>
          </w:tcPr>
          <w:p>
            <w:pPr>
              <w:spacing w:after="0" w:line="20" w:lineRule="exact"/>
              <w:rPr>
                <w:sz w:val="1"/>
                <w:szCs w:val="1"/>
                <w:color w:val="auto"/>
              </w:rPr>
            </w:pPr>
          </w:p>
        </w:tc>
        <w:tc>
          <w:tcPr>
            <w:tcW w:w="23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00" w:type="dxa"/>
            <w:vAlign w:val="bottom"/>
            <w:tcBorders>
              <w:bottom w:val="single" w:sz="8" w:color="CFCF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80" w:type="dxa"/>
            <w:vAlign w:val="bottom"/>
          </w:tcPr>
          <w:p>
            <w:pPr>
              <w:ind w:left="100"/>
              <w:spacing w:after="0"/>
              <w:rPr>
                <w:sz w:val="20"/>
                <w:szCs w:val="20"/>
                <w:color w:val="auto"/>
              </w:rPr>
            </w:pPr>
            <w:r>
              <w:rPr>
                <w:rFonts w:ascii="Arial" w:cs="Arial" w:eastAsia="Arial" w:hAnsi="Arial"/>
                <w:sz w:val="14"/>
                <w:szCs w:val="14"/>
                <w:color w:val="0E1020"/>
              </w:rPr>
              <w:t>2023</w:t>
            </w:r>
          </w:p>
        </w:tc>
        <w:tc>
          <w:tcPr>
            <w:tcW w:w="2320" w:type="dxa"/>
            <w:vAlign w:val="bottom"/>
          </w:tcPr>
          <w:p>
            <w:pPr>
              <w:jc w:val="right"/>
              <w:ind w:right="9"/>
              <w:spacing w:after="0"/>
              <w:rPr>
                <w:sz w:val="20"/>
                <w:szCs w:val="20"/>
                <w:color w:val="auto"/>
              </w:rPr>
            </w:pPr>
            <w:r>
              <w:rPr>
                <w:rFonts w:ascii="Arial" w:cs="Arial" w:eastAsia="Arial" w:hAnsi="Arial"/>
                <w:sz w:val="14"/>
                <w:szCs w:val="14"/>
                <w:color w:val="0E1020"/>
              </w:rPr>
              <w:t>4,204,094</w:t>
            </w:r>
          </w:p>
        </w:tc>
        <w:tc>
          <w:tcPr>
            <w:tcW w:w="2340" w:type="dxa"/>
            <w:vAlign w:val="bottom"/>
          </w:tcPr>
          <w:p>
            <w:pPr>
              <w:jc w:val="right"/>
              <w:ind w:right="29"/>
              <w:spacing w:after="0"/>
              <w:rPr>
                <w:sz w:val="20"/>
                <w:szCs w:val="20"/>
                <w:color w:val="auto"/>
              </w:rPr>
            </w:pPr>
            <w:r>
              <w:rPr>
                <w:rFonts w:ascii="Arial" w:cs="Arial" w:eastAsia="Arial" w:hAnsi="Arial"/>
                <w:sz w:val="14"/>
                <w:szCs w:val="14"/>
                <w:color w:val="0E1020"/>
              </w:rPr>
              <w:t>3,061,944</w:t>
            </w:r>
          </w:p>
        </w:tc>
        <w:tc>
          <w:tcPr>
            <w:tcW w:w="2340" w:type="dxa"/>
            <w:vAlign w:val="bottom"/>
          </w:tcPr>
          <w:p>
            <w:pPr>
              <w:jc w:val="right"/>
              <w:ind w:right="49"/>
              <w:spacing w:after="0"/>
              <w:rPr>
                <w:sz w:val="20"/>
                <w:szCs w:val="20"/>
                <w:color w:val="auto"/>
              </w:rPr>
            </w:pPr>
            <w:r>
              <w:rPr>
                <w:rFonts w:ascii="Arial" w:cs="Arial" w:eastAsia="Arial" w:hAnsi="Arial"/>
                <w:sz w:val="14"/>
                <w:szCs w:val="14"/>
                <w:color w:val="0E1020"/>
              </w:rPr>
              <w:t>299,967</w:t>
            </w:r>
          </w:p>
        </w:tc>
        <w:tc>
          <w:tcPr>
            <w:tcW w:w="2400" w:type="dxa"/>
            <w:vAlign w:val="bottom"/>
          </w:tcPr>
          <w:p>
            <w:pPr>
              <w:jc w:val="right"/>
              <w:ind w:right="129"/>
              <w:spacing w:after="0"/>
              <w:rPr>
                <w:sz w:val="20"/>
                <w:szCs w:val="20"/>
                <w:color w:val="auto"/>
              </w:rPr>
            </w:pPr>
            <w:r>
              <w:rPr>
                <w:rFonts w:ascii="Arial" w:cs="Arial" w:eastAsia="Arial" w:hAnsi="Arial"/>
                <w:sz w:val="14"/>
                <w:szCs w:val="14"/>
                <w:color w:val="0E1020"/>
              </w:rPr>
              <w:t>1,442,117</w:t>
            </w:r>
          </w:p>
        </w:tc>
        <w:tc>
          <w:tcPr>
            <w:tcW w:w="0" w:type="dxa"/>
            <w:vAlign w:val="bottom"/>
          </w:tcPr>
          <w:p>
            <w:pPr>
              <w:spacing w:after="0"/>
              <w:rPr>
                <w:sz w:val="1"/>
                <w:szCs w:val="1"/>
                <w:color w:val="auto"/>
              </w:rPr>
            </w:pPr>
          </w:p>
        </w:tc>
      </w:tr>
      <w:tr>
        <w:trPr>
          <w:trHeight w:val="21"/>
        </w:trPr>
        <w:tc>
          <w:tcPr>
            <w:tcW w:w="780" w:type="dxa"/>
            <w:vAlign w:val="bottom"/>
            <w:tcBorders>
              <w:bottom w:val="single" w:sz="8" w:color="CFCFD2"/>
            </w:tcBorders>
          </w:tcPr>
          <w:p>
            <w:pPr>
              <w:spacing w:after="0" w:line="20" w:lineRule="exact"/>
              <w:rPr>
                <w:sz w:val="1"/>
                <w:szCs w:val="1"/>
                <w:color w:val="auto"/>
              </w:rPr>
            </w:pPr>
          </w:p>
        </w:tc>
        <w:tc>
          <w:tcPr>
            <w:tcW w:w="23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00" w:type="dxa"/>
            <w:vAlign w:val="bottom"/>
            <w:tcBorders>
              <w:bottom w:val="single" w:sz="8" w:color="CFCF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80" w:type="dxa"/>
            <w:vAlign w:val="bottom"/>
          </w:tcPr>
          <w:p>
            <w:pPr>
              <w:ind w:left="100"/>
              <w:spacing w:after="0"/>
              <w:rPr>
                <w:sz w:val="20"/>
                <w:szCs w:val="20"/>
                <w:color w:val="auto"/>
              </w:rPr>
            </w:pPr>
            <w:r>
              <w:rPr>
                <w:rFonts w:ascii="Arial" w:cs="Arial" w:eastAsia="Arial" w:hAnsi="Arial"/>
                <w:sz w:val="14"/>
                <w:szCs w:val="14"/>
                <w:color w:val="0E1020"/>
              </w:rPr>
              <w:t>2022</w:t>
            </w:r>
          </w:p>
        </w:tc>
        <w:tc>
          <w:tcPr>
            <w:tcW w:w="2320" w:type="dxa"/>
            <w:vAlign w:val="bottom"/>
          </w:tcPr>
          <w:p>
            <w:pPr>
              <w:jc w:val="right"/>
              <w:ind w:right="9"/>
              <w:spacing w:after="0"/>
              <w:rPr>
                <w:sz w:val="20"/>
                <w:szCs w:val="20"/>
                <w:color w:val="auto"/>
              </w:rPr>
            </w:pPr>
            <w:r>
              <w:rPr>
                <w:rFonts w:ascii="Arial" w:cs="Arial" w:eastAsia="Arial" w:hAnsi="Arial"/>
                <w:sz w:val="14"/>
                <w:szCs w:val="14"/>
                <w:color w:val="0E1020"/>
              </w:rPr>
              <w:t>4,832,088</w:t>
            </w:r>
          </w:p>
        </w:tc>
        <w:tc>
          <w:tcPr>
            <w:tcW w:w="2340" w:type="dxa"/>
            <w:vAlign w:val="bottom"/>
          </w:tcPr>
          <w:p>
            <w:pPr>
              <w:jc w:val="right"/>
              <w:ind w:right="29"/>
              <w:spacing w:after="0"/>
              <w:rPr>
                <w:sz w:val="20"/>
                <w:szCs w:val="20"/>
                <w:color w:val="auto"/>
              </w:rPr>
            </w:pPr>
            <w:r>
              <w:rPr>
                <w:rFonts w:ascii="Arial" w:cs="Arial" w:eastAsia="Arial" w:hAnsi="Arial"/>
                <w:sz w:val="14"/>
                <w:szCs w:val="14"/>
                <w:color w:val="0E1020"/>
              </w:rPr>
              <w:t>3,599,308</w:t>
            </w:r>
          </w:p>
        </w:tc>
        <w:tc>
          <w:tcPr>
            <w:tcW w:w="2340" w:type="dxa"/>
            <w:vAlign w:val="bottom"/>
          </w:tcPr>
          <w:p>
            <w:pPr>
              <w:jc w:val="right"/>
              <w:ind w:right="49"/>
              <w:spacing w:after="0"/>
              <w:rPr>
                <w:sz w:val="20"/>
                <w:szCs w:val="20"/>
                <w:color w:val="auto"/>
              </w:rPr>
            </w:pPr>
            <w:r>
              <w:rPr>
                <w:rFonts w:ascii="Arial" w:cs="Arial" w:eastAsia="Arial" w:hAnsi="Arial"/>
                <w:sz w:val="14"/>
                <w:szCs w:val="14"/>
                <w:color w:val="0E1020"/>
              </w:rPr>
              <w:t>3,920,400</w:t>
            </w:r>
          </w:p>
        </w:tc>
        <w:tc>
          <w:tcPr>
            <w:tcW w:w="2400" w:type="dxa"/>
            <w:vAlign w:val="bottom"/>
          </w:tcPr>
          <w:p>
            <w:pPr>
              <w:jc w:val="right"/>
              <w:ind w:right="129"/>
              <w:spacing w:after="0"/>
              <w:rPr>
                <w:sz w:val="20"/>
                <w:szCs w:val="20"/>
                <w:color w:val="auto"/>
              </w:rPr>
            </w:pPr>
            <w:r>
              <w:rPr>
                <w:rFonts w:ascii="Arial" w:cs="Arial" w:eastAsia="Arial" w:hAnsi="Arial"/>
                <w:sz w:val="14"/>
                <w:szCs w:val="14"/>
                <w:color w:val="0E1020"/>
              </w:rPr>
              <w:t>5,153,180</w:t>
            </w:r>
          </w:p>
        </w:tc>
        <w:tc>
          <w:tcPr>
            <w:tcW w:w="0" w:type="dxa"/>
            <w:vAlign w:val="bottom"/>
          </w:tcPr>
          <w:p>
            <w:pPr>
              <w:spacing w:after="0"/>
              <w:rPr>
                <w:sz w:val="1"/>
                <w:szCs w:val="1"/>
                <w:color w:val="auto"/>
              </w:rPr>
            </w:pPr>
          </w:p>
        </w:tc>
      </w:tr>
      <w:tr>
        <w:trPr>
          <w:trHeight w:val="21"/>
        </w:trPr>
        <w:tc>
          <w:tcPr>
            <w:tcW w:w="780" w:type="dxa"/>
            <w:vAlign w:val="bottom"/>
            <w:tcBorders>
              <w:bottom w:val="single" w:sz="8" w:color="CFCFD2"/>
            </w:tcBorders>
          </w:tcPr>
          <w:p>
            <w:pPr>
              <w:spacing w:after="0" w:line="20" w:lineRule="exact"/>
              <w:rPr>
                <w:sz w:val="1"/>
                <w:szCs w:val="1"/>
                <w:color w:val="auto"/>
              </w:rPr>
            </w:pPr>
          </w:p>
        </w:tc>
        <w:tc>
          <w:tcPr>
            <w:tcW w:w="232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340" w:type="dxa"/>
            <w:vAlign w:val="bottom"/>
            <w:tcBorders>
              <w:bottom w:val="single" w:sz="8" w:color="CFCFD2"/>
            </w:tcBorders>
          </w:tcPr>
          <w:p>
            <w:pPr>
              <w:spacing w:after="0" w:line="20" w:lineRule="exact"/>
              <w:rPr>
                <w:sz w:val="1"/>
                <w:szCs w:val="1"/>
                <w:color w:val="auto"/>
              </w:rPr>
            </w:pPr>
          </w:p>
        </w:tc>
        <w:tc>
          <w:tcPr>
            <w:tcW w:w="2400" w:type="dxa"/>
            <w:vAlign w:val="bottom"/>
            <w:tcBorders>
              <w:bottom w:val="single" w:sz="8" w:color="CFCFD2"/>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3223895</wp:posOffset>
            </wp:positionH>
            <wp:positionV relativeFrom="paragraph">
              <wp:posOffset>-984885</wp:posOffset>
            </wp:positionV>
            <wp:extent cx="27940" cy="1079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7940" cy="10795"/>
                    </a:xfrm>
                    <a:prstGeom prst="rect">
                      <a:avLst/>
                    </a:prstGeom>
                    <a:noFill/>
                  </pic:spPr>
                </pic:pic>
              </a:graphicData>
            </a:graphic>
          </wp:anchor>
        </w:drawing>
        <w:drawing>
          <wp:anchor simplePos="0" relativeHeight="251657728" behindDoc="1" locked="0" layoutInCell="0" allowOverlap="1">
            <wp:simplePos x="0" y="0"/>
            <wp:positionH relativeFrom="column">
              <wp:posOffset>4696460</wp:posOffset>
            </wp:positionH>
            <wp:positionV relativeFrom="paragraph">
              <wp:posOffset>-984885</wp:posOffset>
            </wp:positionV>
            <wp:extent cx="27940" cy="1079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7940" cy="1079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-984885</wp:posOffset>
            </wp:positionV>
            <wp:extent cx="27940" cy="1079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7940" cy="10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tabs>
          <w:tab w:leader="none" w:pos="5500" w:val="left"/>
          <w:tab w:leader="none" w:pos="976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99</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146050</wp:posOffset>
            </wp:positionV>
            <wp:extent cx="715899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224" w:right="359" w:bottom="1440" w:gutter="0" w:footer="0" w:header="0"/>
        </w:sectPr>
      </w:pPr>
    </w:p>
    <w:bookmarkStart w:id="107" w:name="page108"/>
    <w:bookmarkEnd w:id="107"/>
    <w:p>
      <w:pPr>
        <w:ind w:left="20"/>
        <w:spacing w:after="0"/>
        <w:tabs>
          <w:tab w:leader="none" w:pos="10100" w:val="left"/>
        </w:tabs>
        <w:rPr>
          <w:sz w:val="20"/>
          <w:szCs w:val="20"/>
          <w:color w:val="auto"/>
        </w:rPr>
      </w:pPr>
      <w:r>
        <w:rPr>
          <w:rFonts w:ascii="Arial" w:cs="Arial" w:eastAsia="Arial" w:hAnsi="Arial"/>
          <w:sz w:val="14"/>
          <w:szCs w:val="14"/>
          <w:color w:val="0E1020"/>
        </w:rPr>
        <w:t>Executive Compensation Tables</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20" w:right="520"/>
        <w:spacing w:after="0" w:line="302" w:lineRule="auto"/>
        <w:rPr>
          <w:sz w:val="20"/>
          <w:szCs w:val="20"/>
          <w:color w:val="auto"/>
        </w:rPr>
      </w:pPr>
      <w:r>
        <w:rPr>
          <w:rFonts w:ascii="Arial" w:cs="Arial" w:eastAsia="Arial" w:hAnsi="Arial"/>
          <w:sz w:val="14"/>
          <w:szCs w:val="14"/>
          <w:color w:val="0E1020"/>
        </w:rPr>
        <w:t>The amounts in the Inclusion of Equity Values in the tables above are derived from the amounts set forth in the following tables for our PEO and our non-PEO NEOs, respectively: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0" w:type="dxa"/>
            <w:vAlign w:val="bottom"/>
          </w:tcPr>
          <w:p>
            <w:pPr>
              <w:spacing w:after="0"/>
              <w:rPr>
                <w:sz w:val="21"/>
                <w:szCs w:val="21"/>
                <w:color w:val="auto"/>
              </w:rPr>
            </w:pPr>
          </w:p>
        </w:tc>
        <w:tc>
          <w:tcPr>
            <w:tcW w:w="780" w:type="dxa"/>
            <w:vAlign w:val="bottom"/>
            <w:shd w:val="clear" w:color="auto" w:fill="F6F3F0"/>
          </w:tcPr>
          <w:p>
            <w:pPr>
              <w:spacing w:after="0"/>
              <w:rPr>
                <w:sz w:val="21"/>
                <w:szCs w:val="21"/>
                <w:color w:val="auto"/>
              </w:rPr>
            </w:pPr>
          </w:p>
        </w:tc>
        <w:tc>
          <w:tcPr>
            <w:tcW w:w="1580" w:type="dxa"/>
            <w:vAlign w:val="bottom"/>
            <w:shd w:val="clear" w:color="auto" w:fill="F6F3F0"/>
          </w:tcPr>
          <w:p>
            <w:pPr>
              <w:spacing w:after="0"/>
              <w:rPr>
                <w:sz w:val="21"/>
                <w:szCs w:val="21"/>
                <w:color w:val="auto"/>
              </w:rPr>
            </w:pPr>
          </w:p>
        </w:tc>
        <w:tc>
          <w:tcPr>
            <w:tcW w:w="1620" w:type="dxa"/>
            <w:vAlign w:val="bottom"/>
            <w:shd w:val="clear" w:color="auto" w:fill="F6F3F0"/>
          </w:tcPr>
          <w:p>
            <w:pPr>
              <w:spacing w:after="0"/>
              <w:rPr>
                <w:sz w:val="21"/>
                <w:szCs w:val="21"/>
                <w:color w:val="auto"/>
              </w:rPr>
            </w:pPr>
          </w:p>
        </w:tc>
        <w:tc>
          <w:tcPr>
            <w:tcW w:w="1600" w:type="dxa"/>
            <w:vAlign w:val="bottom"/>
            <w:shd w:val="clear" w:color="auto" w:fill="F6F3F0"/>
          </w:tcPr>
          <w:p>
            <w:pPr>
              <w:spacing w:after="0"/>
              <w:rPr>
                <w:sz w:val="21"/>
                <w:szCs w:val="21"/>
                <w:color w:val="auto"/>
              </w:rPr>
            </w:pPr>
          </w:p>
        </w:tc>
        <w:tc>
          <w:tcPr>
            <w:tcW w:w="156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Change in Fair Value</w:t>
            </w:r>
          </w:p>
        </w:tc>
        <w:tc>
          <w:tcPr>
            <w:tcW w:w="1680" w:type="dxa"/>
            <w:vAlign w:val="bottom"/>
            <w:shd w:val="clear" w:color="auto" w:fill="F6F3F0"/>
          </w:tcPr>
          <w:p>
            <w:pPr>
              <w:spacing w:after="0"/>
              <w:rPr>
                <w:sz w:val="21"/>
                <w:szCs w:val="21"/>
                <w:color w:val="auto"/>
              </w:rPr>
            </w:pPr>
          </w:p>
        </w:tc>
        <w:tc>
          <w:tcPr>
            <w:tcW w:w="1640" w:type="dxa"/>
            <w:vAlign w:val="bottom"/>
            <w:shd w:val="clear" w:color="auto" w:fill="F6F3F0"/>
          </w:tcPr>
          <w:p>
            <w:pPr>
              <w:spacing w:after="0"/>
              <w:rPr>
                <w:sz w:val="21"/>
                <w:szCs w:val="21"/>
                <w:color w:val="auto"/>
              </w:rPr>
            </w:pPr>
          </w:p>
        </w:tc>
        <w:tc>
          <w:tcPr>
            <w:tcW w:w="460" w:type="dxa"/>
            <w:vAlign w:val="bottom"/>
          </w:tcPr>
          <w:p>
            <w:pPr>
              <w:spacing w:after="0"/>
              <w:rPr>
                <w:sz w:val="21"/>
                <w:szCs w:val="21"/>
                <w:color w:val="auto"/>
              </w:rPr>
            </w:pPr>
          </w:p>
        </w:tc>
      </w:tr>
      <w:tr>
        <w:trPr>
          <w:trHeight w:val="161"/>
        </w:trPr>
        <w:tc>
          <w:tcPr>
            <w:tcW w:w="320" w:type="dxa"/>
            <w:vAlign w:val="bottom"/>
          </w:tcPr>
          <w:p>
            <w:pPr>
              <w:spacing w:after="0"/>
              <w:rPr>
                <w:sz w:val="13"/>
                <w:szCs w:val="13"/>
                <w:color w:val="auto"/>
              </w:rPr>
            </w:pPr>
          </w:p>
        </w:tc>
        <w:tc>
          <w:tcPr>
            <w:tcW w:w="780" w:type="dxa"/>
            <w:vAlign w:val="bottom"/>
            <w:shd w:val="clear" w:color="auto" w:fill="F6F3F0"/>
          </w:tcPr>
          <w:p>
            <w:pPr>
              <w:spacing w:after="0"/>
              <w:rPr>
                <w:sz w:val="13"/>
                <w:szCs w:val="13"/>
                <w:color w:val="auto"/>
              </w:rPr>
            </w:pPr>
          </w:p>
        </w:tc>
        <w:tc>
          <w:tcPr>
            <w:tcW w:w="15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Year End Fair Value of</w:t>
            </w:r>
          </w:p>
        </w:tc>
        <w:tc>
          <w:tcPr>
            <w:tcW w:w="1620" w:type="dxa"/>
            <w:vAlign w:val="bottom"/>
            <w:shd w:val="clear" w:color="auto" w:fill="F6F3F0"/>
          </w:tcPr>
          <w:p>
            <w:pPr>
              <w:spacing w:after="0"/>
              <w:rPr>
                <w:sz w:val="13"/>
                <w:szCs w:val="13"/>
                <w:color w:val="auto"/>
              </w:rPr>
            </w:pPr>
          </w:p>
        </w:tc>
        <w:tc>
          <w:tcPr>
            <w:tcW w:w="1600" w:type="dxa"/>
            <w:vAlign w:val="bottom"/>
            <w:shd w:val="clear" w:color="auto" w:fill="F6F3F0"/>
          </w:tcPr>
          <w:p>
            <w:pPr>
              <w:spacing w:after="0"/>
              <w:rPr>
                <w:sz w:val="13"/>
                <w:szCs w:val="13"/>
                <w:color w:val="auto"/>
              </w:rPr>
            </w:pPr>
          </w:p>
        </w:tc>
        <w:tc>
          <w:tcPr>
            <w:tcW w:w="156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from Last Day of Prior</w:t>
            </w:r>
          </w:p>
        </w:tc>
        <w:tc>
          <w:tcPr>
            <w:tcW w:w="1680" w:type="dxa"/>
            <w:vAlign w:val="bottom"/>
            <w:shd w:val="clear" w:color="auto" w:fill="F6F3F0"/>
          </w:tcPr>
          <w:p>
            <w:pPr>
              <w:spacing w:after="0"/>
              <w:rPr>
                <w:sz w:val="13"/>
                <w:szCs w:val="13"/>
                <w:color w:val="auto"/>
              </w:rPr>
            </w:pPr>
          </w:p>
        </w:tc>
        <w:tc>
          <w:tcPr>
            <w:tcW w:w="1640" w:type="dxa"/>
            <w:vAlign w:val="bottom"/>
            <w:shd w:val="clear" w:color="auto" w:fill="F6F3F0"/>
          </w:tcPr>
          <w:p>
            <w:pPr>
              <w:spacing w:after="0"/>
              <w:rPr>
                <w:sz w:val="13"/>
                <w:szCs w:val="13"/>
                <w:color w:val="auto"/>
              </w:rPr>
            </w:pPr>
          </w:p>
        </w:tc>
        <w:tc>
          <w:tcPr>
            <w:tcW w:w="460" w:type="dxa"/>
            <w:vAlign w:val="bottom"/>
          </w:tcPr>
          <w:p>
            <w:pPr>
              <w:spacing w:after="0"/>
              <w:rPr>
                <w:sz w:val="13"/>
                <w:szCs w:val="13"/>
                <w:color w:val="auto"/>
              </w:rPr>
            </w:pPr>
          </w:p>
        </w:tc>
      </w:tr>
      <w:tr>
        <w:trPr>
          <w:trHeight w:val="174"/>
        </w:trPr>
        <w:tc>
          <w:tcPr>
            <w:tcW w:w="320" w:type="dxa"/>
            <w:vAlign w:val="bottom"/>
          </w:tcPr>
          <w:p>
            <w:pPr>
              <w:spacing w:after="0"/>
              <w:rPr>
                <w:sz w:val="15"/>
                <w:szCs w:val="15"/>
                <w:color w:val="auto"/>
              </w:rPr>
            </w:pPr>
          </w:p>
        </w:tc>
        <w:tc>
          <w:tcPr>
            <w:tcW w:w="780" w:type="dxa"/>
            <w:vAlign w:val="bottom"/>
            <w:shd w:val="clear" w:color="auto" w:fill="F6F3F0"/>
          </w:tcPr>
          <w:p>
            <w:pPr>
              <w:spacing w:after="0"/>
              <w:rPr>
                <w:sz w:val="15"/>
                <w:szCs w:val="15"/>
                <w:color w:val="auto"/>
              </w:rPr>
            </w:pPr>
          </w:p>
        </w:tc>
        <w:tc>
          <w:tcPr>
            <w:tcW w:w="15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Equity Awards</w:t>
            </w:r>
          </w:p>
        </w:tc>
        <w:tc>
          <w:tcPr>
            <w:tcW w:w="1620" w:type="dxa"/>
            <w:vAlign w:val="bottom"/>
            <w:shd w:val="clear" w:color="auto" w:fill="F6F3F0"/>
          </w:tcPr>
          <w:p>
            <w:pPr>
              <w:spacing w:after="0"/>
              <w:rPr>
                <w:sz w:val="15"/>
                <w:szCs w:val="15"/>
                <w:color w:val="auto"/>
              </w:rPr>
            </w:pPr>
          </w:p>
        </w:tc>
        <w:tc>
          <w:tcPr>
            <w:tcW w:w="3160" w:type="dxa"/>
            <w:vAlign w:val="bottom"/>
            <w:gridSpan w:val="2"/>
            <w:shd w:val="clear" w:color="auto" w:fill="F6F3F0"/>
          </w:tcPr>
          <w:p>
            <w:pPr>
              <w:jc w:val="right"/>
              <w:spacing w:after="0"/>
              <w:rPr>
                <w:sz w:val="20"/>
                <w:szCs w:val="20"/>
                <w:color w:val="auto"/>
              </w:rPr>
            </w:pPr>
            <w:r>
              <w:rPr>
                <w:rFonts w:ascii="Arial" w:cs="Arial" w:eastAsia="Arial" w:hAnsi="Arial"/>
                <w:sz w:val="14"/>
                <w:szCs w:val="14"/>
                <w:b w:val="1"/>
                <w:bCs w:val="1"/>
                <w:color w:val="0E1020"/>
              </w:rPr>
              <w:t>Vesting Date Fair Year to Vesting Date of</w:t>
            </w:r>
          </w:p>
        </w:tc>
        <w:tc>
          <w:tcPr>
            <w:tcW w:w="1680" w:type="dxa"/>
            <w:vAlign w:val="bottom"/>
            <w:shd w:val="clear" w:color="auto" w:fill="F6F3F0"/>
          </w:tcPr>
          <w:p>
            <w:pPr>
              <w:spacing w:after="0"/>
              <w:rPr>
                <w:sz w:val="15"/>
                <w:szCs w:val="15"/>
                <w:color w:val="auto"/>
              </w:rPr>
            </w:pPr>
          </w:p>
        </w:tc>
        <w:tc>
          <w:tcPr>
            <w:tcW w:w="1640" w:type="dxa"/>
            <w:vAlign w:val="bottom"/>
            <w:shd w:val="clear" w:color="auto" w:fill="F6F3F0"/>
          </w:tcPr>
          <w:p>
            <w:pPr>
              <w:spacing w:after="0"/>
              <w:rPr>
                <w:sz w:val="15"/>
                <w:szCs w:val="15"/>
                <w:color w:val="auto"/>
              </w:rPr>
            </w:pPr>
          </w:p>
        </w:tc>
        <w:tc>
          <w:tcPr>
            <w:tcW w:w="460" w:type="dxa"/>
            <w:vAlign w:val="bottom"/>
          </w:tcPr>
          <w:p>
            <w:pPr>
              <w:spacing w:after="0"/>
              <w:rPr>
                <w:sz w:val="15"/>
                <w:szCs w:val="15"/>
                <w:color w:val="auto"/>
              </w:rPr>
            </w:pPr>
          </w:p>
        </w:tc>
      </w:tr>
      <w:tr>
        <w:trPr>
          <w:trHeight w:val="174"/>
        </w:trPr>
        <w:tc>
          <w:tcPr>
            <w:tcW w:w="320" w:type="dxa"/>
            <w:vAlign w:val="bottom"/>
          </w:tcPr>
          <w:p>
            <w:pPr>
              <w:spacing w:after="0"/>
              <w:rPr>
                <w:sz w:val="15"/>
                <w:szCs w:val="15"/>
                <w:color w:val="auto"/>
              </w:rPr>
            </w:pPr>
          </w:p>
        </w:tc>
        <w:tc>
          <w:tcPr>
            <w:tcW w:w="780" w:type="dxa"/>
            <w:vAlign w:val="bottom"/>
            <w:shd w:val="clear" w:color="auto" w:fill="F6F3F0"/>
          </w:tcPr>
          <w:p>
            <w:pPr>
              <w:spacing w:after="0"/>
              <w:rPr>
                <w:sz w:val="15"/>
                <w:szCs w:val="15"/>
                <w:color w:val="auto"/>
              </w:rPr>
            </w:pPr>
          </w:p>
        </w:tc>
        <w:tc>
          <w:tcPr>
            <w:tcW w:w="15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Granted During Year</w:t>
            </w:r>
          </w:p>
        </w:tc>
        <w:tc>
          <w:tcPr>
            <w:tcW w:w="162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Change in Fair Value</w:t>
            </w:r>
          </w:p>
        </w:tc>
        <w:tc>
          <w:tcPr>
            <w:tcW w:w="160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Value of Equity</w:t>
            </w:r>
          </w:p>
        </w:tc>
        <w:tc>
          <w:tcPr>
            <w:tcW w:w="156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Unvested Equity</w:t>
            </w:r>
          </w:p>
        </w:tc>
        <w:tc>
          <w:tcPr>
            <w:tcW w:w="1680" w:type="dxa"/>
            <w:vAlign w:val="bottom"/>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Value of Dividends</w:t>
            </w:r>
          </w:p>
        </w:tc>
        <w:tc>
          <w:tcPr>
            <w:tcW w:w="1640" w:type="dxa"/>
            <w:vAlign w:val="bottom"/>
            <w:shd w:val="clear" w:color="auto" w:fill="F6F3F0"/>
          </w:tcPr>
          <w:p>
            <w:pPr>
              <w:spacing w:after="0"/>
              <w:rPr>
                <w:sz w:val="15"/>
                <w:szCs w:val="15"/>
                <w:color w:val="auto"/>
              </w:rPr>
            </w:pPr>
          </w:p>
        </w:tc>
        <w:tc>
          <w:tcPr>
            <w:tcW w:w="460" w:type="dxa"/>
            <w:vAlign w:val="bottom"/>
          </w:tcPr>
          <w:p>
            <w:pPr>
              <w:spacing w:after="0"/>
              <w:rPr>
                <w:sz w:val="15"/>
                <w:szCs w:val="15"/>
                <w:color w:val="auto"/>
              </w:rPr>
            </w:pPr>
          </w:p>
        </w:tc>
      </w:tr>
      <w:tr>
        <w:trPr>
          <w:trHeight w:val="161"/>
        </w:trPr>
        <w:tc>
          <w:tcPr>
            <w:tcW w:w="320" w:type="dxa"/>
            <w:vAlign w:val="bottom"/>
          </w:tcPr>
          <w:p>
            <w:pPr>
              <w:spacing w:after="0"/>
              <w:rPr>
                <w:sz w:val="13"/>
                <w:szCs w:val="13"/>
                <w:color w:val="auto"/>
              </w:rPr>
            </w:pPr>
          </w:p>
        </w:tc>
        <w:tc>
          <w:tcPr>
            <w:tcW w:w="780" w:type="dxa"/>
            <w:vAlign w:val="bottom"/>
            <w:shd w:val="clear" w:color="auto" w:fill="F6F3F0"/>
          </w:tcPr>
          <w:p>
            <w:pPr>
              <w:spacing w:after="0"/>
              <w:rPr>
                <w:sz w:val="13"/>
                <w:szCs w:val="13"/>
                <w:color w:val="auto"/>
              </w:rPr>
            </w:pPr>
          </w:p>
        </w:tc>
        <w:tc>
          <w:tcPr>
            <w:tcW w:w="15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that Remained</w:t>
            </w:r>
          </w:p>
        </w:tc>
        <w:tc>
          <w:tcPr>
            <w:tcW w:w="162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of Prior Awards that</w:t>
            </w:r>
          </w:p>
        </w:tc>
        <w:tc>
          <w:tcPr>
            <w:tcW w:w="160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Awards Granted</w:t>
            </w:r>
          </w:p>
        </w:tc>
        <w:tc>
          <w:tcPr>
            <w:tcW w:w="156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Awards that Vested</w:t>
            </w:r>
          </w:p>
        </w:tc>
        <w:tc>
          <w:tcPr>
            <w:tcW w:w="1680" w:type="dxa"/>
            <w:vAlign w:val="bottom"/>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Paid</w:t>
            </w:r>
          </w:p>
        </w:tc>
        <w:tc>
          <w:tcPr>
            <w:tcW w:w="1640" w:type="dxa"/>
            <w:vAlign w:val="bottom"/>
            <w:shd w:val="clear" w:color="auto" w:fill="F6F3F0"/>
          </w:tcPr>
          <w:p>
            <w:pPr>
              <w:spacing w:after="0"/>
              <w:rPr>
                <w:sz w:val="13"/>
                <w:szCs w:val="13"/>
                <w:color w:val="auto"/>
              </w:rPr>
            </w:pPr>
          </w:p>
        </w:tc>
        <w:tc>
          <w:tcPr>
            <w:tcW w:w="460" w:type="dxa"/>
            <w:vAlign w:val="bottom"/>
          </w:tcPr>
          <w:p>
            <w:pPr>
              <w:spacing w:after="0"/>
              <w:rPr>
                <w:sz w:val="13"/>
                <w:szCs w:val="13"/>
                <w:color w:val="auto"/>
              </w:rPr>
            </w:pPr>
          </w:p>
        </w:tc>
      </w:tr>
      <w:tr>
        <w:trPr>
          <w:trHeight w:val="174"/>
        </w:trPr>
        <w:tc>
          <w:tcPr>
            <w:tcW w:w="320" w:type="dxa"/>
            <w:vAlign w:val="bottom"/>
          </w:tcPr>
          <w:p>
            <w:pPr>
              <w:spacing w:after="0"/>
              <w:rPr>
                <w:sz w:val="15"/>
                <w:szCs w:val="15"/>
                <w:color w:val="auto"/>
              </w:rPr>
            </w:pPr>
          </w:p>
        </w:tc>
        <w:tc>
          <w:tcPr>
            <w:tcW w:w="780" w:type="dxa"/>
            <w:vAlign w:val="bottom"/>
            <w:shd w:val="clear" w:color="auto" w:fill="F6F3F0"/>
          </w:tcPr>
          <w:p>
            <w:pPr>
              <w:spacing w:after="0"/>
              <w:rPr>
                <w:sz w:val="15"/>
                <w:szCs w:val="15"/>
                <w:color w:val="auto"/>
              </w:rPr>
            </w:pPr>
          </w:p>
        </w:tc>
        <w:tc>
          <w:tcPr>
            <w:tcW w:w="15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Unvested as of Last</w:t>
            </w:r>
          </w:p>
        </w:tc>
        <w:tc>
          <w:tcPr>
            <w:tcW w:w="162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Remained Unvested at</w:t>
            </w:r>
          </w:p>
        </w:tc>
        <w:tc>
          <w:tcPr>
            <w:tcW w:w="160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During Year that</w:t>
            </w:r>
          </w:p>
        </w:tc>
        <w:tc>
          <w:tcPr>
            <w:tcW w:w="156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During</w:t>
            </w:r>
          </w:p>
        </w:tc>
        <w:tc>
          <w:tcPr>
            <w:tcW w:w="1680" w:type="dxa"/>
            <w:vAlign w:val="bottom"/>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on Stock Awards Not</w:t>
            </w:r>
          </w:p>
        </w:tc>
        <w:tc>
          <w:tcPr>
            <w:tcW w:w="1640" w:type="dxa"/>
            <w:vAlign w:val="bottom"/>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Total - Inclusion of</w:t>
            </w:r>
          </w:p>
        </w:tc>
        <w:tc>
          <w:tcPr>
            <w:tcW w:w="460" w:type="dxa"/>
            <w:vAlign w:val="bottom"/>
          </w:tcPr>
          <w:p>
            <w:pPr>
              <w:spacing w:after="0"/>
              <w:rPr>
                <w:sz w:val="15"/>
                <w:szCs w:val="15"/>
                <w:color w:val="auto"/>
              </w:rPr>
            </w:pPr>
          </w:p>
        </w:tc>
      </w:tr>
      <w:tr>
        <w:trPr>
          <w:trHeight w:val="174"/>
        </w:trPr>
        <w:tc>
          <w:tcPr>
            <w:tcW w:w="320" w:type="dxa"/>
            <w:vAlign w:val="bottom"/>
          </w:tcPr>
          <w:p>
            <w:pPr>
              <w:spacing w:after="0"/>
              <w:rPr>
                <w:sz w:val="15"/>
                <w:szCs w:val="15"/>
                <w:color w:val="auto"/>
              </w:rPr>
            </w:pPr>
          </w:p>
        </w:tc>
        <w:tc>
          <w:tcPr>
            <w:tcW w:w="780" w:type="dxa"/>
            <w:vAlign w:val="bottom"/>
            <w:shd w:val="clear" w:color="auto" w:fill="F6F3F0"/>
          </w:tcPr>
          <w:p>
            <w:pPr>
              <w:spacing w:after="0"/>
              <w:rPr>
                <w:sz w:val="15"/>
                <w:szCs w:val="15"/>
                <w:color w:val="auto"/>
              </w:rPr>
            </w:pPr>
          </w:p>
        </w:tc>
        <w:tc>
          <w:tcPr>
            <w:tcW w:w="15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Day of Year for Mr.</w:t>
            </w:r>
          </w:p>
        </w:tc>
        <w:tc>
          <w:tcPr>
            <w:tcW w:w="1620" w:type="dxa"/>
            <w:vAlign w:val="bottom"/>
            <w:shd w:val="clear" w:color="auto" w:fill="F6F3F0"/>
          </w:tcPr>
          <w:p>
            <w:pPr>
              <w:jc w:val="right"/>
              <w:ind w:right="9"/>
              <w:spacing w:after="0"/>
              <w:rPr>
                <w:sz w:val="20"/>
                <w:szCs w:val="20"/>
                <w:color w:val="auto"/>
              </w:rPr>
            </w:pPr>
            <w:r>
              <w:rPr>
                <w:rFonts w:ascii="Arial" w:cs="Arial" w:eastAsia="Arial" w:hAnsi="Arial"/>
                <w:sz w:val="14"/>
                <w:szCs w:val="14"/>
                <w:b w:val="1"/>
                <w:bCs w:val="1"/>
                <w:color w:val="0E1020"/>
              </w:rPr>
              <w:t>Year End for</w:t>
            </w:r>
          </w:p>
        </w:tc>
        <w:tc>
          <w:tcPr>
            <w:tcW w:w="160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Vested During Year for</w:t>
            </w:r>
          </w:p>
        </w:tc>
        <w:tc>
          <w:tcPr>
            <w:tcW w:w="156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the Year for</w:t>
            </w:r>
          </w:p>
        </w:tc>
        <w:tc>
          <w:tcPr>
            <w:tcW w:w="1680" w:type="dxa"/>
            <w:vAlign w:val="bottom"/>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Otherwise Included for</w:t>
            </w:r>
          </w:p>
        </w:tc>
        <w:tc>
          <w:tcPr>
            <w:tcW w:w="1640" w:type="dxa"/>
            <w:vAlign w:val="bottom"/>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Equity Values for</w:t>
            </w:r>
          </w:p>
        </w:tc>
        <w:tc>
          <w:tcPr>
            <w:tcW w:w="460" w:type="dxa"/>
            <w:vAlign w:val="bottom"/>
          </w:tcPr>
          <w:p>
            <w:pPr>
              <w:spacing w:after="0"/>
              <w:rPr>
                <w:sz w:val="15"/>
                <w:szCs w:val="15"/>
                <w:color w:val="auto"/>
              </w:rPr>
            </w:pPr>
          </w:p>
        </w:tc>
      </w:tr>
      <w:tr>
        <w:trPr>
          <w:trHeight w:val="174"/>
        </w:trPr>
        <w:tc>
          <w:tcPr>
            <w:tcW w:w="320" w:type="dxa"/>
            <w:vAlign w:val="bottom"/>
          </w:tcPr>
          <w:p>
            <w:pPr>
              <w:spacing w:after="0"/>
              <w:rPr>
                <w:sz w:val="15"/>
                <w:szCs w:val="15"/>
                <w:color w:val="auto"/>
              </w:rPr>
            </w:pPr>
          </w:p>
        </w:tc>
        <w:tc>
          <w:tcPr>
            <w:tcW w:w="780" w:type="dxa"/>
            <w:vAlign w:val="bottom"/>
            <w:shd w:val="clear" w:color="auto" w:fill="F6F3F0"/>
          </w:tcPr>
          <w:p>
            <w:pPr>
              <w:ind w:left="100"/>
              <w:spacing w:after="0"/>
              <w:rPr>
                <w:sz w:val="20"/>
                <w:szCs w:val="20"/>
                <w:color w:val="auto"/>
              </w:rPr>
            </w:pPr>
            <w:r>
              <w:rPr>
                <w:rFonts w:ascii="Arial" w:cs="Arial" w:eastAsia="Arial" w:hAnsi="Arial"/>
                <w:sz w:val="14"/>
                <w:szCs w:val="14"/>
                <w:b w:val="1"/>
                <w:bCs w:val="1"/>
                <w:color w:val="0E1020"/>
              </w:rPr>
              <w:t>Fiscal</w:t>
            </w:r>
          </w:p>
        </w:tc>
        <w:tc>
          <w:tcPr>
            <w:tcW w:w="15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Fernandez</w:t>
            </w:r>
          </w:p>
        </w:tc>
        <w:tc>
          <w:tcPr>
            <w:tcW w:w="162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Mr. Fernandez</w:t>
            </w:r>
          </w:p>
        </w:tc>
        <w:tc>
          <w:tcPr>
            <w:tcW w:w="160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Mr. Fernandez</w:t>
            </w:r>
          </w:p>
        </w:tc>
        <w:tc>
          <w:tcPr>
            <w:tcW w:w="156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Mr. Fernandez</w:t>
            </w:r>
          </w:p>
        </w:tc>
        <w:tc>
          <w:tcPr>
            <w:tcW w:w="1680" w:type="dxa"/>
            <w:vAlign w:val="bottom"/>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Mr. Fernandez</w:t>
            </w:r>
          </w:p>
        </w:tc>
        <w:tc>
          <w:tcPr>
            <w:tcW w:w="1640" w:type="dxa"/>
            <w:vAlign w:val="bottom"/>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Mr. Fernandez</w:t>
            </w:r>
          </w:p>
        </w:tc>
        <w:tc>
          <w:tcPr>
            <w:tcW w:w="460" w:type="dxa"/>
            <w:vAlign w:val="bottom"/>
          </w:tcPr>
          <w:p>
            <w:pPr>
              <w:spacing w:after="0"/>
              <w:rPr>
                <w:sz w:val="15"/>
                <w:szCs w:val="15"/>
                <w:color w:val="auto"/>
              </w:rPr>
            </w:pPr>
          </w:p>
        </w:tc>
      </w:tr>
      <w:tr>
        <w:trPr>
          <w:trHeight w:val="269"/>
        </w:trPr>
        <w:tc>
          <w:tcPr>
            <w:tcW w:w="320" w:type="dxa"/>
            <w:vAlign w:val="bottom"/>
          </w:tcPr>
          <w:p>
            <w:pPr>
              <w:spacing w:after="0"/>
              <w:rPr>
                <w:sz w:val="22"/>
                <w:szCs w:val="22"/>
                <w:color w:val="auto"/>
              </w:rPr>
            </w:pPr>
          </w:p>
        </w:tc>
        <w:tc>
          <w:tcPr>
            <w:tcW w:w="780" w:type="dxa"/>
            <w:vAlign w:val="bottom"/>
            <w:tcBorders>
              <w:bottom w:val="single" w:sz="8" w:color="F6F3F0"/>
            </w:tcBorders>
            <w:shd w:val="clear" w:color="auto" w:fill="F6F3F0"/>
          </w:tcPr>
          <w:p>
            <w:pPr>
              <w:ind w:left="100"/>
              <w:spacing w:after="0"/>
              <w:rPr>
                <w:sz w:val="20"/>
                <w:szCs w:val="20"/>
                <w:color w:val="auto"/>
              </w:rPr>
            </w:pPr>
            <w:r>
              <w:rPr>
                <w:rFonts w:ascii="Arial" w:cs="Arial" w:eastAsia="Arial" w:hAnsi="Arial"/>
                <w:sz w:val="14"/>
                <w:szCs w:val="14"/>
                <w:b w:val="1"/>
                <w:bCs w:val="1"/>
                <w:color w:val="0E1020"/>
              </w:rPr>
              <w:t>Year</w:t>
            </w:r>
          </w:p>
        </w:tc>
        <w:tc>
          <w:tcPr>
            <w:tcW w:w="158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162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160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156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1680" w:type="dxa"/>
            <w:vAlign w:val="bottom"/>
            <w:tcBorders>
              <w:bottom w:val="single" w:sz="8" w:color="F6F3F0"/>
            </w:tcBorders>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w:t>
            </w:r>
          </w:p>
        </w:tc>
        <w:tc>
          <w:tcPr>
            <w:tcW w:w="1640" w:type="dxa"/>
            <w:vAlign w:val="bottom"/>
            <w:tcBorders>
              <w:bottom w:val="single" w:sz="8" w:color="F6F3F0"/>
            </w:tcBorders>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w:t>
            </w:r>
          </w:p>
        </w:tc>
        <w:tc>
          <w:tcPr>
            <w:tcW w:w="460" w:type="dxa"/>
            <w:vAlign w:val="bottom"/>
          </w:tcPr>
          <w:p>
            <w:pPr>
              <w:spacing w:after="0"/>
              <w:rPr>
                <w:sz w:val="22"/>
                <w:szCs w:val="22"/>
                <w:color w:val="auto"/>
              </w:rPr>
            </w:pPr>
          </w:p>
        </w:tc>
      </w:tr>
      <w:tr>
        <w:trPr>
          <w:trHeight w:val="200"/>
        </w:trPr>
        <w:tc>
          <w:tcPr>
            <w:tcW w:w="320" w:type="dxa"/>
            <w:vAlign w:val="bottom"/>
          </w:tcPr>
          <w:p>
            <w:pPr>
              <w:spacing w:after="0"/>
              <w:rPr>
                <w:sz w:val="17"/>
                <w:szCs w:val="17"/>
                <w:color w:val="auto"/>
              </w:rPr>
            </w:pPr>
          </w:p>
        </w:tc>
        <w:tc>
          <w:tcPr>
            <w:tcW w:w="780" w:type="dxa"/>
            <w:vAlign w:val="bottom"/>
            <w:tcBorders>
              <w:top w:val="single" w:sz="8" w:color="CFCFD2"/>
            </w:tcBorders>
          </w:tcPr>
          <w:p>
            <w:pPr>
              <w:ind w:left="100"/>
              <w:spacing w:after="0"/>
              <w:rPr>
                <w:sz w:val="20"/>
                <w:szCs w:val="20"/>
                <w:color w:val="auto"/>
              </w:rPr>
            </w:pPr>
            <w:r>
              <w:rPr>
                <w:rFonts w:ascii="Arial" w:cs="Arial" w:eastAsia="Arial" w:hAnsi="Arial"/>
                <w:sz w:val="14"/>
                <w:szCs w:val="14"/>
                <w:color w:val="0E1020"/>
              </w:rPr>
              <w:t>2026</w:t>
            </w:r>
          </w:p>
        </w:tc>
        <w:tc>
          <w:tcPr>
            <w:tcW w:w="1580" w:type="dxa"/>
            <w:vAlign w:val="bottom"/>
            <w:tcBorders>
              <w:top w:val="single" w:sz="8" w:color="CFCFD2"/>
            </w:tcBorders>
          </w:tcPr>
          <w:p>
            <w:pPr>
              <w:jc w:val="right"/>
              <w:spacing w:after="0"/>
              <w:rPr>
                <w:sz w:val="20"/>
                <w:szCs w:val="20"/>
                <w:color w:val="auto"/>
              </w:rPr>
            </w:pPr>
            <w:r>
              <w:rPr>
                <w:rFonts w:ascii="Arial" w:cs="Arial" w:eastAsia="Arial" w:hAnsi="Arial"/>
                <w:sz w:val="14"/>
                <w:szCs w:val="14"/>
                <w:color w:val="0E1020"/>
              </w:rPr>
              <w:t>35,229,907</w:t>
            </w:r>
          </w:p>
        </w:tc>
        <w:tc>
          <w:tcPr>
            <w:tcW w:w="1620" w:type="dxa"/>
            <w:vAlign w:val="bottom"/>
            <w:tcBorders>
              <w:top w:val="single" w:sz="8" w:color="CFCFD2"/>
            </w:tcBorders>
          </w:tcPr>
          <w:p>
            <w:pPr>
              <w:jc w:val="right"/>
              <w:spacing w:after="0"/>
              <w:rPr>
                <w:sz w:val="20"/>
                <w:szCs w:val="20"/>
                <w:color w:val="auto"/>
              </w:rPr>
            </w:pPr>
            <w:r>
              <w:rPr>
                <w:rFonts w:ascii="Arial" w:cs="Arial" w:eastAsia="Arial" w:hAnsi="Arial"/>
                <w:sz w:val="14"/>
                <w:szCs w:val="14"/>
                <w:color w:val="0E1020"/>
              </w:rPr>
              <w:t>(4,002,559)</w:t>
            </w:r>
          </w:p>
        </w:tc>
        <w:tc>
          <w:tcPr>
            <w:tcW w:w="1600" w:type="dxa"/>
            <w:vAlign w:val="bottom"/>
            <w:tcBorders>
              <w:top w:val="single" w:sz="8" w:color="CFCFD2"/>
            </w:tcBorders>
          </w:tcPr>
          <w:p>
            <w:pPr>
              <w:jc w:val="right"/>
              <w:ind w:right="29"/>
              <w:spacing w:after="0"/>
              <w:rPr>
                <w:sz w:val="20"/>
                <w:szCs w:val="20"/>
                <w:color w:val="auto"/>
              </w:rPr>
            </w:pPr>
            <w:r>
              <w:rPr>
                <w:rFonts w:ascii="Arial" w:cs="Arial" w:eastAsia="Arial" w:hAnsi="Arial"/>
                <w:sz w:val="14"/>
                <w:szCs w:val="14"/>
                <w:color w:val="0E1020"/>
              </w:rPr>
              <w:t>—</w:t>
            </w:r>
          </w:p>
        </w:tc>
        <w:tc>
          <w:tcPr>
            <w:tcW w:w="1560" w:type="dxa"/>
            <w:vAlign w:val="bottom"/>
            <w:tcBorders>
              <w:top w:val="single" w:sz="8" w:color="CFCFD2"/>
            </w:tcBorders>
          </w:tcPr>
          <w:p>
            <w:pPr>
              <w:jc w:val="right"/>
              <w:spacing w:after="0"/>
              <w:rPr>
                <w:sz w:val="20"/>
                <w:szCs w:val="20"/>
                <w:color w:val="auto"/>
              </w:rPr>
            </w:pPr>
            <w:r>
              <w:rPr>
                <w:rFonts w:ascii="Arial" w:cs="Arial" w:eastAsia="Arial" w:hAnsi="Arial"/>
                <w:sz w:val="14"/>
                <w:szCs w:val="14"/>
                <w:color w:val="0E1020"/>
              </w:rPr>
              <w:t>(168,400)</w:t>
            </w:r>
          </w:p>
        </w:tc>
        <w:tc>
          <w:tcPr>
            <w:tcW w:w="1680" w:type="dxa"/>
            <w:vAlign w:val="bottom"/>
            <w:tcBorders>
              <w:top w:val="single" w:sz="8" w:color="CFCFD2"/>
            </w:tcBorders>
          </w:tcPr>
          <w:p>
            <w:pPr>
              <w:jc w:val="right"/>
              <w:ind w:right="89"/>
              <w:spacing w:after="0"/>
              <w:rPr>
                <w:sz w:val="20"/>
                <w:szCs w:val="20"/>
                <w:color w:val="auto"/>
              </w:rPr>
            </w:pPr>
            <w:r>
              <w:rPr>
                <w:rFonts w:ascii="Arial" w:cs="Arial" w:eastAsia="Arial" w:hAnsi="Arial"/>
                <w:sz w:val="14"/>
                <w:szCs w:val="14"/>
                <w:color w:val="0E1020"/>
              </w:rPr>
              <w:t>—</w:t>
            </w:r>
          </w:p>
        </w:tc>
        <w:tc>
          <w:tcPr>
            <w:tcW w:w="1640" w:type="dxa"/>
            <w:vAlign w:val="bottom"/>
            <w:tcBorders>
              <w:top w:val="single" w:sz="8" w:color="CFCFD2"/>
            </w:tcBorders>
          </w:tcPr>
          <w:p>
            <w:pPr>
              <w:jc w:val="right"/>
              <w:ind w:right="129"/>
              <w:spacing w:after="0"/>
              <w:rPr>
                <w:sz w:val="20"/>
                <w:szCs w:val="20"/>
                <w:color w:val="auto"/>
              </w:rPr>
            </w:pPr>
            <w:r>
              <w:rPr>
                <w:rFonts w:ascii="Arial" w:cs="Arial" w:eastAsia="Arial" w:hAnsi="Arial"/>
                <w:sz w:val="14"/>
                <w:szCs w:val="14"/>
                <w:color w:val="0E1020"/>
              </w:rPr>
              <w:t>31,058,948</w:t>
            </w:r>
          </w:p>
        </w:tc>
        <w:tc>
          <w:tcPr>
            <w:tcW w:w="460" w:type="dxa"/>
            <w:vAlign w:val="bottom"/>
          </w:tcPr>
          <w:p>
            <w:pPr>
              <w:spacing w:after="0"/>
              <w:rPr>
                <w:sz w:val="17"/>
                <w:szCs w:val="17"/>
                <w:color w:val="auto"/>
              </w:rPr>
            </w:pPr>
          </w:p>
        </w:tc>
      </w:tr>
      <w:tr>
        <w:trPr>
          <w:trHeight w:val="21"/>
        </w:trPr>
        <w:tc>
          <w:tcPr>
            <w:tcW w:w="320" w:type="dxa"/>
            <w:vAlign w:val="bottom"/>
          </w:tcPr>
          <w:p>
            <w:pPr>
              <w:spacing w:after="0" w:line="20" w:lineRule="exact"/>
              <w:rPr>
                <w:sz w:val="1"/>
                <w:szCs w:val="1"/>
                <w:color w:val="auto"/>
              </w:rPr>
            </w:pPr>
          </w:p>
        </w:tc>
        <w:tc>
          <w:tcPr>
            <w:tcW w:w="780" w:type="dxa"/>
            <w:vAlign w:val="bottom"/>
            <w:tcBorders>
              <w:bottom w:val="single" w:sz="8" w:color="CFCFD2"/>
            </w:tcBorders>
          </w:tcPr>
          <w:p>
            <w:pPr>
              <w:spacing w:after="0" w:line="20" w:lineRule="exact"/>
              <w:rPr>
                <w:sz w:val="1"/>
                <w:szCs w:val="1"/>
                <w:color w:val="auto"/>
              </w:rPr>
            </w:pPr>
          </w:p>
        </w:tc>
        <w:tc>
          <w:tcPr>
            <w:tcW w:w="1580" w:type="dxa"/>
            <w:vAlign w:val="bottom"/>
            <w:tcBorders>
              <w:bottom w:val="single" w:sz="8" w:color="CFCFD2"/>
            </w:tcBorders>
          </w:tcPr>
          <w:p>
            <w:pPr>
              <w:spacing w:after="0" w:line="20" w:lineRule="exact"/>
              <w:rPr>
                <w:sz w:val="1"/>
                <w:szCs w:val="1"/>
                <w:color w:val="auto"/>
              </w:rPr>
            </w:pPr>
          </w:p>
        </w:tc>
        <w:tc>
          <w:tcPr>
            <w:tcW w:w="1620" w:type="dxa"/>
            <w:vAlign w:val="bottom"/>
            <w:tcBorders>
              <w:bottom w:val="single" w:sz="8" w:color="CFCFD2"/>
            </w:tcBorders>
          </w:tcPr>
          <w:p>
            <w:pPr>
              <w:spacing w:after="0" w:line="20" w:lineRule="exact"/>
              <w:rPr>
                <w:sz w:val="1"/>
                <w:szCs w:val="1"/>
                <w:color w:val="auto"/>
              </w:rPr>
            </w:pPr>
          </w:p>
        </w:tc>
        <w:tc>
          <w:tcPr>
            <w:tcW w:w="1600" w:type="dxa"/>
            <w:vAlign w:val="bottom"/>
            <w:tcBorders>
              <w:bottom w:val="single" w:sz="8" w:color="CFCFD2"/>
            </w:tcBorders>
          </w:tcPr>
          <w:p>
            <w:pPr>
              <w:spacing w:after="0" w:line="20" w:lineRule="exact"/>
              <w:rPr>
                <w:sz w:val="1"/>
                <w:szCs w:val="1"/>
                <w:color w:val="auto"/>
              </w:rPr>
            </w:pPr>
          </w:p>
        </w:tc>
        <w:tc>
          <w:tcPr>
            <w:tcW w:w="1560" w:type="dxa"/>
            <w:vAlign w:val="bottom"/>
            <w:tcBorders>
              <w:bottom w:val="single" w:sz="8" w:color="CFCFD2"/>
            </w:tcBorders>
          </w:tcPr>
          <w:p>
            <w:pPr>
              <w:spacing w:after="0" w:line="20" w:lineRule="exact"/>
              <w:rPr>
                <w:sz w:val="1"/>
                <w:szCs w:val="1"/>
                <w:color w:val="auto"/>
              </w:rPr>
            </w:pPr>
          </w:p>
        </w:tc>
        <w:tc>
          <w:tcPr>
            <w:tcW w:w="1680" w:type="dxa"/>
            <w:vAlign w:val="bottom"/>
            <w:tcBorders>
              <w:bottom w:val="single" w:sz="8" w:color="CFCFD2"/>
            </w:tcBorders>
          </w:tcPr>
          <w:p>
            <w:pPr>
              <w:spacing w:after="0" w:line="20" w:lineRule="exact"/>
              <w:rPr>
                <w:sz w:val="1"/>
                <w:szCs w:val="1"/>
                <w:color w:val="auto"/>
              </w:rPr>
            </w:pPr>
          </w:p>
        </w:tc>
        <w:tc>
          <w:tcPr>
            <w:tcW w:w="1640" w:type="dxa"/>
            <w:vAlign w:val="bottom"/>
            <w:tcBorders>
              <w:bottom w:val="single" w:sz="8" w:color="CFCFD2"/>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0"/>
        </w:trPr>
        <w:tc>
          <w:tcPr>
            <w:tcW w:w="1100" w:type="dxa"/>
            <w:vAlign w:val="bottom"/>
            <w:gridSpan w:val="2"/>
          </w:tcPr>
          <w:p>
            <w:pPr>
              <w:ind w:left="420"/>
              <w:spacing w:after="0"/>
              <w:rPr>
                <w:sz w:val="20"/>
                <w:szCs w:val="20"/>
                <w:color w:val="auto"/>
              </w:rPr>
            </w:pPr>
            <w:r>
              <w:rPr>
                <w:rFonts w:ascii="Arial" w:cs="Arial" w:eastAsia="Arial" w:hAnsi="Arial"/>
                <w:sz w:val="14"/>
                <w:szCs w:val="14"/>
                <w:color w:val="0E1020"/>
              </w:rPr>
              <w:t>2025</w:t>
            </w:r>
          </w:p>
        </w:tc>
        <w:tc>
          <w:tcPr>
            <w:tcW w:w="1580" w:type="dxa"/>
            <w:vAlign w:val="bottom"/>
          </w:tcPr>
          <w:p>
            <w:pPr>
              <w:jc w:val="right"/>
              <w:spacing w:after="0"/>
              <w:rPr>
                <w:sz w:val="20"/>
                <w:szCs w:val="20"/>
                <w:color w:val="auto"/>
              </w:rPr>
            </w:pPr>
            <w:r>
              <w:rPr>
                <w:rFonts w:ascii="Arial" w:cs="Arial" w:eastAsia="Arial" w:hAnsi="Arial"/>
                <w:sz w:val="14"/>
                <w:szCs w:val="14"/>
                <w:color w:val="0E1020"/>
              </w:rPr>
              <w:t>12,633,169</w:t>
            </w:r>
          </w:p>
        </w:tc>
        <w:tc>
          <w:tcPr>
            <w:tcW w:w="1620" w:type="dxa"/>
            <w:vAlign w:val="bottom"/>
          </w:tcPr>
          <w:p>
            <w:pPr>
              <w:jc w:val="right"/>
              <w:spacing w:after="0"/>
              <w:rPr>
                <w:sz w:val="20"/>
                <w:szCs w:val="20"/>
                <w:color w:val="auto"/>
              </w:rPr>
            </w:pPr>
            <w:r>
              <w:rPr>
                <w:rFonts w:ascii="Arial" w:cs="Arial" w:eastAsia="Arial" w:hAnsi="Arial"/>
                <w:sz w:val="14"/>
                <w:szCs w:val="14"/>
                <w:color w:val="0E1020"/>
              </w:rPr>
              <w:t>(2,224,227)</w:t>
            </w:r>
          </w:p>
        </w:tc>
        <w:tc>
          <w:tcPr>
            <w:tcW w:w="1600" w:type="dxa"/>
            <w:vAlign w:val="bottom"/>
          </w:tcPr>
          <w:p>
            <w:pPr>
              <w:jc w:val="right"/>
              <w:ind w:right="29"/>
              <w:spacing w:after="0"/>
              <w:rPr>
                <w:sz w:val="20"/>
                <w:szCs w:val="20"/>
                <w:color w:val="auto"/>
              </w:rPr>
            </w:pPr>
            <w:r>
              <w:rPr>
                <w:rFonts w:ascii="Arial" w:cs="Arial" w:eastAsia="Arial" w:hAnsi="Arial"/>
                <w:sz w:val="14"/>
                <w:szCs w:val="14"/>
                <w:color w:val="0E1020"/>
              </w:rPr>
              <w:t>—</w:t>
            </w:r>
          </w:p>
        </w:tc>
        <w:tc>
          <w:tcPr>
            <w:tcW w:w="1560" w:type="dxa"/>
            <w:vAlign w:val="bottom"/>
          </w:tcPr>
          <w:p>
            <w:pPr>
              <w:jc w:val="right"/>
              <w:spacing w:after="0"/>
              <w:rPr>
                <w:sz w:val="20"/>
                <w:szCs w:val="20"/>
                <w:color w:val="auto"/>
              </w:rPr>
            </w:pPr>
            <w:r>
              <w:rPr>
                <w:rFonts w:ascii="Arial" w:cs="Arial" w:eastAsia="Arial" w:hAnsi="Arial"/>
                <w:sz w:val="14"/>
                <w:szCs w:val="14"/>
                <w:color w:val="0E1020"/>
              </w:rPr>
              <w:t>—</w:t>
            </w:r>
          </w:p>
        </w:tc>
        <w:tc>
          <w:tcPr>
            <w:tcW w:w="1680" w:type="dxa"/>
            <w:vAlign w:val="bottom"/>
          </w:tcPr>
          <w:p>
            <w:pPr>
              <w:jc w:val="right"/>
              <w:ind w:right="89"/>
              <w:spacing w:after="0"/>
              <w:rPr>
                <w:sz w:val="20"/>
                <w:szCs w:val="20"/>
                <w:color w:val="auto"/>
              </w:rPr>
            </w:pPr>
            <w:r>
              <w:rPr>
                <w:rFonts w:ascii="Arial" w:cs="Arial" w:eastAsia="Arial" w:hAnsi="Arial"/>
                <w:sz w:val="14"/>
                <w:szCs w:val="14"/>
                <w:color w:val="0E1020"/>
              </w:rPr>
              <w:t>—</w:t>
            </w:r>
          </w:p>
        </w:tc>
        <w:tc>
          <w:tcPr>
            <w:tcW w:w="1640" w:type="dxa"/>
            <w:vAlign w:val="bottom"/>
          </w:tcPr>
          <w:p>
            <w:pPr>
              <w:jc w:val="right"/>
              <w:ind w:right="129"/>
              <w:spacing w:after="0"/>
              <w:rPr>
                <w:sz w:val="20"/>
                <w:szCs w:val="20"/>
                <w:color w:val="auto"/>
              </w:rPr>
            </w:pPr>
            <w:r>
              <w:rPr>
                <w:rFonts w:ascii="Arial" w:cs="Arial" w:eastAsia="Arial" w:hAnsi="Arial"/>
                <w:sz w:val="14"/>
                <w:szCs w:val="14"/>
                <w:color w:val="0E1020"/>
              </w:rPr>
              <w:t>10,408,942</w:t>
            </w:r>
          </w:p>
        </w:tc>
        <w:tc>
          <w:tcPr>
            <w:tcW w:w="460" w:type="dxa"/>
            <w:vAlign w:val="bottom"/>
          </w:tcPr>
          <w:p>
            <w:pPr>
              <w:spacing w:after="0"/>
              <w:rPr>
                <w:sz w:val="17"/>
                <w:szCs w:val="17"/>
                <w:color w:val="auto"/>
              </w:rPr>
            </w:pPr>
          </w:p>
        </w:tc>
      </w:tr>
      <w:tr>
        <w:trPr>
          <w:trHeight w:val="21"/>
        </w:trPr>
        <w:tc>
          <w:tcPr>
            <w:tcW w:w="320" w:type="dxa"/>
            <w:vAlign w:val="bottom"/>
          </w:tcPr>
          <w:p>
            <w:pPr>
              <w:spacing w:after="0" w:line="20" w:lineRule="exact"/>
              <w:rPr>
                <w:sz w:val="1"/>
                <w:szCs w:val="1"/>
                <w:color w:val="auto"/>
              </w:rPr>
            </w:pPr>
          </w:p>
        </w:tc>
        <w:tc>
          <w:tcPr>
            <w:tcW w:w="780" w:type="dxa"/>
            <w:vAlign w:val="bottom"/>
            <w:tcBorders>
              <w:bottom w:val="single" w:sz="8" w:color="CFCFD2"/>
            </w:tcBorders>
          </w:tcPr>
          <w:p>
            <w:pPr>
              <w:spacing w:after="0" w:line="20" w:lineRule="exact"/>
              <w:rPr>
                <w:sz w:val="1"/>
                <w:szCs w:val="1"/>
                <w:color w:val="auto"/>
              </w:rPr>
            </w:pPr>
          </w:p>
        </w:tc>
        <w:tc>
          <w:tcPr>
            <w:tcW w:w="1580" w:type="dxa"/>
            <w:vAlign w:val="bottom"/>
            <w:tcBorders>
              <w:bottom w:val="single" w:sz="8" w:color="CFCFD2"/>
            </w:tcBorders>
          </w:tcPr>
          <w:p>
            <w:pPr>
              <w:spacing w:after="0" w:line="20" w:lineRule="exact"/>
              <w:rPr>
                <w:sz w:val="1"/>
                <w:szCs w:val="1"/>
                <w:color w:val="auto"/>
              </w:rPr>
            </w:pPr>
          </w:p>
        </w:tc>
        <w:tc>
          <w:tcPr>
            <w:tcW w:w="1620" w:type="dxa"/>
            <w:vAlign w:val="bottom"/>
            <w:tcBorders>
              <w:bottom w:val="single" w:sz="8" w:color="CFCFD2"/>
            </w:tcBorders>
          </w:tcPr>
          <w:p>
            <w:pPr>
              <w:spacing w:after="0" w:line="20" w:lineRule="exact"/>
              <w:rPr>
                <w:sz w:val="1"/>
                <w:szCs w:val="1"/>
                <w:color w:val="auto"/>
              </w:rPr>
            </w:pPr>
          </w:p>
        </w:tc>
        <w:tc>
          <w:tcPr>
            <w:tcW w:w="1600" w:type="dxa"/>
            <w:vAlign w:val="bottom"/>
            <w:tcBorders>
              <w:bottom w:val="single" w:sz="8" w:color="CFCFD2"/>
            </w:tcBorders>
          </w:tcPr>
          <w:p>
            <w:pPr>
              <w:spacing w:after="0" w:line="20" w:lineRule="exact"/>
              <w:rPr>
                <w:sz w:val="1"/>
                <w:szCs w:val="1"/>
                <w:color w:val="auto"/>
              </w:rPr>
            </w:pPr>
          </w:p>
        </w:tc>
        <w:tc>
          <w:tcPr>
            <w:tcW w:w="1560" w:type="dxa"/>
            <w:vAlign w:val="bottom"/>
            <w:tcBorders>
              <w:bottom w:val="single" w:sz="8" w:color="CFCFD2"/>
            </w:tcBorders>
          </w:tcPr>
          <w:p>
            <w:pPr>
              <w:spacing w:after="0" w:line="20" w:lineRule="exact"/>
              <w:rPr>
                <w:sz w:val="1"/>
                <w:szCs w:val="1"/>
                <w:color w:val="auto"/>
              </w:rPr>
            </w:pPr>
          </w:p>
        </w:tc>
        <w:tc>
          <w:tcPr>
            <w:tcW w:w="1680" w:type="dxa"/>
            <w:vAlign w:val="bottom"/>
            <w:tcBorders>
              <w:bottom w:val="single" w:sz="8" w:color="CFCFD2"/>
            </w:tcBorders>
          </w:tcPr>
          <w:p>
            <w:pPr>
              <w:spacing w:after="0" w:line="20" w:lineRule="exact"/>
              <w:rPr>
                <w:sz w:val="1"/>
                <w:szCs w:val="1"/>
                <w:color w:val="auto"/>
              </w:rPr>
            </w:pPr>
          </w:p>
        </w:tc>
        <w:tc>
          <w:tcPr>
            <w:tcW w:w="1640" w:type="dxa"/>
            <w:vAlign w:val="bottom"/>
            <w:tcBorders>
              <w:bottom w:val="single" w:sz="8" w:color="CFCFD2"/>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0"/>
        </w:trPr>
        <w:tc>
          <w:tcPr>
            <w:tcW w:w="1100" w:type="dxa"/>
            <w:vAlign w:val="bottom"/>
            <w:gridSpan w:val="2"/>
          </w:tcPr>
          <w:p>
            <w:pPr>
              <w:ind w:left="420"/>
              <w:spacing w:after="0"/>
              <w:rPr>
                <w:sz w:val="20"/>
                <w:szCs w:val="20"/>
                <w:color w:val="auto"/>
              </w:rPr>
            </w:pPr>
            <w:r>
              <w:rPr>
                <w:rFonts w:ascii="Arial" w:cs="Arial" w:eastAsia="Arial" w:hAnsi="Arial"/>
                <w:sz w:val="14"/>
                <w:szCs w:val="14"/>
                <w:color w:val="0E1020"/>
              </w:rPr>
              <w:t>2024</w:t>
            </w:r>
          </w:p>
        </w:tc>
        <w:tc>
          <w:tcPr>
            <w:tcW w:w="1580" w:type="dxa"/>
            <w:vAlign w:val="bottom"/>
          </w:tcPr>
          <w:p>
            <w:pPr>
              <w:jc w:val="right"/>
              <w:spacing w:after="0"/>
              <w:rPr>
                <w:sz w:val="20"/>
                <w:szCs w:val="20"/>
                <w:color w:val="auto"/>
              </w:rPr>
            </w:pPr>
            <w:r>
              <w:rPr>
                <w:rFonts w:ascii="Arial" w:cs="Arial" w:eastAsia="Arial" w:hAnsi="Arial"/>
                <w:sz w:val="14"/>
                <w:szCs w:val="14"/>
                <w:color w:val="0E1020"/>
              </w:rPr>
              <w:t>3,131,714</w:t>
            </w:r>
          </w:p>
        </w:tc>
        <w:tc>
          <w:tcPr>
            <w:tcW w:w="1620" w:type="dxa"/>
            <w:vAlign w:val="bottom"/>
          </w:tcPr>
          <w:p>
            <w:pPr>
              <w:jc w:val="right"/>
              <w:ind w:right="29"/>
              <w:spacing w:after="0"/>
              <w:rPr>
                <w:sz w:val="20"/>
                <w:szCs w:val="20"/>
                <w:color w:val="auto"/>
              </w:rPr>
            </w:pPr>
            <w:r>
              <w:rPr>
                <w:rFonts w:ascii="Arial" w:cs="Arial" w:eastAsia="Arial" w:hAnsi="Arial"/>
                <w:sz w:val="14"/>
                <w:szCs w:val="14"/>
                <w:color w:val="0E1020"/>
              </w:rPr>
              <w:t>—</w:t>
            </w:r>
          </w:p>
        </w:tc>
        <w:tc>
          <w:tcPr>
            <w:tcW w:w="1600" w:type="dxa"/>
            <w:vAlign w:val="bottom"/>
          </w:tcPr>
          <w:p>
            <w:pPr>
              <w:jc w:val="right"/>
              <w:ind w:right="29"/>
              <w:spacing w:after="0"/>
              <w:rPr>
                <w:sz w:val="20"/>
                <w:szCs w:val="20"/>
                <w:color w:val="auto"/>
              </w:rPr>
            </w:pPr>
            <w:r>
              <w:rPr>
                <w:rFonts w:ascii="Arial" w:cs="Arial" w:eastAsia="Arial" w:hAnsi="Arial"/>
                <w:sz w:val="14"/>
                <w:szCs w:val="14"/>
                <w:color w:val="0E1020"/>
              </w:rPr>
              <w:t>5,076,717</w:t>
            </w:r>
          </w:p>
        </w:tc>
        <w:tc>
          <w:tcPr>
            <w:tcW w:w="1560" w:type="dxa"/>
            <w:vAlign w:val="bottom"/>
          </w:tcPr>
          <w:p>
            <w:pPr>
              <w:jc w:val="right"/>
              <w:spacing w:after="0"/>
              <w:rPr>
                <w:sz w:val="20"/>
                <w:szCs w:val="20"/>
                <w:color w:val="auto"/>
              </w:rPr>
            </w:pPr>
            <w:r>
              <w:rPr>
                <w:rFonts w:ascii="Arial" w:cs="Arial" w:eastAsia="Arial" w:hAnsi="Arial"/>
                <w:sz w:val="14"/>
                <w:szCs w:val="14"/>
                <w:color w:val="0E1020"/>
              </w:rPr>
              <w:t>—</w:t>
            </w:r>
          </w:p>
        </w:tc>
        <w:tc>
          <w:tcPr>
            <w:tcW w:w="1680" w:type="dxa"/>
            <w:vAlign w:val="bottom"/>
          </w:tcPr>
          <w:p>
            <w:pPr>
              <w:jc w:val="right"/>
              <w:ind w:right="89"/>
              <w:spacing w:after="0"/>
              <w:rPr>
                <w:sz w:val="20"/>
                <w:szCs w:val="20"/>
                <w:color w:val="auto"/>
              </w:rPr>
            </w:pPr>
            <w:r>
              <w:rPr>
                <w:rFonts w:ascii="Arial" w:cs="Arial" w:eastAsia="Arial" w:hAnsi="Arial"/>
                <w:sz w:val="14"/>
                <w:szCs w:val="14"/>
                <w:color w:val="0E1020"/>
              </w:rPr>
              <w:t>—</w:t>
            </w:r>
          </w:p>
        </w:tc>
        <w:tc>
          <w:tcPr>
            <w:tcW w:w="1640" w:type="dxa"/>
            <w:vAlign w:val="bottom"/>
          </w:tcPr>
          <w:p>
            <w:pPr>
              <w:jc w:val="right"/>
              <w:ind w:right="129"/>
              <w:spacing w:after="0"/>
              <w:rPr>
                <w:sz w:val="20"/>
                <w:szCs w:val="20"/>
                <w:color w:val="auto"/>
              </w:rPr>
            </w:pPr>
            <w:r>
              <w:rPr>
                <w:rFonts w:ascii="Arial" w:cs="Arial" w:eastAsia="Arial" w:hAnsi="Arial"/>
                <w:sz w:val="14"/>
                <w:szCs w:val="14"/>
                <w:color w:val="0E1020"/>
              </w:rPr>
              <w:t>8,208,431</w:t>
            </w:r>
          </w:p>
        </w:tc>
        <w:tc>
          <w:tcPr>
            <w:tcW w:w="460" w:type="dxa"/>
            <w:vAlign w:val="bottom"/>
          </w:tcPr>
          <w:p>
            <w:pPr>
              <w:spacing w:after="0"/>
              <w:rPr>
                <w:sz w:val="17"/>
                <w:szCs w:val="17"/>
                <w:color w:val="auto"/>
              </w:rPr>
            </w:pPr>
          </w:p>
        </w:tc>
      </w:tr>
      <w:tr>
        <w:trPr>
          <w:trHeight w:val="21"/>
        </w:trPr>
        <w:tc>
          <w:tcPr>
            <w:tcW w:w="320" w:type="dxa"/>
            <w:vAlign w:val="bottom"/>
          </w:tcPr>
          <w:p>
            <w:pPr>
              <w:spacing w:after="0" w:line="20" w:lineRule="exact"/>
              <w:rPr>
                <w:sz w:val="1"/>
                <w:szCs w:val="1"/>
                <w:color w:val="auto"/>
              </w:rPr>
            </w:pPr>
          </w:p>
        </w:tc>
        <w:tc>
          <w:tcPr>
            <w:tcW w:w="780" w:type="dxa"/>
            <w:vAlign w:val="bottom"/>
            <w:tcBorders>
              <w:bottom w:val="single" w:sz="8" w:color="CFCFD2"/>
            </w:tcBorders>
          </w:tcPr>
          <w:p>
            <w:pPr>
              <w:spacing w:after="0" w:line="20" w:lineRule="exact"/>
              <w:rPr>
                <w:sz w:val="1"/>
                <w:szCs w:val="1"/>
                <w:color w:val="auto"/>
              </w:rPr>
            </w:pPr>
          </w:p>
        </w:tc>
        <w:tc>
          <w:tcPr>
            <w:tcW w:w="1580" w:type="dxa"/>
            <w:vAlign w:val="bottom"/>
            <w:tcBorders>
              <w:bottom w:val="single" w:sz="8" w:color="CFCFD2"/>
            </w:tcBorders>
          </w:tcPr>
          <w:p>
            <w:pPr>
              <w:spacing w:after="0" w:line="20" w:lineRule="exact"/>
              <w:rPr>
                <w:sz w:val="1"/>
                <w:szCs w:val="1"/>
                <w:color w:val="auto"/>
              </w:rPr>
            </w:pPr>
          </w:p>
        </w:tc>
        <w:tc>
          <w:tcPr>
            <w:tcW w:w="1620" w:type="dxa"/>
            <w:vAlign w:val="bottom"/>
            <w:tcBorders>
              <w:bottom w:val="single" w:sz="8" w:color="CFCFD2"/>
            </w:tcBorders>
          </w:tcPr>
          <w:p>
            <w:pPr>
              <w:spacing w:after="0" w:line="20" w:lineRule="exact"/>
              <w:rPr>
                <w:sz w:val="1"/>
                <w:szCs w:val="1"/>
                <w:color w:val="auto"/>
              </w:rPr>
            </w:pPr>
          </w:p>
        </w:tc>
        <w:tc>
          <w:tcPr>
            <w:tcW w:w="1600" w:type="dxa"/>
            <w:vAlign w:val="bottom"/>
            <w:tcBorders>
              <w:bottom w:val="single" w:sz="8" w:color="CFCFD2"/>
            </w:tcBorders>
          </w:tcPr>
          <w:p>
            <w:pPr>
              <w:spacing w:after="0" w:line="20" w:lineRule="exact"/>
              <w:rPr>
                <w:sz w:val="1"/>
                <w:szCs w:val="1"/>
                <w:color w:val="auto"/>
              </w:rPr>
            </w:pPr>
          </w:p>
        </w:tc>
        <w:tc>
          <w:tcPr>
            <w:tcW w:w="1560" w:type="dxa"/>
            <w:vAlign w:val="bottom"/>
            <w:tcBorders>
              <w:bottom w:val="single" w:sz="8" w:color="CFCFD2"/>
            </w:tcBorders>
          </w:tcPr>
          <w:p>
            <w:pPr>
              <w:spacing w:after="0" w:line="20" w:lineRule="exact"/>
              <w:rPr>
                <w:sz w:val="1"/>
                <w:szCs w:val="1"/>
                <w:color w:val="auto"/>
              </w:rPr>
            </w:pPr>
          </w:p>
        </w:tc>
        <w:tc>
          <w:tcPr>
            <w:tcW w:w="1680" w:type="dxa"/>
            <w:vAlign w:val="bottom"/>
            <w:tcBorders>
              <w:bottom w:val="single" w:sz="8" w:color="CFCFD2"/>
            </w:tcBorders>
          </w:tcPr>
          <w:p>
            <w:pPr>
              <w:spacing w:after="0" w:line="20" w:lineRule="exact"/>
              <w:rPr>
                <w:sz w:val="1"/>
                <w:szCs w:val="1"/>
                <w:color w:val="auto"/>
              </w:rPr>
            </w:pPr>
          </w:p>
        </w:tc>
        <w:tc>
          <w:tcPr>
            <w:tcW w:w="1640" w:type="dxa"/>
            <w:vAlign w:val="bottom"/>
            <w:tcBorders>
              <w:bottom w:val="single" w:sz="8" w:color="CFCFD2"/>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0"/>
        </w:trPr>
        <w:tc>
          <w:tcPr>
            <w:tcW w:w="1100" w:type="dxa"/>
            <w:vAlign w:val="bottom"/>
            <w:gridSpan w:val="2"/>
          </w:tcPr>
          <w:p>
            <w:pPr>
              <w:ind w:left="420"/>
              <w:spacing w:after="0"/>
              <w:rPr>
                <w:sz w:val="20"/>
                <w:szCs w:val="20"/>
                <w:color w:val="auto"/>
              </w:rPr>
            </w:pPr>
            <w:r>
              <w:rPr>
                <w:rFonts w:ascii="Arial" w:cs="Arial" w:eastAsia="Arial" w:hAnsi="Arial"/>
                <w:sz w:val="14"/>
                <w:szCs w:val="14"/>
                <w:color w:val="0E1020"/>
              </w:rPr>
              <w:t>2023</w:t>
            </w:r>
          </w:p>
        </w:tc>
        <w:tc>
          <w:tcPr>
            <w:tcW w:w="1580" w:type="dxa"/>
            <w:vAlign w:val="bottom"/>
          </w:tcPr>
          <w:p>
            <w:pPr>
              <w:jc w:val="right"/>
              <w:spacing w:after="0"/>
              <w:rPr>
                <w:sz w:val="20"/>
                <w:szCs w:val="20"/>
                <w:color w:val="auto"/>
              </w:rPr>
            </w:pPr>
            <w:r>
              <w:rPr>
                <w:rFonts w:ascii="Arial" w:cs="Arial" w:eastAsia="Arial" w:hAnsi="Arial"/>
                <w:sz w:val="14"/>
                <w:szCs w:val="14"/>
                <w:color w:val="0E1020"/>
              </w:rPr>
              <w:t>—</w:t>
            </w:r>
          </w:p>
        </w:tc>
        <w:tc>
          <w:tcPr>
            <w:tcW w:w="1620" w:type="dxa"/>
            <w:vAlign w:val="bottom"/>
          </w:tcPr>
          <w:p>
            <w:pPr>
              <w:jc w:val="right"/>
              <w:ind w:right="29"/>
              <w:spacing w:after="0"/>
              <w:rPr>
                <w:sz w:val="20"/>
                <w:szCs w:val="20"/>
                <w:color w:val="auto"/>
              </w:rPr>
            </w:pPr>
            <w:r>
              <w:rPr>
                <w:rFonts w:ascii="Arial" w:cs="Arial" w:eastAsia="Arial" w:hAnsi="Arial"/>
                <w:sz w:val="14"/>
                <w:szCs w:val="14"/>
                <w:color w:val="0E1020"/>
              </w:rPr>
              <w:t>—</w:t>
            </w:r>
          </w:p>
        </w:tc>
        <w:tc>
          <w:tcPr>
            <w:tcW w:w="1600" w:type="dxa"/>
            <w:vAlign w:val="bottom"/>
          </w:tcPr>
          <w:p>
            <w:pPr>
              <w:jc w:val="right"/>
              <w:ind w:right="29"/>
              <w:spacing w:after="0"/>
              <w:rPr>
                <w:sz w:val="20"/>
                <w:szCs w:val="20"/>
                <w:color w:val="auto"/>
              </w:rPr>
            </w:pPr>
            <w:r>
              <w:rPr>
                <w:rFonts w:ascii="Arial" w:cs="Arial" w:eastAsia="Arial" w:hAnsi="Arial"/>
                <w:sz w:val="14"/>
                <w:szCs w:val="14"/>
                <w:color w:val="0E1020"/>
              </w:rPr>
              <w:t>—</w:t>
            </w:r>
          </w:p>
        </w:tc>
        <w:tc>
          <w:tcPr>
            <w:tcW w:w="1560" w:type="dxa"/>
            <w:vAlign w:val="bottom"/>
          </w:tcPr>
          <w:p>
            <w:pPr>
              <w:jc w:val="right"/>
              <w:spacing w:after="0"/>
              <w:rPr>
                <w:sz w:val="20"/>
                <w:szCs w:val="20"/>
                <w:color w:val="auto"/>
              </w:rPr>
            </w:pPr>
            <w:r>
              <w:rPr>
                <w:rFonts w:ascii="Arial" w:cs="Arial" w:eastAsia="Arial" w:hAnsi="Arial"/>
                <w:sz w:val="14"/>
                <w:szCs w:val="14"/>
                <w:color w:val="0E1020"/>
              </w:rPr>
              <w:t>—</w:t>
            </w:r>
          </w:p>
        </w:tc>
        <w:tc>
          <w:tcPr>
            <w:tcW w:w="1680" w:type="dxa"/>
            <w:vAlign w:val="bottom"/>
          </w:tcPr>
          <w:p>
            <w:pPr>
              <w:jc w:val="right"/>
              <w:ind w:right="89"/>
              <w:spacing w:after="0"/>
              <w:rPr>
                <w:sz w:val="20"/>
                <w:szCs w:val="20"/>
                <w:color w:val="auto"/>
              </w:rPr>
            </w:pPr>
            <w:r>
              <w:rPr>
                <w:rFonts w:ascii="Arial" w:cs="Arial" w:eastAsia="Arial" w:hAnsi="Arial"/>
                <w:sz w:val="14"/>
                <w:szCs w:val="14"/>
                <w:color w:val="0E1020"/>
              </w:rPr>
              <w:t>—</w:t>
            </w:r>
          </w:p>
        </w:tc>
        <w:tc>
          <w:tcPr>
            <w:tcW w:w="2100" w:type="dxa"/>
            <w:vAlign w:val="bottom"/>
            <w:gridSpan w:val="2"/>
          </w:tcPr>
          <w:p>
            <w:pPr>
              <w:jc w:val="right"/>
              <w:ind w:right="660"/>
              <w:spacing w:after="0"/>
              <w:rPr>
                <w:sz w:val="20"/>
                <w:szCs w:val="20"/>
                <w:color w:val="auto"/>
              </w:rPr>
            </w:pPr>
            <w:r>
              <w:rPr>
                <w:rFonts w:ascii="Arial" w:cs="Arial" w:eastAsia="Arial" w:hAnsi="Arial"/>
                <w:sz w:val="14"/>
                <w:szCs w:val="14"/>
                <w:color w:val="0E1020"/>
              </w:rPr>
              <w:t>—</w:t>
            </w:r>
          </w:p>
        </w:tc>
      </w:tr>
      <w:tr>
        <w:trPr>
          <w:trHeight w:val="21"/>
        </w:trPr>
        <w:tc>
          <w:tcPr>
            <w:tcW w:w="320" w:type="dxa"/>
            <w:vAlign w:val="bottom"/>
          </w:tcPr>
          <w:p>
            <w:pPr>
              <w:spacing w:after="0" w:line="20" w:lineRule="exact"/>
              <w:rPr>
                <w:sz w:val="1"/>
                <w:szCs w:val="1"/>
                <w:color w:val="auto"/>
              </w:rPr>
            </w:pPr>
          </w:p>
        </w:tc>
        <w:tc>
          <w:tcPr>
            <w:tcW w:w="780" w:type="dxa"/>
            <w:vAlign w:val="bottom"/>
            <w:tcBorders>
              <w:bottom w:val="single" w:sz="8" w:color="CFCFD2"/>
            </w:tcBorders>
          </w:tcPr>
          <w:p>
            <w:pPr>
              <w:spacing w:after="0" w:line="20" w:lineRule="exact"/>
              <w:rPr>
                <w:sz w:val="1"/>
                <w:szCs w:val="1"/>
                <w:color w:val="auto"/>
              </w:rPr>
            </w:pPr>
          </w:p>
        </w:tc>
        <w:tc>
          <w:tcPr>
            <w:tcW w:w="1580" w:type="dxa"/>
            <w:vAlign w:val="bottom"/>
            <w:tcBorders>
              <w:bottom w:val="single" w:sz="8" w:color="CFCFD2"/>
            </w:tcBorders>
          </w:tcPr>
          <w:p>
            <w:pPr>
              <w:spacing w:after="0" w:line="20" w:lineRule="exact"/>
              <w:rPr>
                <w:sz w:val="1"/>
                <w:szCs w:val="1"/>
                <w:color w:val="auto"/>
              </w:rPr>
            </w:pPr>
          </w:p>
        </w:tc>
        <w:tc>
          <w:tcPr>
            <w:tcW w:w="1620" w:type="dxa"/>
            <w:vAlign w:val="bottom"/>
            <w:tcBorders>
              <w:bottom w:val="single" w:sz="8" w:color="CFCFD2"/>
            </w:tcBorders>
          </w:tcPr>
          <w:p>
            <w:pPr>
              <w:spacing w:after="0" w:line="20" w:lineRule="exact"/>
              <w:rPr>
                <w:sz w:val="1"/>
                <w:szCs w:val="1"/>
                <w:color w:val="auto"/>
              </w:rPr>
            </w:pPr>
          </w:p>
        </w:tc>
        <w:tc>
          <w:tcPr>
            <w:tcW w:w="1600" w:type="dxa"/>
            <w:vAlign w:val="bottom"/>
            <w:tcBorders>
              <w:bottom w:val="single" w:sz="8" w:color="CFCFD2"/>
            </w:tcBorders>
          </w:tcPr>
          <w:p>
            <w:pPr>
              <w:spacing w:after="0" w:line="20" w:lineRule="exact"/>
              <w:rPr>
                <w:sz w:val="1"/>
                <w:szCs w:val="1"/>
                <w:color w:val="auto"/>
              </w:rPr>
            </w:pPr>
          </w:p>
        </w:tc>
        <w:tc>
          <w:tcPr>
            <w:tcW w:w="1560" w:type="dxa"/>
            <w:vAlign w:val="bottom"/>
            <w:tcBorders>
              <w:bottom w:val="single" w:sz="8" w:color="CFCFD2"/>
            </w:tcBorders>
          </w:tcPr>
          <w:p>
            <w:pPr>
              <w:spacing w:after="0" w:line="20" w:lineRule="exact"/>
              <w:rPr>
                <w:sz w:val="1"/>
                <w:szCs w:val="1"/>
                <w:color w:val="auto"/>
              </w:rPr>
            </w:pPr>
          </w:p>
        </w:tc>
        <w:tc>
          <w:tcPr>
            <w:tcW w:w="1680" w:type="dxa"/>
            <w:vAlign w:val="bottom"/>
            <w:tcBorders>
              <w:bottom w:val="single" w:sz="8" w:color="CFCFD2"/>
            </w:tcBorders>
          </w:tcPr>
          <w:p>
            <w:pPr>
              <w:spacing w:after="0" w:line="20" w:lineRule="exact"/>
              <w:rPr>
                <w:sz w:val="1"/>
                <w:szCs w:val="1"/>
                <w:color w:val="auto"/>
              </w:rPr>
            </w:pPr>
          </w:p>
        </w:tc>
        <w:tc>
          <w:tcPr>
            <w:tcW w:w="1640" w:type="dxa"/>
            <w:vAlign w:val="bottom"/>
            <w:tcBorders>
              <w:bottom w:val="single" w:sz="8" w:color="CFCFD2"/>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0"/>
        </w:trPr>
        <w:tc>
          <w:tcPr>
            <w:tcW w:w="1100" w:type="dxa"/>
            <w:vAlign w:val="bottom"/>
            <w:gridSpan w:val="2"/>
          </w:tcPr>
          <w:p>
            <w:pPr>
              <w:ind w:left="420"/>
              <w:spacing w:after="0"/>
              <w:rPr>
                <w:sz w:val="20"/>
                <w:szCs w:val="20"/>
                <w:color w:val="auto"/>
              </w:rPr>
            </w:pPr>
            <w:r>
              <w:rPr>
                <w:rFonts w:ascii="Arial" w:cs="Arial" w:eastAsia="Arial" w:hAnsi="Arial"/>
                <w:sz w:val="14"/>
                <w:szCs w:val="14"/>
                <w:color w:val="0E1020"/>
              </w:rPr>
              <w:t>2022</w:t>
            </w:r>
          </w:p>
        </w:tc>
        <w:tc>
          <w:tcPr>
            <w:tcW w:w="1580" w:type="dxa"/>
            <w:vAlign w:val="bottom"/>
          </w:tcPr>
          <w:p>
            <w:pPr>
              <w:jc w:val="right"/>
              <w:spacing w:after="0"/>
              <w:rPr>
                <w:sz w:val="20"/>
                <w:szCs w:val="20"/>
                <w:color w:val="auto"/>
              </w:rPr>
            </w:pPr>
            <w:r>
              <w:rPr>
                <w:rFonts w:ascii="Arial" w:cs="Arial" w:eastAsia="Arial" w:hAnsi="Arial"/>
                <w:sz w:val="14"/>
                <w:szCs w:val="14"/>
                <w:color w:val="0E1020"/>
              </w:rPr>
              <w:t>—</w:t>
            </w:r>
          </w:p>
        </w:tc>
        <w:tc>
          <w:tcPr>
            <w:tcW w:w="1620" w:type="dxa"/>
            <w:vAlign w:val="bottom"/>
          </w:tcPr>
          <w:p>
            <w:pPr>
              <w:jc w:val="right"/>
              <w:ind w:right="29"/>
              <w:spacing w:after="0"/>
              <w:rPr>
                <w:sz w:val="20"/>
                <w:szCs w:val="20"/>
                <w:color w:val="auto"/>
              </w:rPr>
            </w:pPr>
            <w:r>
              <w:rPr>
                <w:rFonts w:ascii="Arial" w:cs="Arial" w:eastAsia="Arial" w:hAnsi="Arial"/>
                <w:sz w:val="14"/>
                <w:szCs w:val="14"/>
                <w:color w:val="0E1020"/>
              </w:rPr>
              <w:t>—</w:t>
            </w:r>
          </w:p>
        </w:tc>
        <w:tc>
          <w:tcPr>
            <w:tcW w:w="1600" w:type="dxa"/>
            <w:vAlign w:val="bottom"/>
          </w:tcPr>
          <w:p>
            <w:pPr>
              <w:jc w:val="right"/>
              <w:ind w:right="29"/>
              <w:spacing w:after="0"/>
              <w:rPr>
                <w:sz w:val="20"/>
                <w:szCs w:val="20"/>
                <w:color w:val="auto"/>
              </w:rPr>
            </w:pPr>
            <w:r>
              <w:rPr>
                <w:rFonts w:ascii="Arial" w:cs="Arial" w:eastAsia="Arial" w:hAnsi="Arial"/>
                <w:sz w:val="14"/>
                <w:szCs w:val="14"/>
                <w:color w:val="0E1020"/>
              </w:rPr>
              <w:t>—</w:t>
            </w:r>
          </w:p>
        </w:tc>
        <w:tc>
          <w:tcPr>
            <w:tcW w:w="1560" w:type="dxa"/>
            <w:vAlign w:val="bottom"/>
          </w:tcPr>
          <w:p>
            <w:pPr>
              <w:jc w:val="right"/>
              <w:spacing w:after="0"/>
              <w:rPr>
                <w:sz w:val="20"/>
                <w:szCs w:val="20"/>
                <w:color w:val="auto"/>
              </w:rPr>
            </w:pPr>
            <w:r>
              <w:rPr>
                <w:rFonts w:ascii="Arial" w:cs="Arial" w:eastAsia="Arial" w:hAnsi="Arial"/>
                <w:sz w:val="14"/>
                <w:szCs w:val="14"/>
                <w:color w:val="0E1020"/>
              </w:rPr>
              <w:t>—</w:t>
            </w:r>
          </w:p>
        </w:tc>
        <w:tc>
          <w:tcPr>
            <w:tcW w:w="1680" w:type="dxa"/>
            <w:vAlign w:val="bottom"/>
          </w:tcPr>
          <w:p>
            <w:pPr>
              <w:jc w:val="right"/>
              <w:ind w:right="89"/>
              <w:spacing w:after="0"/>
              <w:rPr>
                <w:sz w:val="20"/>
                <w:szCs w:val="20"/>
                <w:color w:val="auto"/>
              </w:rPr>
            </w:pPr>
            <w:r>
              <w:rPr>
                <w:rFonts w:ascii="Arial" w:cs="Arial" w:eastAsia="Arial" w:hAnsi="Arial"/>
                <w:sz w:val="14"/>
                <w:szCs w:val="14"/>
                <w:color w:val="0E1020"/>
              </w:rPr>
              <w:t>—</w:t>
            </w:r>
          </w:p>
        </w:tc>
        <w:tc>
          <w:tcPr>
            <w:tcW w:w="2100" w:type="dxa"/>
            <w:vAlign w:val="bottom"/>
            <w:gridSpan w:val="2"/>
          </w:tcPr>
          <w:p>
            <w:pPr>
              <w:jc w:val="right"/>
              <w:ind w:right="660"/>
              <w:spacing w:after="0"/>
              <w:rPr>
                <w:sz w:val="20"/>
                <w:szCs w:val="20"/>
                <w:color w:val="auto"/>
              </w:rPr>
            </w:pPr>
            <w:r>
              <w:rPr>
                <w:rFonts w:ascii="Arial" w:cs="Arial" w:eastAsia="Arial" w:hAnsi="Arial"/>
                <w:sz w:val="14"/>
                <w:szCs w:val="14"/>
                <w:color w:val="0E1020"/>
              </w:rPr>
              <w:t>—</w:t>
            </w:r>
          </w:p>
        </w:tc>
      </w:tr>
      <w:tr>
        <w:trPr>
          <w:trHeight w:val="21"/>
        </w:trPr>
        <w:tc>
          <w:tcPr>
            <w:tcW w:w="320" w:type="dxa"/>
            <w:vAlign w:val="bottom"/>
          </w:tcPr>
          <w:p>
            <w:pPr>
              <w:spacing w:after="0" w:line="20" w:lineRule="exact"/>
              <w:rPr>
                <w:sz w:val="1"/>
                <w:szCs w:val="1"/>
                <w:color w:val="auto"/>
              </w:rPr>
            </w:pPr>
          </w:p>
        </w:tc>
        <w:tc>
          <w:tcPr>
            <w:tcW w:w="780" w:type="dxa"/>
            <w:vAlign w:val="bottom"/>
            <w:tcBorders>
              <w:bottom w:val="single" w:sz="8" w:color="CFCFD2"/>
            </w:tcBorders>
          </w:tcPr>
          <w:p>
            <w:pPr>
              <w:spacing w:after="0" w:line="20" w:lineRule="exact"/>
              <w:rPr>
                <w:sz w:val="1"/>
                <w:szCs w:val="1"/>
                <w:color w:val="auto"/>
              </w:rPr>
            </w:pPr>
          </w:p>
        </w:tc>
        <w:tc>
          <w:tcPr>
            <w:tcW w:w="1580" w:type="dxa"/>
            <w:vAlign w:val="bottom"/>
            <w:tcBorders>
              <w:bottom w:val="single" w:sz="8" w:color="CFCFD2"/>
            </w:tcBorders>
          </w:tcPr>
          <w:p>
            <w:pPr>
              <w:spacing w:after="0" w:line="20" w:lineRule="exact"/>
              <w:rPr>
                <w:sz w:val="1"/>
                <w:szCs w:val="1"/>
                <w:color w:val="auto"/>
              </w:rPr>
            </w:pPr>
          </w:p>
        </w:tc>
        <w:tc>
          <w:tcPr>
            <w:tcW w:w="1620" w:type="dxa"/>
            <w:vAlign w:val="bottom"/>
            <w:tcBorders>
              <w:bottom w:val="single" w:sz="8" w:color="CFCFD2"/>
            </w:tcBorders>
          </w:tcPr>
          <w:p>
            <w:pPr>
              <w:spacing w:after="0" w:line="20" w:lineRule="exact"/>
              <w:rPr>
                <w:sz w:val="1"/>
                <w:szCs w:val="1"/>
                <w:color w:val="auto"/>
              </w:rPr>
            </w:pPr>
          </w:p>
        </w:tc>
        <w:tc>
          <w:tcPr>
            <w:tcW w:w="1600" w:type="dxa"/>
            <w:vAlign w:val="bottom"/>
            <w:tcBorders>
              <w:bottom w:val="single" w:sz="8" w:color="CFCFD2"/>
            </w:tcBorders>
          </w:tcPr>
          <w:p>
            <w:pPr>
              <w:spacing w:after="0" w:line="20" w:lineRule="exact"/>
              <w:rPr>
                <w:sz w:val="1"/>
                <w:szCs w:val="1"/>
                <w:color w:val="auto"/>
              </w:rPr>
            </w:pPr>
          </w:p>
        </w:tc>
        <w:tc>
          <w:tcPr>
            <w:tcW w:w="1560" w:type="dxa"/>
            <w:vAlign w:val="bottom"/>
            <w:tcBorders>
              <w:bottom w:val="single" w:sz="8" w:color="CFCFD2"/>
            </w:tcBorders>
          </w:tcPr>
          <w:p>
            <w:pPr>
              <w:spacing w:after="0" w:line="20" w:lineRule="exact"/>
              <w:rPr>
                <w:sz w:val="1"/>
                <w:szCs w:val="1"/>
                <w:color w:val="auto"/>
              </w:rPr>
            </w:pPr>
          </w:p>
        </w:tc>
        <w:tc>
          <w:tcPr>
            <w:tcW w:w="1680" w:type="dxa"/>
            <w:vAlign w:val="bottom"/>
            <w:tcBorders>
              <w:bottom w:val="single" w:sz="8" w:color="CFCFD2"/>
            </w:tcBorders>
          </w:tcPr>
          <w:p>
            <w:pPr>
              <w:spacing w:after="0" w:line="20" w:lineRule="exact"/>
              <w:rPr>
                <w:sz w:val="1"/>
                <w:szCs w:val="1"/>
                <w:color w:val="auto"/>
              </w:rPr>
            </w:pPr>
          </w:p>
        </w:tc>
        <w:tc>
          <w:tcPr>
            <w:tcW w:w="1640" w:type="dxa"/>
            <w:vAlign w:val="bottom"/>
            <w:tcBorders>
              <w:bottom w:val="single" w:sz="8" w:color="CFCFD2"/>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1"/>
        </w:trPr>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2"/>
        </w:trPr>
        <w:tc>
          <w:tcPr>
            <w:tcW w:w="320" w:type="dxa"/>
            <w:vAlign w:val="bottom"/>
          </w:tcPr>
          <w:p>
            <w:pPr>
              <w:spacing w:after="0"/>
              <w:rPr>
                <w:sz w:val="20"/>
                <w:szCs w:val="20"/>
                <w:color w:val="auto"/>
              </w:rPr>
            </w:pPr>
          </w:p>
        </w:tc>
        <w:tc>
          <w:tcPr>
            <w:tcW w:w="780" w:type="dxa"/>
            <w:vAlign w:val="bottom"/>
            <w:shd w:val="clear" w:color="auto" w:fill="F6F3F0"/>
          </w:tcPr>
          <w:p>
            <w:pPr>
              <w:spacing w:after="0"/>
              <w:rPr>
                <w:sz w:val="20"/>
                <w:szCs w:val="20"/>
                <w:color w:val="auto"/>
              </w:rPr>
            </w:pPr>
          </w:p>
        </w:tc>
        <w:tc>
          <w:tcPr>
            <w:tcW w:w="1580" w:type="dxa"/>
            <w:vAlign w:val="bottom"/>
            <w:shd w:val="clear" w:color="auto" w:fill="F6F3F0"/>
          </w:tcPr>
          <w:p>
            <w:pPr>
              <w:spacing w:after="0"/>
              <w:rPr>
                <w:sz w:val="20"/>
                <w:szCs w:val="20"/>
                <w:color w:val="auto"/>
              </w:rPr>
            </w:pPr>
          </w:p>
        </w:tc>
        <w:tc>
          <w:tcPr>
            <w:tcW w:w="1620" w:type="dxa"/>
            <w:vAlign w:val="bottom"/>
            <w:shd w:val="clear" w:color="auto" w:fill="F6F3F0"/>
          </w:tcPr>
          <w:p>
            <w:pPr>
              <w:spacing w:after="0"/>
              <w:rPr>
                <w:sz w:val="20"/>
                <w:szCs w:val="20"/>
                <w:color w:val="auto"/>
              </w:rPr>
            </w:pPr>
          </w:p>
        </w:tc>
        <w:tc>
          <w:tcPr>
            <w:tcW w:w="1600" w:type="dxa"/>
            <w:vAlign w:val="bottom"/>
            <w:shd w:val="clear" w:color="auto" w:fill="F6F3F0"/>
          </w:tcPr>
          <w:p>
            <w:pPr>
              <w:spacing w:after="0"/>
              <w:rPr>
                <w:sz w:val="20"/>
                <w:szCs w:val="20"/>
                <w:color w:val="auto"/>
              </w:rPr>
            </w:pPr>
          </w:p>
        </w:tc>
        <w:tc>
          <w:tcPr>
            <w:tcW w:w="156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Change in Fair Value</w:t>
            </w:r>
          </w:p>
        </w:tc>
        <w:tc>
          <w:tcPr>
            <w:tcW w:w="1680" w:type="dxa"/>
            <w:vAlign w:val="bottom"/>
            <w:shd w:val="clear" w:color="auto" w:fill="F6F3F0"/>
          </w:tcPr>
          <w:p>
            <w:pPr>
              <w:spacing w:after="0"/>
              <w:rPr>
                <w:sz w:val="20"/>
                <w:szCs w:val="20"/>
                <w:color w:val="auto"/>
              </w:rPr>
            </w:pPr>
          </w:p>
        </w:tc>
        <w:tc>
          <w:tcPr>
            <w:tcW w:w="1640" w:type="dxa"/>
            <w:vAlign w:val="bottom"/>
            <w:shd w:val="clear" w:color="auto" w:fill="F6F3F0"/>
          </w:tcPr>
          <w:p>
            <w:pPr>
              <w:spacing w:after="0"/>
              <w:rPr>
                <w:sz w:val="20"/>
                <w:szCs w:val="20"/>
                <w:color w:val="auto"/>
              </w:rPr>
            </w:pPr>
          </w:p>
        </w:tc>
        <w:tc>
          <w:tcPr>
            <w:tcW w:w="460" w:type="dxa"/>
            <w:vAlign w:val="bottom"/>
          </w:tcPr>
          <w:p>
            <w:pPr>
              <w:spacing w:after="0"/>
              <w:rPr>
                <w:sz w:val="20"/>
                <w:szCs w:val="20"/>
                <w:color w:val="auto"/>
              </w:rPr>
            </w:pPr>
          </w:p>
        </w:tc>
      </w:tr>
      <w:tr>
        <w:trPr>
          <w:trHeight w:val="174"/>
        </w:trPr>
        <w:tc>
          <w:tcPr>
            <w:tcW w:w="320" w:type="dxa"/>
            <w:vAlign w:val="bottom"/>
          </w:tcPr>
          <w:p>
            <w:pPr>
              <w:spacing w:after="0"/>
              <w:rPr>
                <w:sz w:val="15"/>
                <w:szCs w:val="15"/>
                <w:color w:val="auto"/>
              </w:rPr>
            </w:pPr>
          </w:p>
        </w:tc>
        <w:tc>
          <w:tcPr>
            <w:tcW w:w="780" w:type="dxa"/>
            <w:vAlign w:val="bottom"/>
            <w:shd w:val="clear" w:color="auto" w:fill="F6F3F0"/>
          </w:tcPr>
          <w:p>
            <w:pPr>
              <w:spacing w:after="0"/>
              <w:rPr>
                <w:sz w:val="15"/>
                <w:szCs w:val="15"/>
                <w:color w:val="auto"/>
              </w:rPr>
            </w:pPr>
          </w:p>
        </w:tc>
        <w:tc>
          <w:tcPr>
            <w:tcW w:w="15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Year End Fair Value of</w:t>
            </w:r>
          </w:p>
        </w:tc>
        <w:tc>
          <w:tcPr>
            <w:tcW w:w="1620" w:type="dxa"/>
            <w:vAlign w:val="bottom"/>
            <w:shd w:val="clear" w:color="auto" w:fill="F6F3F0"/>
          </w:tcPr>
          <w:p>
            <w:pPr>
              <w:spacing w:after="0"/>
              <w:rPr>
                <w:sz w:val="15"/>
                <w:szCs w:val="15"/>
                <w:color w:val="auto"/>
              </w:rPr>
            </w:pPr>
          </w:p>
        </w:tc>
        <w:tc>
          <w:tcPr>
            <w:tcW w:w="1600" w:type="dxa"/>
            <w:vAlign w:val="bottom"/>
            <w:shd w:val="clear" w:color="auto" w:fill="F6F3F0"/>
          </w:tcPr>
          <w:p>
            <w:pPr>
              <w:spacing w:after="0"/>
              <w:rPr>
                <w:sz w:val="15"/>
                <w:szCs w:val="15"/>
                <w:color w:val="auto"/>
              </w:rPr>
            </w:pPr>
          </w:p>
        </w:tc>
        <w:tc>
          <w:tcPr>
            <w:tcW w:w="156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from Last Day of Prior</w:t>
            </w:r>
          </w:p>
        </w:tc>
        <w:tc>
          <w:tcPr>
            <w:tcW w:w="1680" w:type="dxa"/>
            <w:vAlign w:val="bottom"/>
            <w:shd w:val="clear" w:color="auto" w:fill="F6F3F0"/>
          </w:tcPr>
          <w:p>
            <w:pPr>
              <w:spacing w:after="0"/>
              <w:rPr>
                <w:sz w:val="15"/>
                <w:szCs w:val="15"/>
                <w:color w:val="auto"/>
              </w:rPr>
            </w:pPr>
          </w:p>
        </w:tc>
        <w:tc>
          <w:tcPr>
            <w:tcW w:w="1640" w:type="dxa"/>
            <w:vAlign w:val="bottom"/>
            <w:shd w:val="clear" w:color="auto" w:fill="F6F3F0"/>
          </w:tcPr>
          <w:p>
            <w:pPr>
              <w:spacing w:after="0"/>
              <w:rPr>
                <w:sz w:val="15"/>
                <w:szCs w:val="15"/>
                <w:color w:val="auto"/>
              </w:rPr>
            </w:pPr>
          </w:p>
        </w:tc>
        <w:tc>
          <w:tcPr>
            <w:tcW w:w="460" w:type="dxa"/>
            <w:vAlign w:val="bottom"/>
          </w:tcPr>
          <w:p>
            <w:pPr>
              <w:spacing w:after="0"/>
              <w:rPr>
                <w:sz w:val="15"/>
                <w:szCs w:val="15"/>
                <w:color w:val="auto"/>
              </w:rPr>
            </w:pPr>
          </w:p>
        </w:tc>
      </w:tr>
      <w:tr>
        <w:trPr>
          <w:trHeight w:val="161"/>
        </w:trPr>
        <w:tc>
          <w:tcPr>
            <w:tcW w:w="320" w:type="dxa"/>
            <w:vAlign w:val="bottom"/>
          </w:tcPr>
          <w:p>
            <w:pPr>
              <w:spacing w:after="0"/>
              <w:rPr>
                <w:sz w:val="13"/>
                <w:szCs w:val="13"/>
                <w:color w:val="auto"/>
              </w:rPr>
            </w:pPr>
          </w:p>
        </w:tc>
        <w:tc>
          <w:tcPr>
            <w:tcW w:w="780" w:type="dxa"/>
            <w:vAlign w:val="bottom"/>
            <w:shd w:val="clear" w:color="auto" w:fill="F6F3F0"/>
          </w:tcPr>
          <w:p>
            <w:pPr>
              <w:spacing w:after="0"/>
              <w:rPr>
                <w:sz w:val="13"/>
                <w:szCs w:val="13"/>
                <w:color w:val="auto"/>
              </w:rPr>
            </w:pPr>
          </w:p>
        </w:tc>
        <w:tc>
          <w:tcPr>
            <w:tcW w:w="15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Equity Awards</w:t>
            </w:r>
          </w:p>
        </w:tc>
        <w:tc>
          <w:tcPr>
            <w:tcW w:w="1620" w:type="dxa"/>
            <w:vAlign w:val="bottom"/>
            <w:shd w:val="clear" w:color="auto" w:fill="F6F3F0"/>
          </w:tcPr>
          <w:p>
            <w:pPr>
              <w:spacing w:after="0"/>
              <w:rPr>
                <w:sz w:val="13"/>
                <w:szCs w:val="13"/>
                <w:color w:val="auto"/>
              </w:rPr>
            </w:pPr>
          </w:p>
        </w:tc>
        <w:tc>
          <w:tcPr>
            <w:tcW w:w="3160" w:type="dxa"/>
            <w:vAlign w:val="bottom"/>
            <w:gridSpan w:val="2"/>
            <w:shd w:val="clear" w:color="auto" w:fill="F6F3F0"/>
          </w:tcPr>
          <w:p>
            <w:pPr>
              <w:jc w:val="right"/>
              <w:spacing w:after="0"/>
              <w:rPr>
                <w:sz w:val="20"/>
                <w:szCs w:val="20"/>
                <w:color w:val="auto"/>
              </w:rPr>
            </w:pPr>
            <w:r>
              <w:rPr>
                <w:rFonts w:ascii="Arial" w:cs="Arial" w:eastAsia="Arial" w:hAnsi="Arial"/>
                <w:sz w:val="14"/>
                <w:szCs w:val="14"/>
                <w:b w:val="1"/>
                <w:bCs w:val="1"/>
                <w:color w:val="0E1020"/>
              </w:rPr>
              <w:t>Vesting Date Fair Year to Vesting Date of</w:t>
            </w:r>
          </w:p>
        </w:tc>
        <w:tc>
          <w:tcPr>
            <w:tcW w:w="1680" w:type="dxa"/>
            <w:vAlign w:val="bottom"/>
            <w:shd w:val="clear" w:color="auto" w:fill="F6F3F0"/>
          </w:tcPr>
          <w:p>
            <w:pPr>
              <w:spacing w:after="0"/>
              <w:rPr>
                <w:sz w:val="13"/>
                <w:szCs w:val="13"/>
                <w:color w:val="auto"/>
              </w:rPr>
            </w:pPr>
          </w:p>
        </w:tc>
        <w:tc>
          <w:tcPr>
            <w:tcW w:w="1640" w:type="dxa"/>
            <w:vAlign w:val="bottom"/>
            <w:shd w:val="clear" w:color="auto" w:fill="F6F3F0"/>
          </w:tcPr>
          <w:p>
            <w:pPr>
              <w:spacing w:after="0"/>
              <w:rPr>
                <w:sz w:val="13"/>
                <w:szCs w:val="13"/>
                <w:color w:val="auto"/>
              </w:rPr>
            </w:pPr>
          </w:p>
        </w:tc>
        <w:tc>
          <w:tcPr>
            <w:tcW w:w="460" w:type="dxa"/>
            <w:vAlign w:val="bottom"/>
          </w:tcPr>
          <w:p>
            <w:pPr>
              <w:spacing w:after="0"/>
              <w:rPr>
                <w:sz w:val="13"/>
                <w:szCs w:val="13"/>
                <w:color w:val="auto"/>
              </w:rPr>
            </w:pPr>
          </w:p>
        </w:tc>
      </w:tr>
      <w:tr>
        <w:trPr>
          <w:trHeight w:val="174"/>
        </w:trPr>
        <w:tc>
          <w:tcPr>
            <w:tcW w:w="320" w:type="dxa"/>
            <w:vAlign w:val="bottom"/>
          </w:tcPr>
          <w:p>
            <w:pPr>
              <w:spacing w:after="0"/>
              <w:rPr>
                <w:sz w:val="15"/>
                <w:szCs w:val="15"/>
                <w:color w:val="auto"/>
              </w:rPr>
            </w:pPr>
          </w:p>
        </w:tc>
        <w:tc>
          <w:tcPr>
            <w:tcW w:w="780" w:type="dxa"/>
            <w:vAlign w:val="bottom"/>
            <w:shd w:val="clear" w:color="auto" w:fill="F6F3F0"/>
          </w:tcPr>
          <w:p>
            <w:pPr>
              <w:spacing w:after="0"/>
              <w:rPr>
                <w:sz w:val="15"/>
                <w:szCs w:val="15"/>
                <w:color w:val="auto"/>
              </w:rPr>
            </w:pPr>
          </w:p>
        </w:tc>
        <w:tc>
          <w:tcPr>
            <w:tcW w:w="15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Granted During Year</w:t>
            </w:r>
          </w:p>
        </w:tc>
        <w:tc>
          <w:tcPr>
            <w:tcW w:w="162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Change in Fair Value</w:t>
            </w:r>
          </w:p>
        </w:tc>
        <w:tc>
          <w:tcPr>
            <w:tcW w:w="160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Value of Equity</w:t>
            </w:r>
          </w:p>
        </w:tc>
        <w:tc>
          <w:tcPr>
            <w:tcW w:w="156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Unvested Equity</w:t>
            </w:r>
          </w:p>
        </w:tc>
        <w:tc>
          <w:tcPr>
            <w:tcW w:w="1680" w:type="dxa"/>
            <w:vAlign w:val="bottom"/>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Value of Dividends</w:t>
            </w:r>
          </w:p>
        </w:tc>
        <w:tc>
          <w:tcPr>
            <w:tcW w:w="1640" w:type="dxa"/>
            <w:vAlign w:val="bottom"/>
            <w:shd w:val="clear" w:color="auto" w:fill="F6F3F0"/>
          </w:tcPr>
          <w:p>
            <w:pPr>
              <w:spacing w:after="0"/>
              <w:rPr>
                <w:sz w:val="15"/>
                <w:szCs w:val="15"/>
                <w:color w:val="auto"/>
              </w:rPr>
            </w:pPr>
          </w:p>
        </w:tc>
        <w:tc>
          <w:tcPr>
            <w:tcW w:w="460" w:type="dxa"/>
            <w:vAlign w:val="bottom"/>
          </w:tcPr>
          <w:p>
            <w:pPr>
              <w:spacing w:after="0"/>
              <w:rPr>
                <w:sz w:val="15"/>
                <w:szCs w:val="15"/>
                <w:color w:val="auto"/>
              </w:rPr>
            </w:pPr>
          </w:p>
        </w:tc>
      </w:tr>
      <w:tr>
        <w:trPr>
          <w:trHeight w:val="174"/>
        </w:trPr>
        <w:tc>
          <w:tcPr>
            <w:tcW w:w="320" w:type="dxa"/>
            <w:vAlign w:val="bottom"/>
          </w:tcPr>
          <w:p>
            <w:pPr>
              <w:spacing w:after="0"/>
              <w:rPr>
                <w:sz w:val="15"/>
                <w:szCs w:val="15"/>
                <w:color w:val="auto"/>
              </w:rPr>
            </w:pPr>
          </w:p>
        </w:tc>
        <w:tc>
          <w:tcPr>
            <w:tcW w:w="780" w:type="dxa"/>
            <w:vAlign w:val="bottom"/>
            <w:shd w:val="clear" w:color="auto" w:fill="F6F3F0"/>
          </w:tcPr>
          <w:p>
            <w:pPr>
              <w:spacing w:after="0"/>
              <w:rPr>
                <w:sz w:val="15"/>
                <w:szCs w:val="15"/>
                <w:color w:val="auto"/>
              </w:rPr>
            </w:pPr>
          </w:p>
        </w:tc>
        <w:tc>
          <w:tcPr>
            <w:tcW w:w="15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that Remained</w:t>
            </w:r>
          </w:p>
        </w:tc>
        <w:tc>
          <w:tcPr>
            <w:tcW w:w="162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of Prior Awards that</w:t>
            </w:r>
          </w:p>
        </w:tc>
        <w:tc>
          <w:tcPr>
            <w:tcW w:w="160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Awards Granted</w:t>
            </w:r>
          </w:p>
        </w:tc>
        <w:tc>
          <w:tcPr>
            <w:tcW w:w="156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Awards that Vested</w:t>
            </w:r>
          </w:p>
        </w:tc>
        <w:tc>
          <w:tcPr>
            <w:tcW w:w="1680" w:type="dxa"/>
            <w:vAlign w:val="bottom"/>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Paid on Stock Awards</w:t>
            </w:r>
          </w:p>
        </w:tc>
        <w:tc>
          <w:tcPr>
            <w:tcW w:w="1640" w:type="dxa"/>
            <w:vAlign w:val="bottom"/>
            <w:shd w:val="clear" w:color="auto" w:fill="F6F3F0"/>
          </w:tcPr>
          <w:p>
            <w:pPr>
              <w:spacing w:after="0"/>
              <w:rPr>
                <w:sz w:val="15"/>
                <w:szCs w:val="15"/>
                <w:color w:val="auto"/>
              </w:rPr>
            </w:pPr>
          </w:p>
        </w:tc>
        <w:tc>
          <w:tcPr>
            <w:tcW w:w="460" w:type="dxa"/>
            <w:vAlign w:val="bottom"/>
          </w:tcPr>
          <w:p>
            <w:pPr>
              <w:spacing w:after="0"/>
              <w:rPr>
                <w:sz w:val="15"/>
                <w:szCs w:val="15"/>
                <w:color w:val="auto"/>
              </w:rPr>
            </w:pPr>
          </w:p>
        </w:tc>
      </w:tr>
      <w:tr>
        <w:trPr>
          <w:trHeight w:val="174"/>
        </w:trPr>
        <w:tc>
          <w:tcPr>
            <w:tcW w:w="320" w:type="dxa"/>
            <w:vAlign w:val="bottom"/>
          </w:tcPr>
          <w:p>
            <w:pPr>
              <w:spacing w:after="0"/>
              <w:rPr>
                <w:sz w:val="15"/>
                <w:szCs w:val="15"/>
                <w:color w:val="auto"/>
              </w:rPr>
            </w:pPr>
          </w:p>
        </w:tc>
        <w:tc>
          <w:tcPr>
            <w:tcW w:w="780" w:type="dxa"/>
            <w:vAlign w:val="bottom"/>
            <w:shd w:val="clear" w:color="auto" w:fill="F6F3F0"/>
          </w:tcPr>
          <w:p>
            <w:pPr>
              <w:spacing w:after="0"/>
              <w:rPr>
                <w:sz w:val="15"/>
                <w:szCs w:val="15"/>
                <w:color w:val="auto"/>
              </w:rPr>
            </w:pPr>
          </w:p>
        </w:tc>
        <w:tc>
          <w:tcPr>
            <w:tcW w:w="15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Unvested as of Last</w:t>
            </w:r>
          </w:p>
        </w:tc>
        <w:tc>
          <w:tcPr>
            <w:tcW w:w="162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Remained Unvested at</w:t>
            </w:r>
          </w:p>
        </w:tc>
        <w:tc>
          <w:tcPr>
            <w:tcW w:w="160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During Year that</w:t>
            </w:r>
          </w:p>
        </w:tc>
        <w:tc>
          <w:tcPr>
            <w:tcW w:w="156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During</w:t>
            </w:r>
          </w:p>
        </w:tc>
        <w:tc>
          <w:tcPr>
            <w:tcW w:w="1680" w:type="dxa"/>
            <w:vAlign w:val="bottom"/>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Not Otherwise</w:t>
            </w:r>
          </w:p>
        </w:tc>
        <w:tc>
          <w:tcPr>
            <w:tcW w:w="1640" w:type="dxa"/>
            <w:vAlign w:val="bottom"/>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Total - Inclusion of</w:t>
            </w:r>
          </w:p>
        </w:tc>
        <w:tc>
          <w:tcPr>
            <w:tcW w:w="460" w:type="dxa"/>
            <w:vAlign w:val="bottom"/>
          </w:tcPr>
          <w:p>
            <w:pPr>
              <w:spacing w:after="0"/>
              <w:rPr>
                <w:sz w:val="15"/>
                <w:szCs w:val="15"/>
                <w:color w:val="auto"/>
              </w:rPr>
            </w:pPr>
          </w:p>
        </w:tc>
      </w:tr>
      <w:tr>
        <w:trPr>
          <w:trHeight w:val="174"/>
        </w:trPr>
        <w:tc>
          <w:tcPr>
            <w:tcW w:w="320" w:type="dxa"/>
            <w:vAlign w:val="bottom"/>
          </w:tcPr>
          <w:p>
            <w:pPr>
              <w:spacing w:after="0"/>
              <w:rPr>
                <w:sz w:val="15"/>
                <w:szCs w:val="15"/>
                <w:color w:val="auto"/>
              </w:rPr>
            </w:pPr>
          </w:p>
        </w:tc>
        <w:tc>
          <w:tcPr>
            <w:tcW w:w="780" w:type="dxa"/>
            <w:vAlign w:val="bottom"/>
            <w:shd w:val="clear" w:color="auto" w:fill="F6F3F0"/>
          </w:tcPr>
          <w:p>
            <w:pPr>
              <w:spacing w:after="0"/>
              <w:rPr>
                <w:sz w:val="15"/>
                <w:szCs w:val="15"/>
                <w:color w:val="auto"/>
              </w:rPr>
            </w:pPr>
          </w:p>
        </w:tc>
        <w:tc>
          <w:tcPr>
            <w:tcW w:w="15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Day of Year for Mr.</w:t>
            </w:r>
          </w:p>
        </w:tc>
        <w:tc>
          <w:tcPr>
            <w:tcW w:w="1620" w:type="dxa"/>
            <w:vAlign w:val="bottom"/>
            <w:shd w:val="clear" w:color="auto" w:fill="F6F3F0"/>
          </w:tcPr>
          <w:p>
            <w:pPr>
              <w:jc w:val="right"/>
              <w:ind w:right="9"/>
              <w:spacing w:after="0"/>
              <w:rPr>
                <w:sz w:val="20"/>
                <w:szCs w:val="20"/>
                <w:color w:val="auto"/>
              </w:rPr>
            </w:pPr>
            <w:r>
              <w:rPr>
                <w:rFonts w:ascii="Arial" w:cs="Arial" w:eastAsia="Arial" w:hAnsi="Arial"/>
                <w:sz w:val="14"/>
                <w:szCs w:val="14"/>
                <w:b w:val="1"/>
                <w:bCs w:val="1"/>
                <w:color w:val="0E1020"/>
              </w:rPr>
              <w:t>Year End for</w:t>
            </w:r>
          </w:p>
        </w:tc>
        <w:tc>
          <w:tcPr>
            <w:tcW w:w="160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Vested During Year for</w:t>
            </w:r>
          </w:p>
        </w:tc>
        <w:tc>
          <w:tcPr>
            <w:tcW w:w="156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the Year for</w:t>
            </w:r>
          </w:p>
        </w:tc>
        <w:tc>
          <w:tcPr>
            <w:tcW w:w="1680" w:type="dxa"/>
            <w:vAlign w:val="bottom"/>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Included for</w:t>
            </w:r>
          </w:p>
        </w:tc>
        <w:tc>
          <w:tcPr>
            <w:tcW w:w="1640" w:type="dxa"/>
            <w:vAlign w:val="bottom"/>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Equity Values for Mr.</w:t>
            </w:r>
          </w:p>
        </w:tc>
        <w:tc>
          <w:tcPr>
            <w:tcW w:w="460" w:type="dxa"/>
            <w:vAlign w:val="bottom"/>
          </w:tcPr>
          <w:p>
            <w:pPr>
              <w:spacing w:after="0"/>
              <w:rPr>
                <w:sz w:val="15"/>
                <w:szCs w:val="15"/>
                <w:color w:val="auto"/>
              </w:rPr>
            </w:pPr>
          </w:p>
        </w:tc>
      </w:tr>
      <w:tr>
        <w:trPr>
          <w:trHeight w:val="161"/>
        </w:trPr>
        <w:tc>
          <w:tcPr>
            <w:tcW w:w="320" w:type="dxa"/>
            <w:vAlign w:val="bottom"/>
          </w:tcPr>
          <w:p>
            <w:pPr>
              <w:spacing w:after="0"/>
              <w:rPr>
                <w:sz w:val="13"/>
                <w:szCs w:val="13"/>
                <w:color w:val="auto"/>
              </w:rPr>
            </w:pPr>
          </w:p>
        </w:tc>
        <w:tc>
          <w:tcPr>
            <w:tcW w:w="780" w:type="dxa"/>
            <w:vAlign w:val="bottom"/>
            <w:shd w:val="clear" w:color="auto" w:fill="F6F3F0"/>
          </w:tcPr>
          <w:p>
            <w:pPr>
              <w:ind w:left="100"/>
              <w:spacing w:after="0"/>
              <w:rPr>
                <w:sz w:val="20"/>
                <w:szCs w:val="20"/>
                <w:color w:val="auto"/>
              </w:rPr>
            </w:pPr>
            <w:r>
              <w:rPr>
                <w:rFonts w:ascii="Arial" w:cs="Arial" w:eastAsia="Arial" w:hAnsi="Arial"/>
                <w:sz w:val="14"/>
                <w:szCs w:val="14"/>
                <w:b w:val="1"/>
                <w:bCs w:val="1"/>
                <w:color w:val="0E1020"/>
              </w:rPr>
              <w:t>Fiscal</w:t>
            </w:r>
          </w:p>
        </w:tc>
        <w:tc>
          <w:tcPr>
            <w:tcW w:w="15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Salvino</w:t>
            </w:r>
          </w:p>
        </w:tc>
        <w:tc>
          <w:tcPr>
            <w:tcW w:w="162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Mr. Salvino</w:t>
            </w:r>
          </w:p>
        </w:tc>
        <w:tc>
          <w:tcPr>
            <w:tcW w:w="160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Mr. Salvino</w:t>
            </w:r>
          </w:p>
        </w:tc>
        <w:tc>
          <w:tcPr>
            <w:tcW w:w="156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Mr. Salvino</w:t>
            </w:r>
          </w:p>
        </w:tc>
        <w:tc>
          <w:tcPr>
            <w:tcW w:w="1680" w:type="dxa"/>
            <w:vAlign w:val="bottom"/>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Mr. Salvino</w:t>
            </w:r>
          </w:p>
        </w:tc>
        <w:tc>
          <w:tcPr>
            <w:tcW w:w="1640" w:type="dxa"/>
            <w:vAlign w:val="bottom"/>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Salvino</w:t>
            </w:r>
          </w:p>
        </w:tc>
        <w:tc>
          <w:tcPr>
            <w:tcW w:w="460" w:type="dxa"/>
            <w:vAlign w:val="bottom"/>
          </w:tcPr>
          <w:p>
            <w:pPr>
              <w:spacing w:after="0"/>
              <w:rPr>
                <w:sz w:val="13"/>
                <w:szCs w:val="13"/>
                <w:color w:val="auto"/>
              </w:rPr>
            </w:pPr>
          </w:p>
        </w:tc>
      </w:tr>
      <w:tr>
        <w:trPr>
          <w:trHeight w:val="209"/>
        </w:trPr>
        <w:tc>
          <w:tcPr>
            <w:tcW w:w="320" w:type="dxa"/>
            <w:vAlign w:val="bottom"/>
          </w:tcPr>
          <w:p>
            <w:pPr>
              <w:spacing w:after="0"/>
              <w:rPr>
                <w:sz w:val="18"/>
                <w:szCs w:val="18"/>
                <w:color w:val="auto"/>
              </w:rPr>
            </w:pPr>
          </w:p>
        </w:tc>
        <w:tc>
          <w:tcPr>
            <w:tcW w:w="780" w:type="dxa"/>
            <w:vAlign w:val="bottom"/>
            <w:shd w:val="clear" w:color="auto" w:fill="F6F3F0"/>
          </w:tcPr>
          <w:p>
            <w:pPr>
              <w:ind w:left="100"/>
              <w:spacing w:after="0"/>
              <w:rPr>
                <w:sz w:val="20"/>
                <w:szCs w:val="20"/>
                <w:color w:val="auto"/>
              </w:rPr>
            </w:pPr>
            <w:r>
              <w:rPr>
                <w:rFonts w:ascii="Arial" w:cs="Arial" w:eastAsia="Arial" w:hAnsi="Arial"/>
                <w:sz w:val="14"/>
                <w:szCs w:val="14"/>
                <w:b w:val="1"/>
                <w:bCs w:val="1"/>
                <w:color w:val="0E1020"/>
              </w:rPr>
              <w:t>Year</w:t>
            </w:r>
          </w:p>
        </w:tc>
        <w:tc>
          <w:tcPr>
            <w:tcW w:w="158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162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160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156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1680" w:type="dxa"/>
            <w:vAlign w:val="bottom"/>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w:t>
            </w:r>
          </w:p>
        </w:tc>
        <w:tc>
          <w:tcPr>
            <w:tcW w:w="1640" w:type="dxa"/>
            <w:vAlign w:val="bottom"/>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w:t>
            </w:r>
          </w:p>
        </w:tc>
        <w:tc>
          <w:tcPr>
            <w:tcW w:w="460" w:type="dxa"/>
            <w:vAlign w:val="bottom"/>
          </w:tcPr>
          <w:p>
            <w:pPr>
              <w:spacing w:after="0"/>
              <w:rPr>
                <w:sz w:val="18"/>
                <w:szCs w:val="18"/>
                <w:color w:val="auto"/>
              </w:rPr>
            </w:pPr>
          </w:p>
        </w:tc>
      </w:tr>
      <w:tr>
        <w:trPr>
          <w:trHeight w:val="69"/>
        </w:trPr>
        <w:tc>
          <w:tcPr>
            <w:tcW w:w="320" w:type="dxa"/>
            <w:vAlign w:val="bottom"/>
          </w:tcPr>
          <w:p>
            <w:pPr>
              <w:spacing w:after="0"/>
              <w:rPr>
                <w:sz w:val="5"/>
                <w:szCs w:val="5"/>
                <w:color w:val="auto"/>
              </w:rPr>
            </w:pPr>
          </w:p>
        </w:tc>
        <w:tc>
          <w:tcPr>
            <w:tcW w:w="780" w:type="dxa"/>
            <w:vAlign w:val="bottom"/>
            <w:tcBorders>
              <w:bottom w:val="single" w:sz="8" w:color="CFCFD2"/>
            </w:tcBorders>
            <w:shd w:val="clear" w:color="auto" w:fill="F6F3F0"/>
          </w:tcPr>
          <w:p>
            <w:pPr>
              <w:spacing w:after="0"/>
              <w:rPr>
                <w:sz w:val="5"/>
                <w:szCs w:val="5"/>
                <w:color w:val="auto"/>
              </w:rPr>
            </w:pPr>
          </w:p>
        </w:tc>
        <w:tc>
          <w:tcPr>
            <w:tcW w:w="1580" w:type="dxa"/>
            <w:vAlign w:val="bottom"/>
            <w:tcBorders>
              <w:bottom w:val="single" w:sz="8" w:color="CFCFD2"/>
            </w:tcBorders>
            <w:shd w:val="clear" w:color="auto" w:fill="F6F3F0"/>
          </w:tcPr>
          <w:p>
            <w:pPr>
              <w:spacing w:after="0"/>
              <w:rPr>
                <w:sz w:val="5"/>
                <w:szCs w:val="5"/>
                <w:color w:val="auto"/>
              </w:rPr>
            </w:pPr>
          </w:p>
        </w:tc>
        <w:tc>
          <w:tcPr>
            <w:tcW w:w="1620" w:type="dxa"/>
            <w:vAlign w:val="bottom"/>
            <w:tcBorders>
              <w:bottom w:val="single" w:sz="8" w:color="CFCFD2"/>
            </w:tcBorders>
            <w:shd w:val="clear" w:color="auto" w:fill="F6F3F0"/>
          </w:tcPr>
          <w:p>
            <w:pPr>
              <w:spacing w:after="0"/>
              <w:rPr>
                <w:sz w:val="5"/>
                <w:szCs w:val="5"/>
                <w:color w:val="auto"/>
              </w:rPr>
            </w:pPr>
          </w:p>
        </w:tc>
        <w:tc>
          <w:tcPr>
            <w:tcW w:w="1600" w:type="dxa"/>
            <w:vAlign w:val="bottom"/>
            <w:tcBorders>
              <w:bottom w:val="single" w:sz="8" w:color="CFCFD2"/>
            </w:tcBorders>
            <w:shd w:val="clear" w:color="auto" w:fill="F6F3F0"/>
          </w:tcPr>
          <w:p>
            <w:pPr>
              <w:spacing w:after="0"/>
              <w:rPr>
                <w:sz w:val="5"/>
                <w:szCs w:val="5"/>
                <w:color w:val="auto"/>
              </w:rPr>
            </w:pPr>
          </w:p>
        </w:tc>
        <w:tc>
          <w:tcPr>
            <w:tcW w:w="1560" w:type="dxa"/>
            <w:vAlign w:val="bottom"/>
            <w:tcBorders>
              <w:bottom w:val="single" w:sz="8" w:color="CFCFD2"/>
            </w:tcBorders>
            <w:shd w:val="clear" w:color="auto" w:fill="F6F3F0"/>
          </w:tcPr>
          <w:p>
            <w:pPr>
              <w:spacing w:after="0"/>
              <w:rPr>
                <w:sz w:val="5"/>
                <w:szCs w:val="5"/>
                <w:color w:val="auto"/>
              </w:rPr>
            </w:pPr>
          </w:p>
        </w:tc>
        <w:tc>
          <w:tcPr>
            <w:tcW w:w="1680" w:type="dxa"/>
            <w:vAlign w:val="bottom"/>
            <w:tcBorders>
              <w:bottom w:val="single" w:sz="8" w:color="CFCFD2"/>
            </w:tcBorders>
            <w:shd w:val="clear" w:color="auto" w:fill="F6F3F0"/>
          </w:tcPr>
          <w:p>
            <w:pPr>
              <w:spacing w:after="0"/>
              <w:rPr>
                <w:sz w:val="5"/>
                <w:szCs w:val="5"/>
                <w:color w:val="auto"/>
              </w:rPr>
            </w:pPr>
          </w:p>
        </w:tc>
        <w:tc>
          <w:tcPr>
            <w:tcW w:w="1640" w:type="dxa"/>
            <w:vAlign w:val="bottom"/>
            <w:tcBorders>
              <w:bottom w:val="single" w:sz="8" w:color="CFCFD2"/>
            </w:tcBorders>
            <w:shd w:val="clear" w:color="auto" w:fill="F6F3F0"/>
          </w:tcPr>
          <w:p>
            <w:pPr>
              <w:spacing w:after="0"/>
              <w:rPr>
                <w:sz w:val="5"/>
                <w:szCs w:val="5"/>
                <w:color w:val="auto"/>
              </w:rPr>
            </w:pPr>
          </w:p>
        </w:tc>
        <w:tc>
          <w:tcPr>
            <w:tcW w:w="460" w:type="dxa"/>
            <w:vAlign w:val="bottom"/>
          </w:tcPr>
          <w:p>
            <w:pPr>
              <w:spacing w:after="0"/>
              <w:rPr>
                <w:sz w:val="5"/>
                <w:szCs w:val="5"/>
                <w:color w:val="auto"/>
              </w:rPr>
            </w:pPr>
          </w:p>
        </w:tc>
      </w:tr>
      <w:tr>
        <w:trPr>
          <w:trHeight w:val="200"/>
        </w:trPr>
        <w:tc>
          <w:tcPr>
            <w:tcW w:w="1100" w:type="dxa"/>
            <w:vAlign w:val="bottom"/>
            <w:gridSpan w:val="2"/>
          </w:tcPr>
          <w:p>
            <w:pPr>
              <w:ind w:left="420"/>
              <w:spacing w:after="0"/>
              <w:rPr>
                <w:sz w:val="20"/>
                <w:szCs w:val="20"/>
                <w:color w:val="auto"/>
              </w:rPr>
            </w:pPr>
            <w:r>
              <w:rPr>
                <w:rFonts w:ascii="Arial" w:cs="Arial" w:eastAsia="Arial" w:hAnsi="Arial"/>
                <w:sz w:val="14"/>
                <w:szCs w:val="14"/>
                <w:color w:val="0E1020"/>
              </w:rPr>
              <w:t>2026</w:t>
            </w:r>
          </w:p>
        </w:tc>
        <w:tc>
          <w:tcPr>
            <w:tcW w:w="1580" w:type="dxa"/>
            <w:vAlign w:val="bottom"/>
          </w:tcPr>
          <w:p>
            <w:pPr>
              <w:jc w:val="right"/>
              <w:spacing w:after="0"/>
              <w:rPr>
                <w:sz w:val="20"/>
                <w:szCs w:val="20"/>
                <w:color w:val="auto"/>
              </w:rPr>
            </w:pPr>
            <w:r>
              <w:rPr>
                <w:rFonts w:ascii="Arial" w:cs="Arial" w:eastAsia="Arial" w:hAnsi="Arial"/>
                <w:sz w:val="14"/>
                <w:szCs w:val="14"/>
                <w:color w:val="0E1020"/>
              </w:rPr>
              <w:t>—</w:t>
            </w:r>
          </w:p>
        </w:tc>
        <w:tc>
          <w:tcPr>
            <w:tcW w:w="1620" w:type="dxa"/>
            <w:vAlign w:val="bottom"/>
          </w:tcPr>
          <w:p>
            <w:pPr>
              <w:jc w:val="right"/>
              <w:ind w:right="9"/>
              <w:spacing w:after="0"/>
              <w:rPr>
                <w:sz w:val="20"/>
                <w:szCs w:val="20"/>
                <w:color w:val="auto"/>
              </w:rPr>
            </w:pPr>
            <w:r>
              <w:rPr>
                <w:rFonts w:ascii="Arial" w:cs="Arial" w:eastAsia="Arial" w:hAnsi="Arial"/>
                <w:sz w:val="14"/>
                <w:szCs w:val="14"/>
                <w:color w:val="0E1020"/>
              </w:rPr>
              <w:t>—</w:t>
            </w:r>
          </w:p>
        </w:tc>
        <w:tc>
          <w:tcPr>
            <w:tcW w:w="1600" w:type="dxa"/>
            <w:vAlign w:val="bottom"/>
          </w:tcPr>
          <w:p>
            <w:pPr>
              <w:jc w:val="right"/>
              <w:ind w:right="29"/>
              <w:spacing w:after="0"/>
              <w:rPr>
                <w:sz w:val="20"/>
                <w:szCs w:val="20"/>
                <w:color w:val="auto"/>
              </w:rPr>
            </w:pPr>
            <w:r>
              <w:rPr>
                <w:rFonts w:ascii="Arial" w:cs="Arial" w:eastAsia="Arial" w:hAnsi="Arial"/>
                <w:sz w:val="14"/>
                <w:szCs w:val="14"/>
                <w:color w:val="0E1020"/>
              </w:rPr>
              <w:t>—</w:t>
            </w:r>
          </w:p>
        </w:tc>
        <w:tc>
          <w:tcPr>
            <w:tcW w:w="1560" w:type="dxa"/>
            <w:vAlign w:val="bottom"/>
          </w:tcPr>
          <w:p>
            <w:pPr>
              <w:jc w:val="right"/>
              <w:spacing w:after="0"/>
              <w:rPr>
                <w:sz w:val="20"/>
                <w:szCs w:val="20"/>
                <w:color w:val="auto"/>
              </w:rPr>
            </w:pPr>
            <w:r>
              <w:rPr>
                <w:rFonts w:ascii="Arial" w:cs="Arial" w:eastAsia="Arial" w:hAnsi="Arial"/>
                <w:sz w:val="14"/>
                <w:szCs w:val="14"/>
                <w:color w:val="0E1020"/>
              </w:rPr>
              <w:t>—</w:t>
            </w:r>
          </w:p>
        </w:tc>
        <w:tc>
          <w:tcPr>
            <w:tcW w:w="1680" w:type="dxa"/>
            <w:vAlign w:val="bottom"/>
          </w:tcPr>
          <w:p>
            <w:pPr>
              <w:jc w:val="right"/>
              <w:ind w:right="89"/>
              <w:spacing w:after="0"/>
              <w:rPr>
                <w:sz w:val="20"/>
                <w:szCs w:val="20"/>
                <w:color w:val="auto"/>
              </w:rPr>
            </w:pPr>
            <w:r>
              <w:rPr>
                <w:rFonts w:ascii="Arial" w:cs="Arial" w:eastAsia="Arial" w:hAnsi="Arial"/>
                <w:sz w:val="14"/>
                <w:szCs w:val="14"/>
                <w:color w:val="0E1020"/>
              </w:rPr>
              <w:t>—</w:t>
            </w:r>
          </w:p>
        </w:tc>
        <w:tc>
          <w:tcPr>
            <w:tcW w:w="2100" w:type="dxa"/>
            <w:vAlign w:val="bottom"/>
            <w:gridSpan w:val="2"/>
          </w:tcPr>
          <w:p>
            <w:pPr>
              <w:jc w:val="right"/>
              <w:ind w:right="660"/>
              <w:spacing w:after="0"/>
              <w:rPr>
                <w:sz w:val="20"/>
                <w:szCs w:val="20"/>
                <w:color w:val="auto"/>
              </w:rPr>
            </w:pPr>
            <w:r>
              <w:rPr>
                <w:rFonts w:ascii="Arial" w:cs="Arial" w:eastAsia="Arial" w:hAnsi="Arial"/>
                <w:sz w:val="14"/>
                <w:szCs w:val="14"/>
                <w:color w:val="0E1020"/>
              </w:rPr>
              <w:t>—</w:t>
            </w:r>
          </w:p>
        </w:tc>
      </w:tr>
      <w:tr>
        <w:trPr>
          <w:trHeight w:val="21"/>
        </w:trPr>
        <w:tc>
          <w:tcPr>
            <w:tcW w:w="320" w:type="dxa"/>
            <w:vAlign w:val="bottom"/>
          </w:tcPr>
          <w:p>
            <w:pPr>
              <w:spacing w:after="0" w:line="20" w:lineRule="exact"/>
              <w:rPr>
                <w:sz w:val="1"/>
                <w:szCs w:val="1"/>
                <w:color w:val="auto"/>
              </w:rPr>
            </w:pPr>
          </w:p>
        </w:tc>
        <w:tc>
          <w:tcPr>
            <w:tcW w:w="780" w:type="dxa"/>
            <w:vAlign w:val="bottom"/>
            <w:tcBorders>
              <w:bottom w:val="single" w:sz="8" w:color="CFCFD2"/>
            </w:tcBorders>
          </w:tcPr>
          <w:p>
            <w:pPr>
              <w:spacing w:after="0" w:line="20" w:lineRule="exact"/>
              <w:rPr>
                <w:sz w:val="1"/>
                <w:szCs w:val="1"/>
                <w:color w:val="auto"/>
              </w:rPr>
            </w:pPr>
          </w:p>
        </w:tc>
        <w:tc>
          <w:tcPr>
            <w:tcW w:w="1580" w:type="dxa"/>
            <w:vAlign w:val="bottom"/>
            <w:tcBorders>
              <w:bottom w:val="single" w:sz="8" w:color="CFCFD2"/>
            </w:tcBorders>
          </w:tcPr>
          <w:p>
            <w:pPr>
              <w:spacing w:after="0" w:line="20" w:lineRule="exact"/>
              <w:rPr>
                <w:sz w:val="1"/>
                <w:szCs w:val="1"/>
                <w:color w:val="auto"/>
              </w:rPr>
            </w:pPr>
          </w:p>
        </w:tc>
        <w:tc>
          <w:tcPr>
            <w:tcW w:w="1620" w:type="dxa"/>
            <w:vAlign w:val="bottom"/>
            <w:tcBorders>
              <w:bottom w:val="single" w:sz="8" w:color="CFCFD2"/>
            </w:tcBorders>
          </w:tcPr>
          <w:p>
            <w:pPr>
              <w:spacing w:after="0" w:line="20" w:lineRule="exact"/>
              <w:rPr>
                <w:sz w:val="1"/>
                <w:szCs w:val="1"/>
                <w:color w:val="auto"/>
              </w:rPr>
            </w:pPr>
          </w:p>
        </w:tc>
        <w:tc>
          <w:tcPr>
            <w:tcW w:w="1600" w:type="dxa"/>
            <w:vAlign w:val="bottom"/>
            <w:tcBorders>
              <w:bottom w:val="single" w:sz="8" w:color="CFCFD2"/>
            </w:tcBorders>
          </w:tcPr>
          <w:p>
            <w:pPr>
              <w:spacing w:after="0" w:line="20" w:lineRule="exact"/>
              <w:rPr>
                <w:sz w:val="1"/>
                <w:szCs w:val="1"/>
                <w:color w:val="auto"/>
              </w:rPr>
            </w:pPr>
          </w:p>
        </w:tc>
        <w:tc>
          <w:tcPr>
            <w:tcW w:w="1560" w:type="dxa"/>
            <w:vAlign w:val="bottom"/>
            <w:tcBorders>
              <w:bottom w:val="single" w:sz="8" w:color="CFCFD2"/>
            </w:tcBorders>
          </w:tcPr>
          <w:p>
            <w:pPr>
              <w:spacing w:after="0" w:line="20" w:lineRule="exact"/>
              <w:rPr>
                <w:sz w:val="1"/>
                <w:szCs w:val="1"/>
                <w:color w:val="auto"/>
              </w:rPr>
            </w:pPr>
          </w:p>
        </w:tc>
        <w:tc>
          <w:tcPr>
            <w:tcW w:w="1680" w:type="dxa"/>
            <w:vAlign w:val="bottom"/>
            <w:tcBorders>
              <w:bottom w:val="single" w:sz="8" w:color="CFCFD2"/>
            </w:tcBorders>
          </w:tcPr>
          <w:p>
            <w:pPr>
              <w:spacing w:after="0" w:line="20" w:lineRule="exact"/>
              <w:rPr>
                <w:sz w:val="1"/>
                <w:szCs w:val="1"/>
                <w:color w:val="auto"/>
              </w:rPr>
            </w:pPr>
          </w:p>
        </w:tc>
        <w:tc>
          <w:tcPr>
            <w:tcW w:w="1640" w:type="dxa"/>
            <w:vAlign w:val="bottom"/>
            <w:tcBorders>
              <w:bottom w:val="single" w:sz="8" w:color="CFCFD2"/>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0"/>
        </w:trPr>
        <w:tc>
          <w:tcPr>
            <w:tcW w:w="1100" w:type="dxa"/>
            <w:vAlign w:val="bottom"/>
            <w:gridSpan w:val="2"/>
          </w:tcPr>
          <w:p>
            <w:pPr>
              <w:ind w:left="420"/>
              <w:spacing w:after="0"/>
              <w:rPr>
                <w:sz w:val="20"/>
                <w:szCs w:val="20"/>
                <w:color w:val="auto"/>
              </w:rPr>
            </w:pPr>
            <w:r>
              <w:rPr>
                <w:rFonts w:ascii="Arial" w:cs="Arial" w:eastAsia="Arial" w:hAnsi="Arial"/>
                <w:sz w:val="14"/>
                <w:szCs w:val="14"/>
                <w:color w:val="0E1020"/>
              </w:rPr>
              <w:t>2025</w:t>
            </w:r>
          </w:p>
        </w:tc>
        <w:tc>
          <w:tcPr>
            <w:tcW w:w="1580" w:type="dxa"/>
            <w:vAlign w:val="bottom"/>
          </w:tcPr>
          <w:p>
            <w:pPr>
              <w:jc w:val="right"/>
              <w:spacing w:after="0"/>
              <w:rPr>
                <w:sz w:val="20"/>
                <w:szCs w:val="20"/>
                <w:color w:val="auto"/>
              </w:rPr>
            </w:pPr>
            <w:r>
              <w:rPr>
                <w:rFonts w:ascii="Arial" w:cs="Arial" w:eastAsia="Arial" w:hAnsi="Arial"/>
                <w:sz w:val="14"/>
                <w:szCs w:val="14"/>
                <w:color w:val="0E1020"/>
              </w:rPr>
              <w:t>—</w:t>
            </w:r>
          </w:p>
        </w:tc>
        <w:tc>
          <w:tcPr>
            <w:tcW w:w="1620" w:type="dxa"/>
            <w:vAlign w:val="bottom"/>
          </w:tcPr>
          <w:p>
            <w:pPr>
              <w:jc w:val="right"/>
              <w:ind w:right="9"/>
              <w:spacing w:after="0"/>
              <w:rPr>
                <w:sz w:val="20"/>
                <w:szCs w:val="20"/>
                <w:color w:val="auto"/>
              </w:rPr>
            </w:pPr>
            <w:r>
              <w:rPr>
                <w:rFonts w:ascii="Arial" w:cs="Arial" w:eastAsia="Arial" w:hAnsi="Arial"/>
                <w:sz w:val="14"/>
                <w:szCs w:val="14"/>
                <w:color w:val="0E1020"/>
              </w:rPr>
              <w:t>—</w:t>
            </w:r>
          </w:p>
        </w:tc>
        <w:tc>
          <w:tcPr>
            <w:tcW w:w="1600" w:type="dxa"/>
            <w:vAlign w:val="bottom"/>
          </w:tcPr>
          <w:p>
            <w:pPr>
              <w:jc w:val="right"/>
              <w:ind w:right="29"/>
              <w:spacing w:after="0"/>
              <w:rPr>
                <w:sz w:val="20"/>
                <w:szCs w:val="20"/>
                <w:color w:val="auto"/>
              </w:rPr>
            </w:pPr>
            <w:r>
              <w:rPr>
                <w:rFonts w:ascii="Arial" w:cs="Arial" w:eastAsia="Arial" w:hAnsi="Arial"/>
                <w:sz w:val="14"/>
                <w:szCs w:val="14"/>
                <w:color w:val="0E1020"/>
              </w:rPr>
              <w:t>—</w:t>
            </w:r>
          </w:p>
        </w:tc>
        <w:tc>
          <w:tcPr>
            <w:tcW w:w="1560" w:type="dxa"/>
            <w:vAlign w:val="bottom"/>
          </w:tcPr>
          <w:p>
            <w:pPr>
              <w:jc w:val="right"/>
              <w:spacing w:after="0"/>
              <w:rPr>
                <w:sz w:val="20"/>
                <w:szCs w:val="20"/>
                <w:color w:val="auto"/>
              </w:rPr>
            </w:pPr>
            <w:r>
              <w:rPr>
                <w:rFonts w:ascii="Arial" w:cs="Arial" w:eastAsia="Arial" w:hAnsi="Arial"/>
                <w:sz w:val="14"/>
                <w:szCs w:val="14"/>
                <w:color w:val="0E1020"/>
              </w:rPr>
              <w:t>—</w:t>
            </w:r>
          </w:p>
        </w:tc>
        <w:tc>
          <w:tcPr>
            <w:tcW w:w="1680" w:type="dxa"/>
            <w:vAlign w:val="bottom"/>
          </w:tcPr>
          <w:p>
            <w:pPr>
              <w:jc w:val="right"/>
              <w:ind w:right="89"/>
              <w:spacing w:after="0"/>
              <w:rPr>
                <w:sz w:val="20"/>
                <w:szCs w:val="20"/>
                <w:color w:val="auto"/>
              </w:rPr>
            </w:pPr>
            <w:r>
              <w:rPr>
                <w:rFonts w:ascii="Arial" w:cs="Arial" w:eastAsia="Arial" w:hAnsi="Arial"/>
                <w:sz w:val="14"/>
                <w:szCs w:val="14"/>
                <w:color w:val="0E1020"/>
              </w:rPr>
              <w:t>—</w:t>
            </w:r>
          </w:p>
        </w:tc>
        <w:tc>
          <w:tcPr>
            <w:tcW w:w="2100" w:type="dxa"/>
            <w:vAlign w:val="bottom"/>
            <w:gridSpan w:val="2"/>
          </w:tcPr>
          <w:p>
            <w:pPr>
              <w:jc w:val="right"/>
              <w:ind w:right="660"/>
              <w:spacing w:after="0"/>
              <w:rPr>
                <w:sz w:val="20"/>
                <w:szCs w:val="20"/>
                <w:color w:val="auto"/>
              </w:rPr>
            </w:pPr>
            <w:r>
              <w:rPr>
                <w:rFonts w:ascii="Arial" w:cs="Arial" w:eastAsia="Arial" w:hAnsi="Arial"/>
                <w:sz w:val="14"/>
                <w:szCs w:val="14"/>
                <w:color w:val="0E1020"/>
              </w:rPr>
              <w:t>—</w:t>
            </w:r>
          </w:p>
        </w:tc>
      </w:tr>
      <w:tr>
        <w:trPr>
          <w:trHeight w:val="21"/>
        </w:trPr>
        <w:tc>
          <w:tcPr>
            <w:tcW w:w="320" w:type="dxa"/>
            <w:vAlign w:val="bottom"/>
          </w:tcPr>
          <w:p>
            <w:pPr>
              <w:spacing w:after="0" w:line="20" w:lineRule="exact"/>
              <w:rPr>
                <w:sz w:val="1"/>
                <w:szCs w:val="1"/>
                <w:color w:val="auto"/>
              </w:rPr>
            </w:pPr>
          </w:p>
        </w:tc>
        <w:tc>
          <w:tcPr>
            <w:tcW w:w="780" w:type="dxa"/>
            <w:vAlign w:val="bottom"/>
            <w:tcBorders>
              <w:bottom w:val="single" w:sz="8" w:color="CFCFD2"/>
            </w:tcBorders>
          </w:tcPr>
          <w:p>
            <w:pPr>
              <w:spacing w:after="0" w:line="20" w:lineRule="exact"/>
              <w:rPr>
                <w:sz w:val="1"/>
                <w:szCs w:val="1"/>
                <w:color w:val="auto"/>
              </w:rPr>
            </w:pPr>
          </w:p>
        </w:tc>
        <w:tc>
          <w:tcPr>
            <w:tcW w:w="1580" w:type="dxa"/>
            <w:vAlign w:val="bottom"/>
            <w:tcBorders>
              <w:bottom w:val="single" w:sz="8" w:color="CFCFD2"/>
            </w:tcBorders>
          </w:tcPr>
          <w:p>
            <w:pPr>
              <w:spacing w:after="0" w:line="20" w:lineRule="exact"/>
              <w:rPr>
                <w:sz w:val="1"/>
                <w:szCs w:val="1"/>
                <w:color w:val="auto"/>
              </w:rPr>
            </w:pPr>
          </w:p>
        </w:tc>
        <w:tc>
          <w:tcPr>
            <w:tcW w:w="1620" w:type="dxa"/>
            <w:vAlign w:val="bottom"/>
            <w:tcBorders>
              <w:bottom w:val="single" w:sz="8" w:color="CFCFD2"/>
            </w:tcBorders>
          </w:tcPr>
          <w:p>
            <w:pPr>
              <w:spacing w:after="0" w:line="20" w:lineRule="exact"/>
              <w:rPr>
                <w:sz w:val="1"/>
                <w:szCs w:val="1"/>
                <w:color w:val="auto"/>
              </w:rPr>
            </w:pPr>
          </w:p>
        </w:tc>
        <w:tc>
          <w:tcPr>
            <w:tcW w:w="1600" w:type="dxa"/>
            <w:vAlign w:val="bottom"/>
            <w:tcBorders>
              <w:bottom w:val="single" w:sz="8" w:color="CFCFD2"/>
            </w:tcBorders>
          </w:tcPr>
          <w:p>
            <w:pPr>
              <w:spacing w:after="0" w:line="20" w:lineRule="exact"/>
              <w:rPr>
                <w:sz w:val="1"/>
                <w:szCs w:val="1"/>
                <w:color w:val="auto"/>
              </w:rPr>
            </w:pPr>
          </w:p>
        </w:tc>
        <w:tc>
          <w:tcPr>
            <w:tcW w:w="1560" w:type="dxa"/>
            <w:vAlign w:val="bottom"/>
            <w:tcBorders>
              <w:bottom w:val="single" w:sz="8" w:color="CFCFD2"/>
            </w:tcBorders>
          </w:tcPr>
          <w:p>
            <w:pPr>
              <w:spacing w:after="0" w:line="20" w:lineRule="exact"/>
              <w:rPr>
                <w:sz w:val="1"/>
                <w:szCs w:val="1"/>
                <w:color w:val="auto"/>
              </w:rPr>
            </w:pPr>
          </w:p>
        </w:tc>
        <w:tc>
          <w:tcPr>
            <w:tcW w:w="1680" w:type="dxa"/>
            <w:vAlign w:val="bottom"/>
            <w:tcBorders>
              <w:bottom w:val="single" w:sz="8" w:color="CFCFD2"/>
            </w:tcBorders>
          </w:tcPr>
          <w:p>
            <w:pPr>
              <w:spacing w:after="0" w:line="20" w:lineRule="exact"/>
              <w:rPr>
                <w:sz w:val="1"/>
                <w:szCs w:val="1"/>
                <w:color w:val="auto"/>
              </w:rPr>
            </w:pPr>
          </w:p>
        </w:tc>
        <w:tc>
          <w:tcPr>
            <w:tcW w:w="1640" w:type="dxa"/>
            <w:vAlign w:val="bottom"/>
            <w:tcBorders>
              <w:bottom w:val="single" w:sz="8" w:color="CFCFD2"/>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0"/>
        </w:trPr>
        <w:tc>
          <w:tcPr>
            <w:tcW w:w="1100" w:type="dxa"/>
            <w:vAlign w:val="bottom"/>
            <w:gridSpan w:val="2"/>
          </w:tcPr>
          <w:p>
            <w:pPr>
              <w:ind w:left="420"/>
              <w:spacing w:after="0"/>
              <w:rPr>
                <w:sz w:val="20"/>
                <w:szCs w:val="20"/>
                <w:color w:val="auto"/>
              </w:rPr>
            </w:pPr>
            <w:r>
              <w:rPr>
                <w:rFonts w:ascii="Arial" w:cs="Arial" w:eastAsia="Arial" w:hAnsi="Arial"/>
                <w:sz w:val="14"/>
                <w:szCs w:val="14"/>
                <w:color w:val="0E1020"/>
              </w:rPr>
              <w:t>2024</w:t>
            </w:r>
          </w:p>
        </w:tc>
        <w:tc>
          <w:tcPr>
            <w:tcW w:w="1580" w:type="dxa"/>
            <w:vAlign w:val="bottom"/>
          </w:tcPr>
          <w:p>
            <w:pPr>
              <w:jc w:val="right"/>
              <w:spacing w:after="0"/>
              <w:rPr>
                <w:sz w:val="20"/>
                <w:szCs w:val="20"/>
                <w:color w:val="auto"/>
              </w:rPr>
            </w:pPr>
            <w:r>
              <w:rPr>
                <w:rFonts w:ascii="Arial" w:cs="Arial" w:eastAsia="Arial" w:hAnsi="Arial"/>
                <w:sz w:val="14"/>
                <w:szCs w:val="14"/>
                <w:color w:val="0E1020"/>
              </w:rPr>
              <w:t>11,974,254</w:t>
            </w:r>
          </w:p>
        </w:tc>
        <w:tc>
          <w:tcPr>
            <w:tcW w:w="1620" w:type="dxa"/>
            <w:vAlign w:val="bottom"/>
          </w:tcPr>
          <w:p>
            <w:pPr>
              <w:jc w:val="right"/>
              <w:spacing w:after="0"/>
              <w:rPr>
                <w:sz w:val="20"/>
                <w:szCs w:val="20"/>
                <w:color w:val="auto"/>
              </w:rPr>
            </w:pPr>
            <w:r>
              <w:rPr>
                <w:rFonts w:ascii="Arial" w:cs="Arial" w:eastAsia="Arial" w:hAnsi="Arial"/>
                <w:sz w:val="14"/>
                <w:szCs w:val="14"/>
                <w:color w:val="0E1020"/>
              </w:rPr>
              <w:t>(6,812,432)</w:t>
            </w:r>
          </w:p>
        </w:tc>
        <w:tc>
          <w:tcPr>
            <w:tcW w:w="1600" w:type="dxa"/>
            <w:vAlign w:val="bottom"/>
          </w:tcPr>
          <w:p>
            <w:pPr>
              <w:jc w:val="right"/>
              <w:ind w:right="29"/>
              <w:spacing w:after="0"/>
              <w:rPr>
                <w:sz w:val="20"/>
                <w:szCs w:val="20"/>
                <w:color w:val="auto"/>
              </w:rPr>
            </w:pPr>
            <w:r>
              <w:rPr>
                <w:rFonts w:ascii="Arial" w:cs="Arial" w:eastAsia="Arial" w:hAnsi="Arial"/>
                <w:sz w:val="14"/>
                <w:szCs w:val="14"/>
                <w:color w:val="0E1020"/>
              </w:rPr>
              <w:t>—</w:t>
            </w:r>
          </w:p>
        </w:tc>
        <w:tc>
          <w:tcPr>
            <w:tcW w:w="1560" w:type="dxa"/>
            <w:vAlign w:val="bottom"/>
          </w:tcPr>
          <w:p>
            <w:pPr>
              <w:jc w:val="right"/>
              <w:spacing w:after="0"/>
              <w:rPr>
                <w:sz w:val="20"/>
                <w:szCs w:val="20"/>
                <w:color w:val="auto"/>
              </w:rPr>
            </w:pPr>
            <w:r>
              <w:rPr>
                <w:rFonts w:ascii="Arial" w:cs="Arial" w:eastAsia="Arial" w:hAnsi="Arial"/>
                <w:sz w:val="14"/>
                <w:szCs w:val="14"/>
                <w:color w:val="0E1020"/>
              </w:rPr>
              <w:t>(459,715)</w:t>
            </w:r>
          </w:p>
        </w:tc>
        <w:tc>
          <w:tcPr>
            <w:tcW w:w="1680" w:type="dxa"/>
            <w:vAlign w:val="bottom"/>
          </w:tcPr>
          <w:p>
            <w:pPr>
              <w:jc w:val="right"/>
              <w:ind w:right="89"/>
              <w:spacing w:after="0"/>
              <w:rPr>
                <w:sz w:val="20"/>
                <w:szCs w:val="20"/>
                <w:color w:val="auto"/>
              </w:rPr>
            </w:pPr>
            <w:r>
              <w:rPr>
                <w:rFonts w:ascii="Arial" w:cs="Arial" w:eastAsia="Arial" w:hAnsi="Arial"/>
                <w:sz w:val="14"/>
                <w:szCs w:val="14"/>
                <w:color w:val="0E1020"/>
              </w:rPr>
              <w:t>—</w:t>
            </w:r>
          </w:p>
        </w:tc>
        <w:tc>
          <w:tcPr>
            <w:tcW w:w="1640" w:type="dxa"/>
            <w:vAlign w:val="bottom"/>
          </w:tcPr>
          <w:p>
            <w:pPr>
              <w:jc w:val="right"/>
              <w:ind w:right="129"/>
              <w:spacing w:after="0"/>
              <w:rPr>
                <w:sz w:val="20"/>
                <w:szCs w:val="20"/>
                <w:color w:val="auto"/>
              </w:rPr>
            </w:pPr>
            <w:r>
              <w:rPr>
                <w:rFonts w:ascii="Arial" w:cs="Arial" w:eastAsia="Arial" w:hAnsi="Arial"/>
                <w:sz w:val="14"/>
                <w:szCs w:val="14"/>
                <w:color w:val="0E1020"/>
              </w:rPr>
              <w:t>4,702,107</w:t>
            </w:r>
          </w:p>
        </w:tc>
        <w:tc>
          <w:tcPr>
            <w:tcW w:w="460" w:type="dxa"/>
            <w:vAlign w:val="bottom"/>
          </w:tcPr>
          <w:p>
            <w:pPr>
              <w:spacing w:after="0"/>
              <w:rPr>
                <w:sz w:val="17"/>
                <w:szCs w:val="17"/>
                <w:color w:val="auto"/>
              </w:rPr>
            </w:pPr>
          </w:p>
        </w:tc>
      </w:tr>
      <w:tr>
        <w:trPr>
          <w:trHeight w:val="21"/>
        </w:trPr>
        <w:tc>
          <w:tcPr>
            <w:tcW w:w="320" w:type="dxa"/>
            <w:vAlign w:val="bottom"/>
          </w:tcPr>
          <w:p>
            <w:pPr>
              <w:spacing w:after="0" w:line="20" w:lineRule="exact"/>
              <w:rPr>
                <w:sz w:val="1"/>
                <w:szCs w:val="1"/>
                <w:color w:val="auto"/>
              </w:rPr>
            </w:pPr>
          </w:p>
        </w:tc>
        <w:tc>
          <w:tcPr>
            <w:tcW w:w="780" w:type="dxa"/>
            <w:vAlign w:val="bottom"/>
            <w:tcBorders>
              <w:bottom w:val="single" w:sz="8" w:color="CFCFD2"/>
            </w:tcBorders>
          </w:tcPr>
          <w:p>
            <w:pPr>
              <w:spacing w:after="0" w:line="20" w:lineRule="exact"/>
              <w:rPr>
                <w:sz w:val="1"/>
                <w:szCs w:val="1"/>
                <w:color w:val="auto"/>
              </w:rPr>
            </w:pPr>
          </w:p>
        </w:tc>
        <w:tc>
          <w:tcPr>
            <w:tcW w:w="1580" w:type="dxa"/>
            <w:vAlign w:val="bottom"/>
            <w:tcBorders>
              <w:bottom w:val="single" w:sz="8" w:color="CFCFD2"/>
            </w:tcBorders>
          </w:tcPr>
          <w:p>
            <w:pPr>
              <w:spacing w:after="0" w:line="20" w:lineRule="exact"/>
              <w:rPr>
                <w:sz w:val="1"/>
                <w:szCs w:val="1"/>
                <w:color w:val="auto"/>
              </w:rPr>
            </w:pPr>
          </w:p>
        </w:tc>
        <w:tc>
          <w:tcPr>
            <w:tcW w:w="1620" w:type="dxa"/>
            <w:vAlign w:val="bottom"/>
            <w:tcBorders>
              <w:bottom w:val="single" w:sz="8" w:color="CFCFD2"/>
            </w:tcBorders>
          </w:tcPr>
          <w:p>
            <w:pPr>
              <w:spacing w:after="0" w:line="20" w:lineRule="exact"/>
              <w:rPr>
                <w:sz w:val="1"/>
                <w:szCs w:val="1"/>
                <w:color w:val="auto"/>
              </w:rPr>
            </w:pPr>
          </w:p>
        </w:tc>
        <w:tc>
          <w:tcPr>
            <w:tcW w:w="1600" w:type="dxa"/>
            <w:vAlign w:val="bottom"/>
            <w:tcBorders>
              <w:bottom w:val="single" w:sz="8" w:color="CFCFD2"/>
            </w:tcBorders>
          </w:tcPr>
          <w:p>
            <w:pPr>
              <w:spacing w:after="0" w:line="20" w:lineRule="exact"/>
              <w:rPr>
                <w:sz w:val="1"/>
                <w:szCs w:val="1"/>
                <w:color w:val="auto"/>
              </w:rPr>
            </w:pPr>
          </w:p>
        </w:tc>
        <w:tc>
          <w:tcPr>
            <w:tcW w:w="1560" w:type="dxa"/>
            <w:vAlign w:val="bottom"/>
            <w:tcBorders>
              <w:bottom w:val="single" w:sz="8" w:color="CFCFD2"/>
            </w:tcBorders>
          </w:tcPr>
          <w:p>
            <w:pPr>
              <w:spacing w:after="0" w:line="20" w:lineRule="exact"/>
              <w:rPr>
                <w:sz w:val="1"/>
                <w:szCs w:val="1"/>
                <w:color w:val="auto"/>
              </w:rPr>
            </w:pPr>
          </w:p>
        </w:tc>
        <w:tc>
          <w:tcPr>
            <w:tcW w:w="1680" w:type="dxa"/>
            <w:vAlign w:val="bottom"/>
            <w:tcBorders>
              <w:bottom w:val="single" w:sz="8" w:color="CFCFD2"/>
            </w:tcBorders>
          </w:tcPr>
          <w:p>
            <w:pPr>
              <w:spacing w:after="0" w:line="20" w:lineRule="exact"/>
              <w:rPr>
                <w:sz w:val="1"/>
                <w:szCs w:val="1"/>
                <w:color w:val="auto"/>
              </w:rPr>
            </w:pPr>
          </w:p>
        </w:tc>
        <w:tc>
          <w:tcPr>
            <w:tcW w:w="1640" w:type="dxa"/>
            <w:vAlign w:val="bottom"/>
            <w:tcBorders>
              <w:bottom w:val="single" w:sz="8" w:color="CFCFD2"/>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0"/>
        </w:trPr>
        <w:tc>
          <w:tcPr>
            <w:tcW w:w="1100" w:type="dxa"/>
            <w:vAlign w:val="bottom"/>
            <w:gridSpan w:val="2"/>
          </w:tcPr>
          <w:p>
            <w:pPr>
              <w:ind w:left="420"/>
              <w:spacing w:after="0"/>
              <w:rPr>
                <w:sz w:val="20"/>
                <w:szCs w:val="20"/>
                <w:color w:val="auto"/>
              </w:rPr>
            </w:pPr>
            <w:r>
              <w:rPr>
                <w:rFonts w:ascii="Arial" w:cs="Arial" w:eastAsia="Arial" w:hAnsi="Arial"/>
                <w:sz w:val="14"/>
                <w:szCs w:val="14"/>
                <w:color w:val="0E1020"/>
              </w:rPr>
              <w:t>2023</w:t>
            </w:r>
          </w:p>
        </w:tc>
        <w:tc>
          <w:tcPr>
            <w:tcW w:w="1580" w:type="dxa"/>
            <w:vAlign w:val="bottom"/>
          </w:tcPr>
          <w:p>
            <w:pPr>
              <w:jc w:val="right"/>
              <w:spacing w:after="0"/>
              <w:rPr>
                <w:sz w:val="20"/>
                <w:szCs w:val="20"/>
                <w:color w:val="auto"/>
              </w:rPr>
            </w:pPr>
            <w:r>
              <w:rPr>
                <w:rFonts w:ascii="Arial" w:cs="Arial" w:eastAsia="Arial" w:hAnsi="Arial"/>
                <w:sz w:val="14"/>
                <w:szCs w:val="14"/>
                <w:color w:val="0E1020"/>
              </w:rPr>
              <w:t>10,916,402</w:t>
            </w:r>
          </w:p>
        </w:tc>
        <w:tc>
          <w:tcPr>
            <w:tcW w:w="1620" w:type="dxa"/>
            <w:vAlign w:val="bottom"/>
          </w:tcPr>
          <w:p>
            <w:pPr>
              <w:jc w:val="right"/>
              <w:spacing w:after="0"/>
              <w:rPr>
                <w:sz w:val="20"/>
                <w:szCs w:val="20"/>
                <w:color w:val="auto"/>
              </w:rPr>
            </w:pPr>
            <w:r>
              <w:rPr>
                <w:rFonts w:ascii="Arial" w:cs="Arial" w:eastAsia="Arial" w:hAnsi="Arial"/>
                <w:sz w:val="14"/>
                <w:szCs w:val="14"/>
                <w:color w:val="0E1020"/>
              </w:rPr>
              <w:t>(15,247,425)</w:t>
            </w:r>
          </w:p>
        </w:tc>
        <w:tc>
          <w:tcPr>
            <w:tcW w:w="1600" w:type="dxa"/>
            <w:vAlign w:val="bottom"/>
          </w:tcPr>
          <w:p>
            <w:pPr>
              <w:jc w:val="right"/>
              <w:ind w:right="29"/>
              <w:spacing w:after="0"/>
              <w:rPr>
                <w:sz w:val="20"/>
                <w:szCs w:val="20"/>
                <w:color w:val="auto"/>
              </w:rPr>
            </w:pPr>
            <w:r>
              <w:rPr>
                <w:rFonts w:ascii="Arial" w:cs="Arial" w:eastAsia="Arial" w:hAnsi="Arial"/>
                <w:sz w:val="14"/>
                <w:szCs w:val="14"/>
                <w:color w:val="0E1020"/>
              </w:rPr>
              <w:t>—</w:t>
            </w:r>
          </w:p>
        </w:tc>
        <w:tc>
          <w:tcPr>
            <w:tcW w:w="1560" w:type="dxa"/>
            <w:vAlign w:val="bottom"/>
          </w:tcPr>
          <w:p>
            <w:pPr>
              <w:jc w:val="right"/>
              <w:spacing w:after="0"/>
              <w:rPr>
                <w:sz w:val="20"/>
                <w:szCs w:val="20"/>
                <w:color w:val="auto"/>
              </w:rPr>
            </w:pPr>
            <w:r>
              <w:rPr>
                <w:rFonts w:ascii="Arial" w:cs="Arial" w:eastAsia="Arial" w:hAnsi="Arial"/>
                <w:sz w:val="14"/>
                <w:szCs w:val="14"/>
                <w:color w:val="0E1020"/>
              </w:rPr>
              <w:t>102,458</w:t>
            </w:r>
          </w:p>
        </w:tc>
        <w:tc>
          <w:tcPr>
            <w:tcW w:w="1680" w:type="dxa"/>
            <w:vAlign w:val="bottom"/>
          </w:tcPr>
          <w:p>
            <w:pPr>
              <w:jc w:val="right"/>
              <w:ind w:right="89"/>
              <w:spacing w:after="0"/>
              <w:rPr>
                <w:sz w:val="20"/>
                <w:szCs w:val="20"/>
                <w:color w:val="auto"/>
              </w:rPr>
            </w:pPr>
            <w:r>
              <w:rPr>
                <w:rFonts w:ascii="Arial" w:cs="Arial" w:eastAsia="Arial" w:hAnsi="Arial"/>
                <w:sz w:val="14"/>
                <w:szCs w:val="14"/>
                <w:color w:val="0E1020"/>
              </w:rPr>
              <w:t>25,215</w:t>
            </w:r>
          </w:p>
        </w:tc>
        <w:tc>
          <w:tcPr>
            <w:tcW w:w="1640" w:type="dxa"/>
            <w:vAlign w:val="bottom"/>
          </w:tcPr>
          <w:p>
            <w:pPr>
              <w:jc w:val="right"/>
              <w:ind w:right="89"/>
              <w:spacing w:after="0"/>
              <w:rPr>
                <w:sz w:val="20"/>
                <w:szCs w:val="20"/>
                <w:color w:val="auto"/>
              </w:rPr>
            </w:pPr>
            <w:r>
              <w:rPr>
                <w:rFonts w:ascii="Arial" w:cs="Arial" w:eastAsia="Arial" w:hAnsi="Arial"/>
                <w:sz w:val="14"/>
                <w:szCs w:val="14"/>
                <w:color w:val="0E1020"/>
              </w:rPr>
              <w:t>(4,203,350)</w:t>
            </w:r>
          </w:p>
        </w:tc>
        <w:tc>
          <w:tcPr>
            <w:tcW w:w="460" w:type="dxa"/>
            <w:vAlign w:val="bottom"/>
          </w:tcPr>
          <w:p>
            <w:pPr>
              <w:spacing w:after="0"/>
              <w:rPr>
                <w:sz w:val="17"/>
                <w:szCs w:val="17"/>
                <w:color w:val="auto"/>
              </w:rPr>
            </w:pPr>
          </w:p>
        </w:tc>
      </w:tr>
      <w:tr>
        <w:trPr>
          <w:trHeight w:val="21"/>
        </w:trPr>
        <w:tc>
          <w:tcPr>
            <w:tcW w:w="320" w:type="dxa"/>
            <w:vAlign w:val="bottom"/>
          </w:tcPr>
          <w:p>
            <w:pPr>
              <w:spacing w:after="0" w:line="20" w:lineRule="exact"/>
              <w:rPr>
                <w:sz w:val="1"/>
                <w:szCs w:val="1"/>
                <w:color w:val="auto"/>
              </w:rPr>
            </w:pPr>
          </w:p>
        </w:tc>
        <w:tc>
          <w:tcPr>
            <w:tcW w:w="780" w:type="dxa"/>
            <w:vAlign w:val="bottom"/>
            <w:tcBorders>
              <w:bottom w:val="single" w:sz="8" w:color="CFCFD2"/>
            </w:tcBorders>
          </w:tcPr>
          <w:p>
            <w:pPr>
              <w:spacing w:after="0" w:line="20" w:lineRule="exact"/>
              <w:rPr>
                <w:sz w:val="1"/>
                <w:szCs w:val="1"/>
                <w:color w:val="auto"/>
              </w:rPr>
            </w:pPr>
          </w:p>
        </w:tc>
        <w:tc>
          <w:tcPr>
            <w:tcW w:w="1580" w:type="dxa"/>
            <w:vAlign w:val="bottom"/>
            <w:tcBorders>
              <w:bottom w:val="single" w:sz="8" w:color="CFCFD2"/>
            </w:tcBorders>
          </w:tcPr>
          <w:p>
            <w:pPr>
              <w:spacing w:after="0" w:line="20" w:lineRule="exact"/>
              <w:rPr>
                <w:sz w:val="1"/>
                <w:szCs w:val="1"/>
                <w:color w:val="auto"/>
              </w:rPr>
            </w:pPr>
          </w:p>
        </w:tc>
        <w:tc>
          <w:tcPr>
            <w:tcW w:w="1620" w:type="dxa"/>
            <w:vAlign w:val="bottom"/>
            <w:tcBorders>
              <w:bottom w:val="single" w:sz="8" w:color="CFCFD2"/>
            </w:tcBorders>
          </w:tcPr>
          <w:p>
            <w:pPr>
              <w:spacing w:after="0" w:line="20" w:lineRule="exact"/>
              <w:rPr>
                <w:sz w:val="1"/>
                <w:szCs w:val="1"/>
                <w:color w:val="auto"/>
              </w:rPr>
            </w:pPr>
          </w:p>
        </w:tc>
        <w:tc>
          <w:tcPr>
            <w:tcW w:w="1600" w:type="dxa"/>
            <w:vAlign w:val="bottom"/>
            <w:tcBorders>
              <w:bottom w:val="single" w:sz="8" w:color="CFCFD2"/>
            </w:tcBorders>
          </w:tcPr>
          <w:p>
            <w:pPr>
              <w:spacing w:after="0" w:line="20" w:lineRule="exact"/>
              <w:rPr>
                <w:sz w:val="1"/>
                <w:szCs w:val="1"/>
                <w:color w:val="auto"/>
              </w:rPr>
            </w:pPr>
          </w:p>
        </w:tc>
        <w:tc>
          <w:tcPr>
            <w:tcW w:w="1560" w:type="dxa"/>
            <w:vAlign w:val="bottom"/>
            <w:tcBorders>
              <w:bottom w:val="single" w:sz="8" w:color="CFCFD2"/>
            </w:tcBorders>
          </w:tcPr>
          <w:p>
            <w:pPr>
              <w:spacing w:after="0" w:line="20" w:lineRule="exact"/>
              <w:rPr>
                <w:sz w:val="1"/>
                <w:szCs w:val="1"/>
                <w:color w:val="auto"/>
              </w:rPr>
            </w:pPr>
          </w:p>
        </w:tc>
        <w:tc>
          <w:tcPr>
            <w:tcW w:w="1680" w:type="dxa"/>
            <w:vAlign w:val="bottom"/>
            <w:tcBorders>
              <w:bottom w:val="single" w:sz="8" w:color="CFCFD2"/>
            </w:tcBorders>
          </w:tcPr>
          <w:p>
            <w:pPr>
              <w:spacing w:after="0" w:line="20" w:lineRule="exact"/>
              <w:rPr>
                <w:sz w:val="1"/>
                <w:szCs w:val="1"/>
                <w:color w:val="auto"/>
              </w:rPr>
            </w:pPr>
          </w:p>
        </w:tc>
        <w:tc>
          <w:tcPr>
            <w:tcW w:w="1640" w:type="dxa"/>
            <w:vAlign w:val="bottom"/>
            <w:tcBorders>
              <w:bottom w:val="single" w:sz="8" w:color="CFCFD2"/>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0"/>
        </w:trPr>
        <w:tc>
          <w:tcPr>
            <w:tcW w:w="1100" w:type="dxa"/>
            <w:vAlign w:val="bottom"/>
            <w:gridSpan w:val="2"/>
          </w:tcPr>
          <w:p>
            <w:pPr>
              <w:ind w:left="420"/>
              <w:spacing w:after="0"/>
              <w:rPr>
                <w:sz w:val="20"/>
                <w:szCs w:val="20"/>
                <w:color w:val="auto"/>
              </w:rPr>
            </w:pPr>
            <w:r>
              <w:rPr>
                <w:rFonts w:ascii="Arial" w:cs="Arial" w:eastAsia="Arial" w:hAnsi="Arial"/>
                <w:sz w:val="14"/>
                <w:szCs w:val="14"/>
                <w:color w:val="0E1020"/>
              </w:rPr>
              <w:t>2022</w:t>
            </w:r>
          </w:p>
        </w:tc>
        <w:tc>
          <w:tcPr>
            <w:tcW w:w="1580" w:type="dxa"/>
            <w:vAlign w:val="bottom"/>
          </w:tcPr>
          <w:p>
            <w:pPr>
              <w:jc w:val="right"/>
              <w:spacing w:after="0"/>
              <w:rPr>
                <w:sz w:val="20"/>
                <w:szCs w:val="20"/>
                <w:color w:val="auto"/>
              </w:rPr>
            </w:pPr>
            <w:r>
              <w:rPr>
                <w:rFonts w:ascii="Arial" w:cs="Arial" w:eastAsia="Arial" w:hAnsi="Arial"/>
                <w:sz w:val="14"/>
                <w:szCs w:val="14"/>
                <w:color w:val="0E1020"/>
              </w:rPr>
              <w:t>23,666,951</w:t>
            </w:r>
          </w:p>
        </w:tc>
        <w:tc>
          <w:tcPr>
            <w:tcW w:w="1620" w:type="dxa"/>
            <w:vAlign w:val="bottom"/>
          </w:tcPr>
          <w:p>
            <w:pPr>
              <w:jc w:val="right"/>
              <w:ind w:right="9"/>
              <w:spacing w:after="0"/>
              <w:rPr>
                <w:sz w:val="20"/>
                <w:szCs w:val="20"/>
                <w:color w:val="auto"/>
              </w:rPr>
            </w:pPr>
            <w:r>
              <w:rPr>
                <w:rFonts w:ascii="Arial" w:cs="Arial" w:eastAsia="Arial" w:hAnsi="Arial"/>
                <w:sz w:val="14"/>
                <w:szCs w:val="14"/>
                <w:color w:val="0E1020"/>
              </w:rPr>
              <w:t>3,071,643</w:t>
            </w:r>
          </w:p>
        </w:tc>
        <w:tc>
          <w:tcPr>
            <w:tcW w:w="1600" w:type="dxa"/>
            <w:vAlign w:val="bottom"/>
          </w:tcPr>
          <w:p>
            <w:pPr>
              <w:jc w:val="right"/>
              <w:ind w:right="29"/>
              <w:spacing w:after="0"/>
              <w:rPr>
                <w:sz w:val="20"/>
                <w:szCs w:val="20"/>
                <w:color w:val="auto"/>
              </w:rPr>
            </w:pPr>
            <w:r>
              <w:rPr>
                <w:rFonts w:ascii="Arial" w:cs="Arial" w:eastAsia="Arial" w:hAnsi="Arial"/>
                <w:sz w:val="14"/>
                <w:szCs w:val="14"/>
                <w:color w:val="0E1020"/>
              </w:rPr>
              <w:t>—</w:t>
            </w:r>
          </w:p>
        </w:tc>
        <w:tc>
          <w:tcPr>
            <w:tcW w:w="1560" w:type="dxa"/>
            <w:vAlign w:val="bottom"/>
          </w:tcPr>
          <w:p>
            <w:pPr>
              <w:jc w:val="right"/>
              <w:spacing w:after="0"/>
              <w:rPr>
                <w:sz w:val="20"/>
                <w:szCs w:val="20"/>
                <w:color w:val="auto"/>
              </w:rPr>
            </w:pPr>
            <w:r>
              <w:rPr>
                <w:rFonts w:ascii="Arial" w:cs="Arial" w:eastAsia="Arial" w:hAnsi="Arial"/>
                <w:sz w:val="14"/>
                <w:szCs w:val="14"/>
                <w:color w:val="0E1020"/>
              </w:rPr>
              <w:t>286,543</w:t>
            </w:r>
          </w:p>
        </w:tc>
        <w:tc>
          <w:tcPr>
            <w:tcW w:w="1680" w:type="dxa"/>
            <w:vAlign w:val="bottom"/>
          </w:tcPr>
          <w:p>
            <w:pPr>
              <w:jc w:val="right"/>
              <w:ind w:right="89"/>
              <w:spacing w:after="0"/>
              <w:rPr>
                <w:sz w:val="20"/>
                <w:szCs w:val="20"/>
                <w:color w:val="auto"/>
              </w:rPr>
            </w:pPr>
            <w:r>
              <w:rPr>
                <w:rFonts w:ascii="Arial" w:cs="Arial" w:eastAsia="Arial" w:hAnsi="Arial"/>
                <w:sz w:val="14"/>
                <w:szCs w:val="14"/>
                <w:color w:val="0E1020"/>
              </w:rPr>
              <w:t>25,216</w:t>
            </w:r>
          </w:p>
        </w:tc>
        <w:tc>
          <w:tcPr>
            <w:tcW w:w="1640" w:type="dxa"/>
            <w:vAlign w:val="bottom"/>
          </w:tcPr>
          <w:p>
            <w:pPr>
              <w:jc w:val="right"/>
              <w:ind w:right="129"/>
              <w:spacing w:after="0"/>
              <w:rPr>
                <w:sz w:val="20"/>
                <w:szCs w:val="20"/>
                <w:color w:val="auto"/>
              </w:rPr>
            </w:pPr>
            <w:r>
              <w:rPr>
                <w:rFonts w:ascii="Arial" w:cs="Arial" w:eastAsia="Arial" w:hAnsi="Arial"/>
                <w:sz w:val="14"/>
                <w:szCs w:val="14"/>
                <w:color w:val="0E1020"/>
              </w:rPr>
              <w:t>27,050,353</w:t>
            </w:r>
          </w:p>
        </w:tc>
        <w:tc>
          <w:tcPr>
            <w:tcW w:w="460" w:type="dxa"/>
            <w:vAlign w:val="bottom"/>
          </w:tcPr>
          <w:p>
            <w:pPr>
              <w:spacing w:after="0"/>
              <w:rPr>
                <w:sz w:val="17"/>
                <w:szCs w:val="17"/>
                <w:color w:val="auto"/>
              </w:rPr>
            </w:pPr>
          </w:p>
        </w:tc>
      </w:tr>
      <w:tr>
        <w:trPr>
          <w:trHeight w:val="21"/>
        </w:trPr>
        <w:tc>
          <w:tcPr>
            <w:tcW w:w="320" w:type="dxa"/>
            <w:vAlign w:val="bottom"/>
          </w:tcPr>
          <w:p>
            <w:pPr>
              <w:spacing w:after="0" w:line="20" w:lineRule="exact"/>
              <w:rPr>
                <w:sz w:val="1"/>
                <w:szCs w:val="1"/>
                <w:color w:val="auto"/>
              </w:rPr>
            </w:pPr>
          </w:p>
        </w:tc>
        <w:tc>
          <w:tcPr>
            <w:tcW w:w="2360" w:type="dxa"/>
            <w:vAlign w:val="bottom"/>
            <w:tcBorders>
              <w:bottom w:val="single" w:sz="8" w:color="CFCFD2"/>
            </w:tcBorders>
            <w:gridSpan w:val="2"/>
          </w:tcPr>
          <w:p>
            <w:pPr>
              <w:spacing w:after="0" w:line="20" w:lineRule="exact"/>
              <w:rPr>
                <w:sz w:val="1"/>
                <w:szCs w:val="1"/>
                <w:color w:val="auto"/>
              </w:rPr>
            </w:pPr>
          </w:p>
        </w:tc>
        <w:tc>
          <w:tcPr>
            <w:tcW w:w="1620" w:type="dxa"/>
            <w:vAlign w:val="bottom"/>
            <w:tcBorders>
              <w:bottom w:val="single" w:sz="8" w:color="CFCFD2"/>
            </w:tcBorders>
          </w:tcPr>
          <w:p>
            <w:pPr>
              <w:spacing w:after="0" w:line="20" w:lineRule="exact"/>
              <w:rPr>
                <w:sz w:val="1"/>
                <w:szCs w:val="1"/>
                <w:color w:val="auto"/>
              </w:rPr>
            </w:pPr>
          </w:p>
        </w:tc>
        <w:tc>
          <w:tcPr>
            <w:tcW w:w="1600" w:type="dxa"/>
            <w:vAlign w:val="bottom"/>
            <w:tcBorders>
              <w:bottom w:val="single" w:sz="8" w:color="CFCFD2"/>
            </w:tcBorders>
          </w:tcPr>
          <w:p>
            <w:pPr>
              <w:spacing w:after="0" w:line="20" w:lineRule="exact"/>
              <w:rPr>
                <w:sz w:val="1"/>
                <w:szCs w:val="1"/>
                <w:color w:val="auto"/>
              </w:rPr>
            </w:pPr>
          </w:p>
        </w:tc>
        <w:tc>
          <w:tcPr>
            <w:tcW w:w="1560" w:type="dxa"/>
            <w:vAlign w:val="bottom"/>
            <w:tcBorders>
              <w:bottom w:val="single" w:sz="8" w:color="CFCFD2"/>
            </w:tcBorders>
          </w:tcPr>
          <w:p>
            <w:pPr>
              <w:spacing w:after="0" w:line="20" w:lineRule="exact"/>
              <w:rPr>
                <w:sz w:val="1"/>
                <w:szCs w:val="1"/>
                <w:color w:val="auto"/>
              </w:rPr>
            </w:pPr>
          </w:p>
        </w:tc>
        <w:tc>
          <w:tcPr>
            <w:tcW w:w="1680" w:type="dxa"/>
            <w:vAlign w:val="bottom"/>
            <w:tcBorders>
              <w:bottom w:val="single" w:sz="8" w:color="CFCFD2"/>
            </w:tcBorders>
          </w:tcPr>
          <w:p>
            <w:pPr>
              <w:spacing w:after="0" w:line="20" w:lineRule="exact"/>
              <w:rPr>
                <w:sz w:val="1"/>
                <w:szCs w:val="1"/>
                <w:color w:val="auto"/>
              </w:rPr>
            </w:pPr>
          </w:p>
        </w:tc>
        <w:tc>
          <w:tcPr>
            <w:tcW w:w="1640" w:type="dxa"/>
            <w:vAlign w:val="bottom"/>
            <w:tcBorders>
              <w:bottom w:val="single" w:sz="8" w:color="CFCFD2"/>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938"/>
        </w:trPr>
        <w:tc>
          <w:tcPr>
            <w:tcW w:w="2680" w:type="dxa"/>
            <w:vAlign w:val="bottom"/>
            <w:gridSpan w:val="3"/>
          </w:tcPr>
          <w:p>
            <w:pPr>
              <w:jc w:val="right"/>
              <w:ind w:right="1169"/>
              <w:spacing w:after="0"/>
              <w:rPr>
                <w:sz w:val="20"/>
                <w:szCs w:val="20"/>
                <w:color w:val="auto"/>
              </w:rPr>
            </w:pPr>
            <w:r>
              <w:rPr>
                <w:rFonts w:ascii="Arial" w:cs="Arial" w:eastAsia="Arial" w:hAnsi="Arial"/>
                <w:sz w:val="14"/>
                <w:szCs w:val="14"/>
                <w:color w:val="0E1020"/>
              </w:rPr>
              <w:t>2026 Proxy Statement</w:t>
            </w:r>
          </w:p>
        </w:tc>
        <w:tc>
          <w:tcPr>
            <w:tcW w:w="1620" w:type="dxa"/>
            <w:vAlign w:val="bottom"/>
          </w:tcPr>
          <w:p>
            <w:pPr>
              <w:spacing w:after="0"/>
              <w:rPr>
                <w:sz w:val="24"/>
                <w:szCs w:val="24"/>
                <w:color w:val="auto"/>
              </w:rPr>
            </w:pPr>
          </w:p>
        </w:tc>
        <w:tc>
          <w:tcPr>
            <w:tcW w:w="1600" w:type="dxa"/>
            <w:vAlign w:val="bottom"/>
          </w:tcPr>
          <w:p>
            <w:pPr>
              <w:jc w:val="right"/>
              <w:ind w:right="89"/>
              <w:spacing w:after="0"/>
              <w:rPr>
                <w:sz w:val="20"/>
                <w:szCs w:val="20"/>
                <w:color w:val="auto"/>
              </w:rPr>
            </w:pPr>
            <w:r>
              <w:rPr>
                <w:rFonts w:ascii="Arial" w:cs="Arial" w:eastAsia="Arial" w:hAnsi="Arial"/>
                <w:sz w:val="14"/>
                <w:szCs w:val="14"/>
                <w:color w:val="0E1020"/>
              </w:rPr>
              <w:t>100</w:t>
            </w:r>
          </w:p>
        </w:tc>
        <w:tc>
          <w:tcPr>
            <w:tcW w:w="1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00" w:type="dxa"/>
            <w:vAlign w:val="bottom"/>
            <w:gridSpan w:val="2"/>
          </w:tcPr>
          <w:p>
            <w:pPr>
              <w:ind w:left="360"/>
              <w:spacing w:after="0"/>
              <w:rPr>
                <w:sz w:val="20"/>
                <w:szCs w:val="20"/>
                <w:color w:val="auto"/>
              </w:rPr>
            </w:pPr>
            <w:r>
              <w:rPr>
                <w:rFonts w:ascii="Arial" w:cs="Arial" w:eastAsia="Arial" w:hAnsi="Arial"/>
                <w:sz w:val="14"/>
                <w:szCs w:val="14"/>
                <w:color w:val="0E1020"/>
              </w:rPr>
              <w:t>DXC Technology Company</w:t>
            </w:r>
          </w:p>
        </w:tc>
      </w:tr>
      <w:tr>
        <w:trPr>
          <w:trHeight w:val="216"/>
        </w:trPr>
        <w:tc>
          <w:tcPr>
            <w:tcW w:w="3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68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08" w:name="page109"/>
    <w:bookmarkEnd w:id="108"/>
    <w:tbl>
      <w:tblPr>
        <w:tblLayout w:type="fixed"/>
        <w:tblInd w:w="20" w:type="dxa"/>
        <w:tblCellMar>
          <w:top w:w="0" w:type="dxa"/>
          <w:left w:w="0" w:type="dxa"/>
          <w:bottom w:w="0" w:type="dxa"/>
          <w:right w:w="0" w:type="dxa"/>
        </w:tblCellMar>
      </w:tblPr>
      <w:tr>
        <w:trPr>
          <w:trHeight w:val="161"/>
        </w:trPr>
        <w:tc>
          <w:tcPr>
            <w:tcW w:w="1240" w:type="dxa"/>
            <w:vAlign w:val="bottom"/>
            <w:gridSpan w:val="3"/>
          </w:tcPr>
          <w:p>
            <w:pPr>
              <w:spacing w:after="0"/>
              <w:rPr>
                <w:sz w:val="20"/>
                <w:szCs w:val="20"/>
                <w:color w:val="auto"/>
              </w:rPr>
            </w:pPr>
            <w:r>
              <w:rPr>
                <w:rFonts w:ascii="Arial" w:cs="Arial" w:eastAsia="Arial" w:hAnsi="Arial"/>
                <w:sz w:val="14"/>
                <w:szCs w:val="14"/>
                <w:color w:val="0000FF"/>
              </w:rPr>
              <w:t>Table of Contents</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40" w:type="dxa"/>
            <w:vAlign w:val="bottom"/>
            <w:gridSpan w:val="2"/>
          </w:tcPr>
          <w:p>
            <w:pPr>
              <w:ind w:left="120"/>
              <w:spacing w:after="0"/>
              <w:rPr>
                <w:sz w:val="20"/>
                <w:szCs w:val="20"/>
                <w:color w:val="auto"/>
              </w:rPr>
            </w:pPr>
            <w:r>
              <w:rPr>
                <w:rFonts w:ascii="Arial" w:cs="Arial" w:eastAsia="Arial" w:hAnsi="Arial"/>
                <w:sz w:val="14"/>
                <w:szCs w:val="14"/>
                <w:color w:val="0E1020"/>
                <w:w w:val="99"/>
              </w:rPr>
              <w:t>Executive Compensation Tables</w:t>
            </w:r>
          </w:p>
        </w:tc>
        <w:tc>
          <w:tcPr>
            <w:tcW w:w="0" w:type="dxa"/>
            <w:vAlign w:val="bottom"/>
          </w:tcPr>
          <w:p>
            <w:pPr>
              <w:spacing w:after="0"/>
              <w:rPr>
                <w:sz w:val="1"/>
                <w:szCs w:val="1"/>
                <w:color w:val="auto"/>
              </w:rPr>
            </w:pPr>
          </w:p>
        </w:tc>
      </w:tr>
      <w:tr>
        <w:trPr>
          <w:trHeight w:val="570"/>
        </w:trPr>
        <w:tc>
          <w:tcPr>
            <w:tcW w:w="46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60" w:type="dxa"/>
            <w:vAlign w:val="bottom"/>
          </w:tcPr>
          <w:p>
            <w:pPr>
              <w:spacing w:after="0"/>
              <w:rPr>
                <w:sz w:val="21"/>
                <w:szCs w:val="21"/>
                <w:color w:val="auto"/>
              </w:rPr>
            </w:pPr>
          </w:p>
        </w:tc>
        <w:tc>
          <w:tcPr>
            <w:tcW w:w="660" w:type="dxa"/>
            <w:vAlign w:val="bottom"/>
            <w:shd w:val="clear" w:color="auto" w:fill="F6F3F0"/>
          </w:tcPr>
          <w:p>
            <w:pPr>
              <w:spacing w:after="0"/>
              <w:rPr>
                <w:sz w:val="21"/>
                <w:szCs w:val="21"/>
                <w:color w:val="auto"/>
              </w:rPr>
            </w:pPr>
          </w:p>
        </w:tc>
        <w:tc>
          <w:tcPr>
            <w:tcW w:w="120" w:type="dxa"/>
            <w:vAlign w:val="bottom"/>
            <w:shd w:val="clear" w:color="auto" w:fill="F6F3F0"/>
          </w:tcPr>
          <w:p>
            <w:pPr>
              <w:spacing w:after="0"/>
              <w:rPr>
                <w:sz w:val="21"/>
                <w:szCs w:val="21"/>
                <w:color w:val="auto"/>
              </w:rPr>
            </w:pPr>
          </w:p>
        </w:tc>
        <w:tc>
          <w:tcPr>
            <w:tcW w:w="16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Average Year</w:t>
            </w:r>
          </w:p>
        </w:tc>
        <w:tc>
          <w:tcPr>
            <w:tcW w:w="1620" w:type="dxa"/>
            <w:vAlign w:val="bottom"/>
            <w:shd w:val="clear" w:color="auto" w:fill="F6F3F0"/>
          </w:tcPr>
          <w:p>
            <w:pPr>
              <w:spacing w:after="0"/>
              <w:rPr>
                <w:sz w:val="21"/>
                <w:szCs w:val="21"/>
                <w:color w:val="auto"/>
              </w:rPr>
            </w:pPr>
          </w:p>
        </w:tc>
        <w:tc>
          <w:tcPr>
            <w:tcW w:w="1340" w:type="dxa"/>
            <w:vAlign w:val="bottom"/>
            <w:shd w:val="clear" w:color="auto" w:fill="F6F3F0"/>
          </w:tcPr>
          <w:p>
            <w:pPr>
              <w:spacing w:after="0"/>
              <w:rPr>
                <w:sz w:val="21"/>
                <w:szCs w:val="21"/>
                <w:color w:val="auto"/>
              </w:rPr>
            </w:pPr>
          </w:p>
        </w:tc>
        <w:tc>
          <w:tcPr>
            <w:tcW w:w="1700" w:type="dxa"/>
            <w:vAlign w:val="bottom"/>
            <w:shd w:val="clear" w:color="auto" w:fill="F6F3F0"/>
          </w:tcPr>
          <w:p>
            <w:pPr>
              <w:spacing w:after="0"/>
              <w:rPr>
                <w:sz w:val="21"/>
                <w:szCs w:val="21"/>
                <w:color w:val="auto"/>
              </w:rPr>
            </w:pPr>
          </w:p>
        </w:tc>
        <w:tc>
          <w:tcPr>
            <w:tcW w:w="1520" w:type="dxa"/>
            <w:vAlign w:val="bottom"/>
            <w:shd w:val="clear" w:color="auto" w:fill="F6F3F0"/>
          </w:tcPr>
          <w:p>
            <w:pPr>
              <w:spacing w:after="0"/>
              <w:rPr>
                <w:sz w:val="21"/>
                <w:szCs w:val="21"/>
                <w:color w:val="auto"/>
              </w:rPr>
            </w:pPr>
          </w:p>
        </w:tc>
        <w:tc>
          <w:tcPr>
            <w:tcW w:w="1580" w:type="dxa"/>
            <w:vAlign w:val="bottom"/>
            <w:shd w:val="clear" w:color="auto" w:fill="F6F3F0"/>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660" w:type="dxa"/>
            <w:vAlign w:val="bottom"/>
            <w:shd w:val="clear" w:color="auto" w:fill="F6F3F0"/>
          </w:tcPr>
          <w:p>
            <w:pPr>
              <w:spacing w:after="0"/>
              <w:rPr>
                <w:sz w:val="15"/>
                <w:szCs w:val="15"/>
                <w:color w:val="auto"/>
              </w:rPr>
            </w:pPr>
          </w:p>
        </w:tc>
        <w:tc>
          <w:tcPr>
            <w:tcW w:w="120" w:type="dxa"/>
            <w:vAlign w:val="bottom"/>
            <w:shd w:val="clear" w:color="auto" w:fill="F6F3F0"/>
          </w:tcPr>
          <w:p>
            <w:pPr>
              <w:spacing w:after="0"/>
              <w:rPr>
                <w:sz w:val="15"/>
                <w:szCs w:val="15"/>
                <w:color w:val="auto"/>
              </w:rPr>
            </w:pPr>
          </w:p>
        </w:tc>
        <w:tc>
          <w:tcPr>
            <w:tcW w:w="16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End Fair Value</w:t>
            </w:r>
          </w:p>
        </w:tc>
        <w:tc>
          <w:tcPr>
            <w:tcW w:w="1620" w:type="dxa"/>
            <w:vAlign w:val="bottom"/>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Average Change in</w:t>
            </w:r>
          </w:p>
        </w:tc>
        <w:tc>
          <w:tcPr>
            <w:tcW w:w="3040" w:type="dxa"/>
            <w:vAlign w:val="bottom"/>
            <w:gridSpan w:val="2"/>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Average Vesting Average Change in Fair</w:t>
            </w:r>
          </w:p>
        </w:tc>
        <w:tc>
          <w:tcPr>
            <w:tcW w:w="1520" w:type="dxa"/>
            <w:vAlign w:val="bottom"/>
            <w:vMerge w:val="restart"/>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Average Value</w:t>
            </w:r>
          </w:p>
        </w:tc>
        <w:tc>
          <w:tcPr>
            <w:tcW w:w="1580" w:type="dxa"/>
            <w:vAlign w:val="bottom"/>
            <w:shd w:val="clear" w:color="auto" w:fill="F6F3F0"/>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3"/>
                <w:szCs w:val="13"/>
                <w:color w:val="auto"/>
              </w:rPr>
            </w:pPr>
          </w:p>
        </w:tc>
        <w:tc>
          <w:tcPr>
            <w:tcW w:w="660" w:type="dxa"/>
            <w:vAlign w:val="bottom"/>
            <w:shd w:val="clear" w:color="auto" w:fill="F6F3F0"/>
          </w:tcPr>
          <w:p>
            <w:pPr>
              <w:spacing w:after="0"/>
              <w:rPr>
                <w:sz w:val="13"/>
                <w:szCs w:val="13"/>
                <w:color w:val="auto"/>
              </w:rPr>
            </w:pPr>
          </w:p>
        </w:tc>
        <w:tc>
          <w:tcPr>
            <w:tcW w:w="120" w:type="dxa"/>
            <w:vAlign w:val="bottom"/>
            <w:shd w:val="clear" w:color="auto" w:fill="F6F3F0"/>
          </w:tcPr>
          <w:p>
            <w:pPr>
              <w:spacing w:after="0"/>
              <w:rPr>
                <w:sz w:val="13"/>
                <w:szCs w:val="13"/>
                <w:color w:val="auto"/>
              </w:rPr>
            </w:pPr>
          </w:p>
        </w:tc>
        <w:tc>
          <w:tcPr>
            <w:tcW w:w="16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of Equity Awards</w:t>
            </w:r>
          </w:p>
        </w:tc>
        <w:tc>
          <w:tcPr>
            <w:tcW w:w="1620" w:type="dxa"/>
            <w:vAlign w:val="bottom"/>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Fair Value of Prior</w:t>
            </w:r>
          </w:p>
        </w:tc>
        <w:tc>
          <w:tcPr>
            <w:tcW w:w="13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Date Fair Value of</w:t>
            </w:r>
          </w:p>
        </w:tc>
        <w:tc>
          <w:tcPr>
            <w:tcW w:w="1700" w:type="dxa"/>
            <w:vAlign w:val="bottom"/>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Value from Last Day of</w:t>
            </w:r>
          </w:p>
        </w:tc>
        <w:tc>
          <w:tcPr>
            <w:tcW w:w="1520" w:type="dxa"/>
            <w:vAlign w:val="bottom"/>
            <w:vMerge w:val="continue"/>
            <w:shd w:val="clear" w:color="auto" w:fill="F6F3F0"/>
          </w:tcPr>
          <w:p>
            <w:pPr>
              <w:spacing w:after="0"/>
              <w:rPr>
                <w:sz w:val="13"/>
                <w:szCs w:val="13"/>
                <w:color w:val="auto"/>
              </w:rPr>
            </w:pPr>
          </w:p>
        </w:tc>
        <w:tc>
          <w:tcPr>
            <w:tcW w:w="1580" w:type="dxa"/>
            <w:vAlign w:val="bottom"/>
            <w:shd w:val="clear" w:color="auto" w:fill="F6F3F0"/>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660" w:type="dxa"/>
            <w:vAlign w:val="bottom"/>
            <w:shd w:val="clear" w:color="auto" w:fill="F6F3F0"/>
          </w:tcPr>
          <w:p>
            <w:pPr>
              <w:spacing w:after="0"/>
              <w:rPr>
                <w:sz w:val="15"/>
                <w:szCs w:val="15"/>
                <w:color w:val="auto"/>
              </w:rPr>
            </w:pPr>
          </w:p>
        </w:tc>
        <w:tc>
          <w:tcPr>
            <w:tcW w:w="120" w:type="dxa"/>
            <w:vAlign w:val="bottom"/>
            <w:shd w:val="clear" w:color="auto" w:fill="F6F3F0"/>
          </w:tcPr>
          <w:p>
            <w:pPr>
              <w:spacing w:after="0"/>
              <w:rPr>
                <w:sz w:val="15"/>
                <w:szCs w:val="15"/>
                <w:color w:val="auto"/>
              </w:rPr>
            </w:pPr>
          </w:p>
        </w:tc>
        <w:tc>
          <w:tcPr>
            <w:tcW w:w="16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Granted During Year</w:t>
            </w:r>
          </w:p>
        </w:tc>
        <w:tc>
          <w:tcPr>
            <w:tcW w:w="1620" w:type="dxa"/>
            <w:vAlign w:val="bottom"/>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Awards</w:t>
            </w:r>
          </w:p>
        </w:tc>
        <w:tc>
          <w:tcPr>
            <w:tcW w:w="13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Equity Awards</w:t>
            </w:r>
          </w:p>
        </w:tc>
        <w:tc>
          <w:tcPr>
            <w:tcW w:w="3220" w:type="dxa"/>
            <w:vAlign w:val="bottom"/>
            <w:gridSpan w:val="2"/>
            <w:shd w:val="clear" w:color="auto" w:fill="F6F3F0"/>
          </w:tcPr>
          <w:p>
            <w:pPr>
              <w:jc w:val="right"/>
              <w:ind w:right="49"/>
              <w:spacing w:after="0"/>
              <w:rPr>
                <w:sz w:val="20"/>
                <w:szCs w:val="20"/>
                <w:color w:val="auto"/>
              </w:rPr>
            </w:pPr>
            <w:r>
              <w:rPr>
                <w:rFonts w:ascii="Arial" w:cs="Arial" w:eastAsia="Arial" w:hAnsi="Arial"/>
                <w:sz w:val="14"/>
                <w:szCs w:val="14"/>
                <w:b w:val="1"/>
                <w:bCs w:val="1"/>
                <w:color w:val="0E1020"/>
              </w:rPr>
              <w:t>Prior Year to Vesting of Dividends Paid on</w:t>
            </w:r>
          </w:p>
        </w:tc>
        <w:tc>
          <w:tcPr>
            <w:tcW w:w="1580" w:type="dxa"/>
            <w:vAlign w:val="bottom"/>
            <w:shd w:val="clear" w:color="auto" w:fill="F6F3F0"/>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3"/>
                <w:szCs w:val="13"/>
                <w:color w:val="auto"/>
              </w:rPr>
            </w:pPr>
          </w:p>
        </w:tc>
        <w:tc>
          <w:tcPr>
            <w:tcW w:w="660" w:type="dxa"/>
            <w:vAlign w:val="bottom"/>
            <w:shd w:val="clear" w:color="auto" w:fill="F6F3F0"/>
          </w:tcPr>
          <w:p>
            <w:pPr>
              <w:spacing w:after="0"/>
              <w:rPr>
                <w:sz w:val="13"/>
                <w:szCs w:val="13"/>
                <w:color w:val="auto"/>
              </w:rPr>
            </w:pPr>
          </w:p>
        </w:tc>
        <w:tc>
          <w:tcPr>
            <w:tcW w:w="120" w:type="dxa"/>
            <w:vAlign w:val="bottom"/>
            <w:shd w:val="clear" w:color="auto" w:fill="F6F3F0"/>
          </w:tcPr>
          <w:p>
            <w:pPr>
              <w:spacing w:after="0"/>
              <w:rPr>
                <w:sz w:val="13"/>
                <w:szCs w:val="13"/>
                <w:color w:val="auto"/>
              </w:rPr>
            </w:pPr>
          </w:p>
        </w:tc>
        <w:tc>
          <w:tcPr>
            <w:tcW w:w="16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that Remained</w:t>
            </w:r>
          </w:p>
        </w:tc>
        <w:tc>
          <w:tcPr>
            <w:tcW w:w="1620" w:type="dxa"/>
            <w:vAlign w:val="bottom"/>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that Remained</w:t>
            </w:r>
          </w:p>
        </w:tc>
        <w:tc>
          <w:tcPr>
            <w:tcW w:w="13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Granted During</w:t>
            </w:r>
          </w:p>
        </w:tc>
        <w:tc>
          <w:tcPr>
            <w:tcW w:w="1700" w:type="dxa"/>
            <w:vAlign w:val="bottom"/>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Date of Unvested</w:t>
            </w:r>
          </w:p>
        </w:tc>
        <w:tc>
          <w:tcPr>
            <w:tcW w:w="1520" w:type="dxa"/>
            <w:vAlign w:val="bottom"/>
            <w:shd w:val="clear" w:color="auto" w:fill="F6F3F0"/>
          </w:tcPr>
          <w:p>
            <w:pPr>
              <w:jc w:val="right"/>
              <w:ind w:right="49"/>
              <w:spacing w:after="0"/>
              <w:rPr>
                <w:sz w:val="20"/>
                <w:szCs w:val="20"/>
                <w:color w:val="auto"/>
              </w:rPr>
            </w:pPr>
            <w:r>
              <w:rPr>
                <w:rFonts w:ascii="Arial" w:cs="Arial" w:eastAsia="Arial" w:hAnsi="Arial"/>
                <w:sz w:val="14"/>
                <w:szCs w:val="14"/>
                <w:b w:val="1"/>
                <w:bCs w:val="1"/>
                <w:color w:val="0E1020"/>
              </w:rPr>
              <w:t>Stock Awards Not</w:t>
            </w:r>
          </w:p>
        </w:tc>
        <w:tc>
          <w:tcPr>
            <w:tcW w:w="1580" w:type="dxa"/>
            <w:vAlign w:val="bottom"/>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Total - Average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660" w:type="dxa"/>
            <w:vAlign w:val="bottom"/>
            <w:shd w:val="clear" w:color="auto" w:fill="F6F3F0"/>
          </w:tcPr>
          <w:p>
            <w:pPr>
              <w:spacing w:after="0"/>
              <w:rPr>
                <w:sz w:val="15"/>
                <w:szCs w:val="15"/>
                <w:color w:val="auto"/>
              </w:rPr>
            </w:pPr>
          </w:p>
        </w:tc>
        <w:tc>
          <w:tcPr>
            <w:tcW w:w="120" w:type="dxa"/>
            <w:vAlign w:val="bottom"/>
            <w:shd w:val="clear" w:color="auto" w:fill="F6F3F0"/>
          </w:tcPr>
          <w:p>
            <w:pPr>
              <w:spacing w:after="0"/>
              <w:rPr>
                <w:sz w:val="15"/>
                <w:szCs w:val="15"/>
                <w:color w:val="auto"/>
              </w:rPr>
            </w:pPr>
          </w:p>
        </w:tc>
        <w:tc>
          <w:tcPr>
            <w:tcW w:w="16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Unvested as of Last</w:t>
            </w:r>
          </w:p>
        </w:tc>
        <w:tc>
          <w:tcPr>
            <w:tcW w:w="1620" w:type="dxa"/>
            <w:vAlign w:val="bottom"/>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Unvested at</w:t>
            </w:r>
          </w:p>
        </w:tc>
        <w:tc>
          <w:tcPr>
            <w:tcW w:w="13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Year that Vested</w:t>
            </w:r>
          </w:p>
        </w:tc>
        <w:tc>
          <w:tcPr>
            <w:tcW w:w="1700" w:type="dxa"/>
            <w:vAlign w:val="bottom"/>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Equity Awards that</w:t>
            </w:r>
          </w:p>
        </w:tc>
        <w:tc>
          <w:tcPr>
            <w:tcW w:w="1520" w:type="dxa"/>
            <w:vAlign w:val="bottom"/>
            <w:shd w:val="clear" w:color="auto" w:fill="F6F3F0"/>
          </w:tcPr>
          <w:p>
            <w:pPr>
              <w:jc w:val="right"/>
              <w:ind w:right="49"/>
              <w:spacing w:after="0"/>
              <w:rPr>
                <w:sz w:val="20"/>
                <w:szCs w:val="20"/>
                <w:color w:val="auto"/>
              </w:rPr>
            </w:pPr>
            <w:r>
              <w:rPr>
                <w:rFonts w:ascii="Arial" w:cs="Arial" w:eastAsia="Arial" w:hAnsi="Arial"/>
                <w:sz w:val="14"/>
                <w:szCs w:val="14"/>
                <w:b w:val="1"/>
                <w:bCs w:val="1"/>
                <w:color w:val="0E1020"/>
              </w:rPr>
              <w:t>Otherwise Included</w:t>
            </w:r>
          </w:p>
        </w:tc>
        <w:tc>
          <w:tcPr>
            <w:tcW w:w="1580" w:type="dxa"/>
            <w:vAlign w:val="bottom"/>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Inclusion of Equity</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660" w:type="dxa"/>
            <w:vAlign w:val="bottom"/>
            <w:shd w:val="clear" w:color="auto" w:fill="F6F3F0"/>
          </w:tcPr>
          <w:p>
            <w:pPr>
              <w:spacing w:after="0"/>
              <w:rPr>
                <w:sz w:val="15"/>
                <w:szCs w:val="15"/>
                <w:color w:val="auto"/>
              </w:rPr>
            </w:pPr>
          </w:p>
        </w:tc>
        <w:tc>
          <w:tcPr>
            <w:tcW w:w="120" w:type="dxa"/>
            <w:vAlign w:val="bottom"/>
            <w:shd w:val="clear" w:color="auto" w:fill="F6F3F0"/>
          </w:tcPr>
          <w:p>
            <w:pPr>
              <w:spacing w:after="0"/>
              <w:rPr>
                <w:sz w:val="15"/>
                <w:szCs w:val="15"/>
                <w:color w:val="auto"/>
              </w:rPr>
            </w:pPr>
          </w:p>
        </w:tc>
        <w:tc>
          <w:tcPr>
            <w:tcW w:w="16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Day of Year for Non-</w:t>
            </w:r>
          </w:p>
        </w:tc>
        <w:tc>
          <w:tcPr>
            <w:tcW w:w="1620" w:type="dxa"/>
            <w:vAlign w:val="bottom"/>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Year End for</w:t>
            </w:r>
          </w:p>
        </w:tc>
        <w:tc>
          <w:tcPr>
            <w:tcW w:w="13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During Year for</w:t>
            </w:r>
          </w:p>
        </w:tc>
        <w:tc>
          <w:tcPr>
            <w:tcW w:w="1700" w:type="dxa"/>
            <w:vAlign w:val="bottom"/>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Vested During the Year</w:t>
            </w:r>
          </w:p>
        </w:tc>
        <w:tc>
          <w:tcPr>
            <w:tcW w:w="1520" w:type="dxa"/>
            <w:vAlign w:val="bottom"/>
            <w:shd w:val="clear" w:color="auto" w:fill="F6F3F0"/>
          </w:tcPr>
          <w:p>
            <w:pPr>
              <w:jc w:val="right"/>
              <w:ind w:right="89"/>
              <w:spacing w:after="0"/>
              <w:rPr>
                <w:sz w:val="20"/>
                <w:szCs w:val="20"/>
                <w:color w:val="auto"/>
              </w:rPr>
            </w:pPr>
            <w:r>
              <w:rPr>
                <w:rFonts w:ascii="Arial" w:cs="Arial" w:eastAsia="Arial" w:hAnsi="Arial"/>
                <w:sz w:val="14"/>
                <w:szCs w:val="14"/>
                <w:b w:val="1"/>
                <w:bCs w:val="1"/>
                <w:color w:val="0E1020"/>
              </w:rPr>
              <w:t>for</w:t>
            </w:r>
          </w:p>
        </w:tc>
        <w:tc>
          <w:tcPr>
            <w:tcW w:w="1580" w:type="dxa"/>
            <w:vAlign w:val="bottom"/>
            <w:shd w:val="clear" w:color="auto" w:fill="F6F3F0"/>
          </w:tcPr>
          <w:p>
            <w:pPr>
              <w:jc w:val="right"/>
              <w:ind w:right="109"/>
              <w:spacing w:after="0"/>
              <w:rPr>
                <w:sz w:val="20"/>
                <w:szCs w:val="20"/>
                <w:color w:val="auto"/>
              </w:rPr>
            </w:pPr>
            <w:r>
              <w:rPr>
                <w:rFonts w:ascii="Arial" w:cs="Arial" w:eastAsia="Arial" w:hAnsi="Arial"/>
                <w:sz w:val="14"/>
                <w:szCs w:val="14"/>
                <w:b w:val="1"/>
                <w:bCs w:val="1"/>
                <w:color w:val="0E1020"/>
              </w:rPr>
              <w:t>Values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780" w:type="dxa"/>
            <w:vAlign w:val="bottom"/>
            <w:gridSpan w:val="2"/>
            <w:shd w:val="clear" w:color="auto" w:fill="F6F3F0"/>
          </w:tcPr>
          <w:p>
            <w:pPr>
              <w:ind w:left="100"/>
              <w:spacing w:after="0"/>
              <w:rPr>
                <w:sz w:val="20"/>
                <w:szCs w:val="20"/>
                <w:color w:val="auto"/>
              </w:rPr>
            </w:pPr>
            <w:r>
              <w:rPr>
                <w:rFonts w:ascii="Arial" w:cs="Arial" w:eastAsia="Arial" w:hAnsi="Arial"/>
                <w:sz w:val="14"/>
                <w:szCs w:val="14"/>
                <w:b w:val="1"/>
                <w:bCs w:val="1"/>
                <w:color w:val="0E1020"/>
              </w:rPr>
              <w:t>Fiscal</w:t>
            </w:r>
          </w:p>
        </w:tc>
        <w:tc>
          <w:tcPr>
            <w:tcW w:w="16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PEO NEOs</w:t>
            </w:r>
          </w:p>
        </w:tc>
        <w:tc>
          <w:tcPr>
            <w:tcW w:w="1620" w:type="dxa"/>
            <w:vAlign w:val="bottom"/>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Non-PEO NEOs</w:t>
            </w:r>
          </w:p>
        </w:tc>
        <w:tc>
          <w:tcPr>
            <w:tcW w:w="1340" w:type="dxa"/>
            <w:vAlign w:val="bottom"/>
            <w:shd w:val="clear" w:color="auto" w:fill="F6F3F0"/>
          </w:tcPr>
          <w:p>
            <w:pPr>
              <w:jc w:val="right"/>
              <w:spacing w:after="0"/>
              <w:rPr>
                <w:sz w:val="20"/>
                <w:szCs w:val="20"/>
                <w:color w:val="auto"/>
              </w:rPr>
            </w:pPr>
            <w:r>
              <w:rPr>
                <w:rFonts w:ascii="Arial" w:cs="Arial" w:eastAsia="Arial" w:hAnsi="Arial"/>
                <w:sz w:val="14"/>
                <w:szCs w:val="14"/>
                <w:b w:val="1"/>
                <w:bCs w:val="1"/>
                <w:color w:val="0E1020"/>
              </w:rPr>
              <w:t>Non-PEO NEOs</w:t>
            </w:r>
          </w:p>
        </w:tc>
        <w:tc>
          <w:tcPr>
            <w:tcW w:w="1700" w:type="dxa"/>
            <w:vAlign w:val="bottom"/>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for Non-PEO NEOs</w:t>
            </w:r>
          </w:p>
        </w:tc>
        <w:tc>
          <w:tcPr>
            <w:tcW w:w="1520" w:type="dxa"/>
            <w:vAlign w:val="bottom"/>
            <w:shd w:val="clear" w:color="auto" w:fill="F6F3F0"/>
          </w:tcPr>
          <w:p>
            <w:pPr>
              <w:jc w:val="right"/>
              <w:ind w:right="49"/>
              <w:spacing w:after="0"/>
              <w:rPr>
                <w:sz w:val="20"/>
                <w:szCs w:val="20"/>
                <w:color w:val="auto"/>
              </w:rPr>
            </w:pPr>
            <w:r>
              <w:rPr>
                <w:rFonts w:ascii="Arial" w:cs="Arial" w:eastAsia="Arial" w:hAnsi="Arial"/>
                <w:sz w:val="14"/>
                <w:szCs w:val="14"/>
                <w:b w:val="1"/>
                <w:bCs w:val="1"/>
                <w:color w:val="0E1020"/>
              </w:rPr>
              <w:t>Non-PEO NEOs</w:t>
            </w:r>
          </w:p>
        </w:tc>
        <w:tc>
          <w:tcPr>
            <w:tcW w:w="1580" w:type="dxa"/>
            <w:vAlign w:val="bottom"/>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for Non-PEO NEOs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460" w:type="dxa"/>
            <w:vAlign w:val="bottom"/>
          </w:tcPr>
          <w:p>
            <w:pPr>
              <w:spacing w:after="0"/>
              <w:rPr>
                <w:sz w:val="22"/>
                <w:szCs w:val="22"/>
                <w:color w:val="auto"/>
              </w:rPr>
            </w:pPr>
          </w:p>
        </w:tc>
        <w:tc>
          <w:tcPr>
            <w:tcW w:w="780" w:type="dxa"/>
            <w:vAlign w:val="bottom"/>
            <w:tcBorders>
              <w:bottom w:val="single" w:sz="8" w:color="F6F3F0"/>
            </w:tcBorders>
            <w:gridSpan w:val="2"/>
            <w:shd w:val="clear" w:color="auto" w:fill="F6F3F0"/>
          </w:tcPr>
          <w:p>
            <w:pPr>
              <w:ind w:left="100"/>
              <w:spacing w:after="0"/>
              <w:rPr>
                <w:sz w:val="20"/>
                <w:szCs w:val="20"/>
                <w:color w:val="auto"/>
              </w:rPr>
            </w:pPr>
            <w:r>
              <w:rPr>
                <w:rFonts w:ascii="Arial" w:cs="Arial" w:eastAsia="Arial" w:hAnsi="Arial"/>
                <w:sz w:val="14"/>
                <w:szCs w:val="14"/>
                <w:b w:val="1"/>
                <w:bCs w:val="1"/>
                <w:color w:val="0E1020"/>
              </w:rPr>
              <w:t>Year</w:t>
            </w:r>
          </w:p>
        </w:tc>
        <w:tc>
          <w:tcPr>
            <w:tcW w:w="164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1620" w:type="dxa"/>
            <w:vAlign w:val="bottom"/>
            <w:tcBorders>
              <w:bottom w:val="single" w:sz="8" w:color="F6F3F0"/>
            </w:tcBorders>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w:t>
            </w:r>
          </w:p>
        </w:tc>
        <w:tc>
          <w:tcPr>
            <w:tcW w:w="134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4"/>
                <w:szCs w:val="14"/>
                <w:b w:val="1"/>
                <w:bCs w:val="1"/>
                <w:color w:val="0E1020"/>
              </w:rPr>
              <w:t>($)</w:t>
            </w:r>
          </w:p>
        </w:tc>
        <w:tc>
          <w:tcPr>
            <w:tcW w:w="1700" w:type="dxa"/>
            <w:vAlign w:val="bottom"/>
            <w:tcBorders>
              <w:bottom w:val="single" w:sz="8" w:color="F6F3F0"/>
            </w:tcBorders>
            <w:shd w:val="clear" w:color="auto" w:fill="F6F3F0"/>
          </w:tcPr>
          <w:p>
            <w:pPr>
              <w:jc w:val="right"/>
              <w:ind w:right="29"/>
              <w:spacing w:after="0"/>
              <w:rPr>
                <w:sz w:val="20"/>
                <w:szCs w:val="20"/>
                <w:color w:val="auto"/>
              </w:rPr>
            </w:pPr>
            <w:r>
              <w:rPr>
                <w:rFonts w:ascii="Arial" w:cs="Arial" w:eastAsia="Arial" w:hAnsi="Arial"/>
                <w:sz w:val="14"/>
                <w:szCs w:val="14"/>
                <w:b w:val="1"/>
                <w:bCs w:val="1"/>
                <w:color w:val="0E1020"/>
              </w:rPr>
              <w:t>($)</w:t>
            </w:r>
          </w:p>
        </w:tc>
        <w:tc>
          <w:tcPr>
            <w:tcW w:w="1520" w:type="dxa"/>
            <w:vAlign w:val="bottom"/>
            <w:tcBorders>
              <w:bottom w:val="single" w:sz="8" w:color="F6F3F0"/>
            </w:tcBorders>
            <w:shd w:val="clear" w:color="auto" w:fill="F6F3F0"/>
          </w:tcPr>
          <w:p>
            <w:pPr>
              <w:jc w:val="right"/>
              <w:ind w:right="49"/>
              <w:spacing w:after="0"/>
              <w:rPr>
                <w:sz w:val="20"/>
                <w:szCs w:val="20"/>
                <w:color w:val="auto"/>
              </w:rPr>
            </w:pPr>
            <w:r>
              <w:rPr>
                <w:rFonts w:ascii="Arial" w:cs="Arial" w:eastAsia="Arial" w:hAnsi="Arial"/>
                <w:sz w:val="14"/>
                <w:szCs w:val="14"/>
                <w:b w:val="1"/>
                <w:bCs w:val="1"/>
                <w:color w:val="0E1020"/>
              </w:rPr>
              <w:t>($)</w:t>
            </w:r>
          </w:p>
        </w:tc>
        <w:tc>
          <w:tcPr>
            <w:tcW w:w="1580" w:type="dxa"/>
            <w:vAlign w:val="bottom"/>
            <w:tcBorders>
              <w:bottom w:val="single" w:sz="8" w:color="F6F3F0"/>
            </w:tcBorders>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460" w:type="dxa"/>
            <w:vAlign w:val="bottom"/>
          </w:tcPr>
          <w:p>
            <w:pPr>
              <w:spacing w:after="0"/>
              <w:rPr>
                <w:sz w:val="17"/>
                <w:szCs w:val="17"/>
                <w:color w:val="auto"/>
              </w:rPr>
            </w:pPr>
          </w:p>
        </w:tc>
        <w:tc>
          <w:tcPr>
            <w:tcW w:w="660" w:type="dxa"/>
            <w:vAlign w:val="bottom"/>
            <w:tcBorders>
              <w:top w:val="single" w:sz="8" w:color="CFCFD2"/>
            </w:tcBorders>
          </w:tcPr>
          <w:p>
            <w:pPr>
              <w:ind w:left="100"/>
              <w:spacing w:after="0"/>
              <w:rPr>
                <w:sz w:val="20"/>
                <w:szCs w:val="20"/>
                <w:color w:val="auto"/>
              </w:rPr>
            </w:pPr>
            <w:r>
              <w:rPr>
                <w:rFonts w:ascii="Arial" w:cs="Arial" w:eastAsia="Arial" w:hAnsi="Arial"/>
                <w:sz w:val="14"/>
                <w:szCs w:val="14"/>
                <w:color w:val="0E1020"/>
              </w:rPr>
              <w:t>2026</w:t>
            </w:r>
          </w:p>
        </w:tc>
        <w:tc>
          <w:tcPr>
            <w:tcW w:w="120" w:type="dxa"/>
            <w:vAlign w:val="bottom"/>
            <w:tcBorders>
              <w:top w:val="single" w:sz="8" w:color="CFCFD2"/>
            </w:tcBorders>
          </w:tcPr>
          <w:p>
            <w:pPr>
              <w:spacing w:after="0"/>
              <w:rPr>
                <w:sz w:val="17"/>
                <w:szCs w:val="17"/>
                <w:color w:val="auto"/>
              </w:rPr>
            </w:pPr>
          </w:p>
        </w:tc>
        <w:tc>
          <w:tcPr>
            <w:tcW w:w="1640" w:type="dxa"/>
            <w:vAlign w:val="bottom"/>
            <w:tcBorders>
              <w:top w:val="single" w:sz="8" w:color="CFCFD2"/>
            </w:tcBorders>
          </w:tcPr>
          <w:p>
            <w:pPr>
              <w:jc w:val="right"/>
              <w:spacing w:after="0"/>
              <w:rPr>
                <w:sz w:val="20"/>
                <w:szCs w:val="20"/>
                <w:color w:val="auto"/>
              </w:rPr>
            </w:pPr>
            <w:r>
              <w:rPr>
                <w:rFonts w:ascii="Arial" w:cs="Arial" w:eastAsia="Arial" w:hAnsi="Arial"/>
                <w:sz w:val="14"/>
                <w:szCs w:val="14"/>
                <w:color w:val="0E1020"/>
              </w:rPr>
              <w:t>5,559,805</w:t>
            </w:r>
          </w:p>
        </w:tc>
        <w:tc>
          <w:tcPr>
            <w:tcW w:w="1620" w:type="dxa"/>
            <w:vAlign w:val="bottom"/>
            <w:tcBorders>
              <w:top w:val="single" w:sz="8" w:color="CFCFD2"/>
            </w:tcBorders>
          </w:tcPr>
          <w:p>
            <w:pPr>
              <w:jc w:val="right"/>
              <w:ind w:right="49"/>
              <w:spacing w:after="0"/>
              <w:rPr>
                <w:sz w:val="20"/>
                <w:szCs w:val="20"/>
                <w:color w:val="auto"/>
              </w:rPr>
            </w:pPr>
            <w:r>
              <w:rPr>
                <w:rFonts w:ascii="Arial" w:cs="Arial" w:eastAsia="Arial" w:hAnsi="Arial"/>
                <w:sz w:val="14"/>
                <w:szCs w:val="14"/>
                <w:color w:val="0E1020"/>
              </w:rPr>
              <w:t>(2,338,760)</w:t>
            </w:r>
          </w:p>
        </w:tc>
        <w:tc>
          <w:tcPr>
            <w:tcW w:w="1340" w:type="dxa"/>
            <w:vAlign w:val="bottom"/>
            <w:tcBorders>
              <w:top w:val="single" w:sz="8" w:color="CFCFD2"/>
            </w:tcBorders>
          </w:tcPr>
          <w:p>
            <w:pPr>
              <w:jc w:val="right"/>
              <w:ind w:right="9"/>
              <w:spacing w:after="0"/>
              <w:rPr>
                <w:sz w:val="20"/>
                <w:szCs w:val="20"/>
                <w:color w:val="auto"/>
              </w:rPr>
            </w:pPr>
            <w:r>
              <w:rPr>
                <w:rFonts w:ascii="Arial" w:cs="Arial" w:eastAsia="Arial" w:hAnsi="Arial"/>
                <w:sz w:val="14"/>
                <w:szCs w:val="14"/>
                <w:color w:val="0E1020"/>
              </w:rPr>
              <w:t>30,463</w:t>
            </w:r>
          </w:p>
        </w:tc>
        <w:tc>
          <w:tcPr>
            <w:tcW w:w="1700" w:type="dxa"/>
            <w:vAlign w:val="bottom"/>
            <w:tcBorders>
              <w:top w:val="single" w:sz="8" w:color="CFCFD2"/>
            </w:tcBorders>
          </w:tcPr>
          <w:p>
            <w:pPr>
              <w:jc w:val="right"/>
              <w:ind w:right="29"/>
              <w:spacing w:after="0"/>
              <w:rPr>
                <w:sz w:val="20"/>
                <w:szCs w:val="20"/>
                <w:color w:val="auto"/>
              </w:rPr>
            </w:pPr>
            <w:r>
              <w:rPr>
                <w:rFonts w:ascii="Arial" w:cs="Arial" w:eastAsia="Arial" w:hAnsi="Arial"/>
                <w:sz w:val="14"/>
                <w:szCs w:val="14"/>
                <w:color w:val="0E1020"/>
              </w:rPr>
              <w:t>(168,875)</w:t>
            </w:r>
          </w:p>
        </w:tc>
        <w:tc>
          <w:tcPr>
            <w:tcW w:w="1520" w:type="dxa"/>
            <w:vAlign w:val="bottom"/>
            <w:tcBorders>
              <w:top w:val="single" w:sz="8" w:color="CFCFD2"/>
            </w:tcBorders>
          </w:tcPr>
          <w:p>
            <w:pPr>
              <w:jc w:val="right"/>
              <w:ind w:right="109"/>
              <w:spacing w:after="0"/>
              <w:rPr>
                <w:sz w:val="20"/>
                <w:szCs w:val="20"/>
                <w:color w:val="auto"/>
              </w:rPr>
            </w:pPr>
            <w:r>
              <w:rPr>
                <w:rFonts w:ascii="Arial" w:cs="Arial" w:eastAsia="Arial" w:hAnsi="Arial"/>
                <w:sz w:val="14"/>
                <w:szCs w:val="14"/>
                <w:color w:val="0E1020"/>
              </w:rPr>
              <w:t>—</w:t>
            </w:r>
          </w:p>
        </w:tc>
        <w:tc>
          <w:tcPr>
            <w:tcW w:w="1580" w:type="dxa"/>
            <w:vAlign w:val="bottom"/>
            <w:tcBorders>
              <w:top w:val="single" w:sz="8" w:color="CFCFD2"/>
            </w:tcBorders>
          </w:tcPr>
          <w:p>
            <w:pPr>
              <w:jc w:val="right"/>
              <w:ind w:right="129"/>
              <w:spacing w:after="0"/>
              <w:rPr>
                <w:sz w:val="20"/>
                <w:szCs w:val="20"/>
                <w:color w:val="auto"/>
              </w:rPr>
            </w:pPr>
            <w:r>
              <w:rPr>
                <w:rFonts w:ascii="Arial" w:cs="Arial" w:eastAsia="Arial" w:hAnsi="Arial"/>
                <w:sz w:val="14"/>
                <w:szCs w:val="14"/>
                <w:color w:val="0E1020"/>
              </w:rPr>
              <w:t>3,082,633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660" w:type="dxa"/>
            <w:vAlign w:val="bottom"/>
            <w:tcBorders>
              <w:bottom w:val="single" w:sz="8" w:color="CFCFD2"/>
            </w:tcBorders>
          </w:tcPr>
          <w:p>
            <w:pPr>
              <w:spacing w:after="0" w:line="20" w:lineRule="exact"/>
              <w:rPr>
                <w:sz w:val="1"/>
                <w:szCs w:val="1"/>
                <w:color w:val="auto"/>
              </w:rPr>
            </w:pPr>
          </w:p>
        </w:tc>
        <w:tc>
          <w:tcPr>
            <w:tcW w:w="120" w:type="dxa"/>
            <w:vAlign w:val="bottom"/>
            <w:tcBorders>
              <w:bottom w:val="single" w:sz="8" w:color="CFCFD2"/>
            </w:tcBorders>
          </w:tcPr>
          <w:p>
            <w:pPr>
              <w:spacing w:after="0" w:line="20" w:lineRule="exact"/>
              <w:rPr>
                <w:sz w:val="1"/>
                <w:szCs w:val="1"/>
                <w:color w:val="auto"/>
              </w:rPr>
            </w:pPr>
          </w:p>
        </w:tc>
        <w:tc>
          <w:tcPr>
            <w:tcW w:w="1640" w:type="dxa"/>
            <w:vAlign w:val="bottom"/>
            <w:tcBorders>
              <w:bottom w:val="single" w:sz="8" w:color="CFCFD2"/>
            </w:tcBorders>
          </w:tcPr>
          <w:p>
            <w:pPr>
              <w:spacing w:after="0" w:line="20" w:lineRule="exact"/>
              <w:rPr>
                <w:sz w:val="1"/>
                <w:szCs w:val="1"/>
                <w:color w:val="auto"/>
              </w:rPr>
            </w:pPr>
          </w:p>
        </w:tc>
        <w:tc>
          <w:tcPr>
            <w:tcW w:w="1620" w:type="dxa"/>
            <w:vAlign w:val="bottom"/>
            <w:tcBorders>
              <w:bottom w:val="single" w:sz="8" w:color="CFCFD2"/>
            </w:tcBorders>
          </w:tcPr>
          <w:p>
            <w:pPr>
              <w:spacing w:after="0" w:line="20" w:lineRule="exact"/>
              <w:rPr>
                <w:sz w:val="1"/>
                <w:szCs w:val="1"/>
                <w:color w:val="auto"/>
              </w:rPr>
            </w:pPr>
          </w:p>
        </w:tc>
        <w:tc>
          <w:tcPr>
            <w:tcW w:w="1340" w:type="dxa"/>
            <w:vAlign w:val="bottom"/>
            <w:tcBorders>
              <w:bottom w:val="single" w:sz="8" w:color="CFCFD2"/>
            </w:tcBorders>
          </w:tcPr>
          <w:p>
            <w:pPr>
              <w:spacing w:after="0" w:line="20" w:lineRule="exact"/>
              <w:rPr>
                <w:sz w:val="1"/>
                <w:szCs w:val="1"/>
                <w:color w:val="auto"/>
              </w:rPr>
            </w:pPr>
          </w:p>
        </w:tc>
        <w:tc>
          <w:tcPr>
            <w:tcW w:w="1700" w:type="dxa"/>
            <w:vAlign w:val="bottom"/>
            <w:tcBorders>
              <w:bottom w:val="single" w:sz="8" w:color="CFCFD2"/>
            </w:tcBorders>
          </w:tcPr>
          <w:p>
            <w:pPr>
              <w:spacing w:after="0" w:line="20" w:lineRule="exact"/>
              <w:rPr>
                <w:sz w:val="1"/>
                <w:szCs w:val="1"/>
                <w:color w:val="auto"/>
              </w:rPr>
            </w:pPr>
          </w:p>
        </w:tc>
        <w:tc>
          <w:tcPr>
            <w:tcW w:w="1520" w:type="dxa"/>
            <w:vAlign w:val="bottom"/>
            <w:tcBorders>
              <w:bottom w:val="single" w:sz="8" w:color="CFCFD2"/>
            </w:tcBorders>
          </w:tcPr>
          <w:p>
            <w:pPr>
              <w:spacing w:after="0" w:line="20" w:lineRule="exact"/>
              <w:rPr>
                <w:sz w:val="1"/>
                <w:szCs w:val="1"/>
                <w:color w:val="auto"/>
              </w:rPr>
            </w:pPr>
          </w:p>
        </w:tc>
        <w:tc>
          <w:tcPr>
            <w:tcW w:w="1580" w:type="dxa"/>
            <w:vAlign w:val="bottom"/>
            <w:tcBorders>
              <w:bottom w:val="single" w:sz="8" w:color="CFCFD2"/>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120" w:type="dxa"/>
            <w:vAlign w:val="bottom"/>
            <w:gridSpan w:val="2"/>
          </w:tcPr>
          <w:p>
            <w:pPr>
              <w:ind w:left="560"/>
              <w:spacing w:after="0"/>
              <w:rPr>
                <w:sz w:val="20"/>
                <w:szCs w:val="20"/>
                <w:color w:val="auto"/>
              </w:rPr>
            </w:pPr>
            <w:r>
              <w:rPr>
                <w:rFonts w:ascii="Arial" w:cs="Arial" w:eastAsia="Arial" w:hAnsi="Arial"/>
                <w:sz w:val="14"/>
                <w:szCs w:val="14"/>
                <w:color w:val="0E1020"/>
              </w:rPr>
              <w:t>2025</w:t>
            </w:r>
          </w:p>
        </w:tc>
        <w:tc>
          <w:tcPr>
            <w:tcW w:w="1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0E1020"/>
              </w:rPr>
              <w:t>3,234,202</w:t>
            </w:r>
          </w:p>
        </w:tc>
        <w:tc>
          <w:tcPr>
            <w:tcW w:w="1620" w:type="dxa"/>
            <w:vAlign w:val="bottom"/>
          </w:tcPr>
          <w:p>
            <w:pPr>
              <w:jc w:val="right"/>
              <w:ind w:right="49"/>
              <w:spacing w:after="0"/>
              <w:rPr>
                <w:sz w:val="20"/>
                <w:szCs w:val="20"/>
                <w:color w:val="auto"/>
              </w:rPr>
            </w:pPr>
            <w:r>
              <w:rPr>
                <w:rFonts w:ascii="Arial" w:cs="Arial" w:eastAsia="Arial" w:hAnsi="Arial"/>
                <w:sz w:val="14"/>
                <w:szCs w:val="14"/>
                <w:color w:val="0E1020"/>
              </w:rPr>
              <w:t>(1,438,170)</w:t>
            </w:r>
          </w:p>
        </w:tc>
        <w:tc>
          <w:tcPr>
            <w:tcW w:w="1340" w:type="dxa"/>
            <w:vAlign w:val="bottom"/>
          </w:tcPr>
          <w:p>
            <w:pPr>
              <w:jc w:val="right"/>
              <w:ind w:right="9"/>
              <w:spacing w:after="0"/>
              <w:rPr>
                <w:sz w:val="20"/>
                <w:szCs w:val="20"/>
                <w:color w:val="auto"/>
              </w:rPr>
            </w:pPr>
            <w:r>
              <w:rPr>
                <w:rFonts w:ascii="Arial" w:cs="Arial" w:eastAsia="Arial" w:hAnsi="Arial"/>
                <w:sz w:val="14"/>
                <w:szCs w:val="14"/>
                <w:color w:val="0E1020"/>
              </w:rPr>
              <w:t>—</w:t>
            </w:r>
          </w:p>
        </w:tc>
        <w:tc>
          <w:tcPr>
            <w:tcW w:w="1700" w:type="dxa"/>
            <w:vAlign w:val="bottom"/>
          </w:tcPr>
          <w:p>
            <w:pPr>
              <w:jc w:val="right"/>
              <w:ind w:right="29"/>
              <w:spacing w:after="0"/>
              <w:rPr>
                <w:sz w:val="20"/>
                <w:szCs w:val="20"/>
                <w:color w:val="auto"/>
              </w:rPr>
            </w:pPr>
            <w:r>
              <w:rPr>
                <w:rFonts w:ascii="Arial" w:cs="Arial" w:eastAsia="Arial" w:hAnsi="Arial"/>
                <w:sz w:val="14"/>
                <w:szCs w:val="14"/>
                <w:color w:val="0E1020"/>
              </w:rPr>
              <w:t>(136,030)</w:t>
            </w:r>
          </w:p>
        </w:tc>
        <w:tc>
          <w:tcPr>
            <w:tcW w:w="1520" w:type="dxa"/>
            <w:vAlign w:val="bottom"/>
          </w:tcPr>
          <w:p>
            <w:pPr>
              <w:jc w:val="right"/>
              <w:ind w:right="109"/>
              <w:spacing w:after="0"/>
              <w:rPr>
                <w:sz w:val="20"/>
                <w:szCs w:val="20"/>
                <w:color w:val="auto"/>
              </w:rPr>
            </w:pPr>
            <w:r>
              <w:rPr>
                <w:rFonts w:ascii="Arial" w:cs="Arial" w:eastAsia="Arial" w:hAnsi="Arial"/>
                <w:sz w:val="14"/>
                <w:szCs w:val="14"/>
                <w:color w:val="0E1020"/>
              </w:rPr>
              <w:t>—</w:t>
            </w:r>
          </w:p>
        </w:tc>
        <w:tc>
          <w:tcPr>
            <w:tcW w:w="1580" w:type="dxa"/>
            <w:vAlign w:val="bottom"/>
          </w:tcPr>
          <w:p>
            <w:pPr>
              <w:jc w:val="right"/>
              <w:ind w:right="129"/>
              <w:spacing w:after="0"/>
              <w:rPr>
                <w:sz w:val="20"/>
                <w:szCs w:val="20"/>
                <w:color w:val="auto"/>
              </w:rPr>
            </w:pPr>
            <w:r>
              <w:rPr>
                <w:rFonts w:ascii="Arial" w:cs="Arial" w:eastAsia="Arial" w:hAnsi="Arial"/>
                <w:sz w:val="14"/>
                <w:szCs w:val="14"/>
                <w:color w:val="0E1020"/>
              </w:rPr>
              <w:t>1,660,002</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660" w:type="dxa"/>
            <w:vAlign w:val="bottom"/>
            <w:tcBorders>
              <w:bottom w:val="single" w:sz="8" w:color="CFCFD2"/>
            </w:tcBorders>
          </w:tcPr>
          <w:p>
            <w:pPr>
              <w:spacing w:after="0" w:line="20" w:lineRule="exact"/>
              <w:rPr>
                <w:sz w:val="1"/>
                <w:szCs w:val="1"/>
                <w:color w:val="auto"/>
              </w:rPr>
            </w:pPr>
          </w:p>
        </w:tc>
        <w:tc>
          <w:tcPr>
            <w:tcW w:w="120" w:type="dxa"/>
            <w:vAlign w:val="bottom"/>
            <w:tcBorders>
              <w:bottom w:val="single" w:sz="8" w:color="CFCFD2"/>
            </w:tcBorders>
          </w:tcPr>
          <w:p>
            <w:pPr>
              <w:spacing w:after="0" w:line="20" w:lineRule="exact"/>
              <w:rPr>
                <w:sz w:val="1"/>
                <w:szCs w:val="1"/>
                <w:color w:val="auto"/>
              </w:rPr>
            </w:pPr>
          </w:p>
        </w:tc>
        <w:tc>
          <w:tcPr>
            <w:tcW w:w="1640" w:type="dxa"/>
            <w:vAlign w:val="bottom"/>
            <w:tcBorders>
              <w:bottom w:val="single" w:sz="8" w:color="CFCFD2"/>
            </w:tcBorders>
          </w:tcPr>
          <w:p>
            <w:pPr>
              <w:spacing w:after="0" w:line="20" w:lineRule="exact"/>
              <w:rPr>
                <w:sz w:val="1"/>
                <w:szCs w:val="1"/>
                <w:color w:val="auto"/>
              </w:rPr>
            </w:pPr>
          </w:p>
        </w:tc>
        <w:tc>
          <w:tcPr>
            <w:tcW w:w="1620" w:type="dxa"/>
            <w:vAlign w:val="bottom"/>
            <w:tcBorders>
              <w:bottom w:val="single" w:sz="8" w:color="CFCFD2"/>
            </w:tcBorders>
          </w:tcPr>
          <w:p>
            <w:pPr>
              <w:spacing w:after="0" w:line="20" w:lineRule="exact"/>
              <w:rPr>
                <w:sz w:val="1"/>
                <w:szCs w:val="1"/>
                <w:color w:val="auto"/>
              </w:rPr>
            </w:pPr>
          </w:p>
        </w:tc>
        <w:tc>
          <w:tcPr>
            <w:tcW w:w="1340" w:type="dxa"/>
            <w:vAlign w:val="bottom"/>
            <w:tcBorders>
              <w:bottom w:val="single" w:sz="8" w:color="CFCFD2"/>
            </w:tcBorders>
          </w:tcPr>
          <w:p>
            <w:pPr>
              <w:spacing w:after="0" w:line="20" w:lineRule="exact"/>
              <w:rPr>
                <w:sz w:val="1"/>
                <w:szCs w:val="1"/>
                <w:color w:val="auto"/>
              </w:rPr>
            </w:pPr>
          </w:p>
        </w:tc>
        <w:tc>
          <w:tcPr>
            <w:tcW w:w="1700" w:type="dxa"/>
            <w:vAlign w:val="bottom"/>
            <w:tcBorders>
              <w:bottom w:val="single" w:sz="8" w:color="CFCFD2"/>
            </w:tcBorders>
          </w:tcPr>
          <w:p>
            <w:pPr>
              <w:spacing w:after="0" w:line="20" w:lineRule="exact"/>
              <w:rPr>
                <w:sz w:val="1"/>
                <w:szCs w:val="1"/>
                <w:color w:val="auto"/>
              </w:rPr>
            </w:pPr>
          </w:p>
        </w:tc>
        <w:tc>
          <w:tcPr>
            <w:tcW w:w="1520" w:type="dxa"/>
            <w:vAlign w:val="bottom"/>
            <w:tcBorders>
              <w:bottom w:val="single" w:sz="8" w:color="CFCFD2"/>
            </w:tcBorders>
          </w:tcPr>
          <w:p>
            <w:pPr>
              <w:spacing w:after="0" w:line="20" w:lineRule="exact"/>
              <w:rPr>
                <w:sz w:val="1"/>
                <w:szCs w:val="1"/>
                <w:color w:val="auto"/>
              </w:rPr>
            </w:pPr>
          </w:p>
        </w:tc>
        <w:tc>
          <w:tcPr>
            <w:tcW w:w="1580" w:type="dxa"/>
            <w:vAlign w:val="bottom"/>
            <w:tcBorders>
              <w:bottom w:val="single" w:sz="8" w:color="CFCFD2"/>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120" w:type="dxa"/>
            <w:vAlign w:val="bottom"/>
            <w:gridSpan w:val="2"/>
          </w:tcPr>
          <w:p>
            <w:pPr>
              <w:ind w:left="560"/>
              <w:spacing w:after="0"/>
              <w:rPr>
                <w:sz w:val="20"/>
                <w:szCs w:val="20"/>
                <w:color w:val="auto"/>
              </w:rPr>
            </w:pPr>
            <w:r>
              <w:rPr>
                <w:rFonts w:ascii="Arial" w:cs="Arial" w:eastAsia="Arial" w:hAnsi="Arial"/>
                <w:sz w:val="14"/>
                <w:szCs w:val="14"/>
                <w:color w:val="0E1020"/>
              </w:rPr>
              <w:t>2024</w:t>
            </w:r>
          </w:p>
        </w:tc>
        <w:tc>
          <w:tcPr>
            <w:tcW w:w="1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0E1020"/>
              </w:rPr>
              <w:t>3,211,318</w:t>
            </w:r>
          </w:p>
        </w:tc>
        <w:tc>
          <w:tcPr>
            <w:tcW w:w="1620" w:type="dxa"/>
            <w:vAlign w:val="bottom"/>
          </w:tcPr>
          <w:p>
            <w:pPr>
              <w:jc w:val="right"/>
              <w:ind w:right="49"/>
              <w:spacing w:after="0"/>
              <w:rPr>
                <w:sz w:val="20"/>
                <w:szCs w:val="20"/>
                <w:color w:val="auto"/>
              </w:rPr>
            </w:pPr>
            <w:r>
              <w:rPr>
                <w:rFonts w:ascii="Arial" w:cs="Arial" w:eastAsia="Arial" w:hAnsi="Arial"/>
                <w:sz w:val="14"/>
                <w:szCs w:val="14"/>
                <w:color w:val="0E1020"/>
              </w:rPr>
              <w:t>(1,254,897)</w:t>
            </w:r>
          </w:p>
        </w:tc>
        <w:tc>
          <w:tcPr>
            <w:tcW w:w="1340" w:type="dxa"/>
            <w:vAlign w:val="bottom"/>
          </w:tcPr>
          <w:p>
            <w:pPr>
              <w:jc w:val="right"/>
              <w:ind w:right="9"/>
              <w:spacing w:after="0"/>
              <w:rPr>
                <w:sz w:val="20"/>
                <w:szCs w:val="20"/>
                <w:color w:val="auto"/>
              </w:rPr>
            </w:pPr>
            <w:r>
              <w:rPr>
                <w:rFonts w:ascii="Arial" w:cs="Arial" w:eastAsia="Arial" w:hAnsi="Arial"/>
                <w:sz w:val="14"/>
                <w:szCs w:val="14"/>
                <w:color w:val="0E1020"/>
              </w:rPr>
              <w:t>—</w:t>
            </w:r>
          </w:p>
        </w:tc>
        <w:tc>
          <w:tcPr>
            <w:tcW w:w="1700" w:type="dxa"/>
            <w:vAlign w:val="bottom"/>
          </w:tcPr>
          <w:p>
            <w:pPr>
              <w:jc w:val="right"/>
              <w:ind w:right="29"/>
              <w:spacing w:after="0"/>
              <w:rPr>
                <w:sz w:val="20"/>
                <w:szCs w:val="20"/>
                <w:color w:val="auto"/>
              </w:rPr>
            </w:pPr>
            <w:r>
              <w:rPr>
                <w:rFonts w:ascii="Arial" w:cs="Arial" w:eastAsia="Arial" w:hAnsi="Arial"/>
                <w:sz w:val="14"/>
                <w:szCs w:val="14"/>
                <w:color w:val="0E1020"/>
              </w:rPr>
              <w:t>(23,276)</w:t>
            </w:r>
          </w:p>
        </w:tc>
        <w:tc>
          <w:tcPr>
            <w:tcW w:w="1520" w:type="dxa"/>
            <w:vAlign w:val="bottom"/>
          </w:tcPr>
          <w:p>
            <w:pPr>
              <w:jc w:val="right"/>
              <w:ind w:right="109"/>
              <w:spacing w:after="0"/>
              <w:rPr>
                <w:sz w:val="20"/>
                <w:szCs w:val="20"/>
                <w:color w:val="auto"/>
              </w:rPr>
            </w:pPr>
            <w:r>
              <w:rPr>
                <w:rFonts w:ascii="Arial" w:cs="Arial" w:eastAsia="Arial" w:hAnsi="Arial"/>
                <w:sz w:val="14"/>
                <w:szCs w:val="14"/>
                <w:color w:val="0E1020"/>
              </w:rPr>
              <w:t>—</w:t>
            </w:r>
          </w:p>
        </w:tc>
        <w:tc>
          <w:tcPr>
            <w:tcW w:w="1580" w:type="dxa"/>
            <w:vAlign w:val="bottom"/>
          </w:tcPr>
          <w:p>
            <w:pPr>
              <w:jc w:val="right"/>
              <w:ind w:right="129"/>
              <w:spacing w:after="0"/>
              <w:rPr>
                <w:sz w:val="20"/>
                <w:szCs w:val="20"/>
                <w:color w:val="auto"/>
              </w:rPr>
            </w:pPr>
            <w:r>
              <w:rPr>
                <w:rFonts w:ascii="Arial" w:cs="Arial" w:eastAsia="Arial" w:hAnsi="Arial"/>
                <w:sz w:val="14"/>
                <w:szCs w:val="14"/>
                <w:color w:val="0E1020"/>
              </w:rPr>
              <w:t>1,933,145</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660" w:type="dxa"/>
            <w:vAlign w:val="bottom"/>
            <w:tcBorders>
              <w:bottom w:val="single" w:sz="8" w:color="CFCFD2"/>
            </w:tcBorders>
          </w:tcPr>
          <w:p>
            <w:pPr>
              <w:spacing w:after="0" w:line="20" w:lineRule="exact"/>
              <w:rPr>
                <w:sz w:val="1"/>
                <w:szCs w:val="1"/>
                <w:color w:val="auto"/>
              </w:rPr>
            </w:pPr>
          </w:p>
        </w:tc>
        <w:tc>
          <w:tcPr>
            <w:tcW w:w="120" w:type="dxa"/>
            <w:vAlign w:val="bottom"/>
            <w:tcBorders>
              <w:bottom w:val="single" w:sz="8" w:color="CFCFD2"/>
            </w:tcBorders>
          </w:tcPr>
          <w:p>
            <w:pPr>
              <w:spacing w:after="0" w:line="20" w:lineRule="exact"/>
              <w:rPr>
                <w:sz w:val="1"/>
                <w:szCs w:val="1"/>
                <w:color w:val="auto"/>
              </w:rPr>
            </w:pPr>
          </w:p>
        </w:tc>
        <w:tc>
          <w:tcPr>
            <w:tcW w:w="1640" w:type="dxa"/>
            <w:vAlign w:val="bottom"/>
            <w:tcBorders>
              <w:bottom w:val="single" w:sz="8" w:color="CFCFD2"/>
            </w:tcBorders>
          </w:tcPr>
          <w:p>
            <w:pPr>
              <w:spacing w:after="0" w:line="20" w:lineRule="exact"/>
              <w:rPr>
                <w:sz w:val="1"/>
                <w:szCs w:val="1"/>
                <w:color w:val="auto"/>
              </w:rPr>
            </w:pPr>
          </w:p>
        </w:tc>
        <w:tc>
          <w:tcPr>
            <w:tcW w:w="1620" w:type="dxa"/>
            <w:vAlign w:val="bottom"/>
            <w:tcBorders>
              <w:bottom w:val="single" w:sz="8" w:color="CFCFD2"/>
            </w:tcBorders>
          </w:tcPr>
          <w:p>
            <w:pPr>
              <w:spacing w:after="0" w:line="20" w:lineRule="exact"/>
              <w:rPr>
                <w:sz w:val="1"/>
                <w:szCs w:val="1"/>
                <w:color w:val="auto"/>
              </w:rPr>
            </w:pPr>
          </w:p>
        </w:tc>
        <w:tc>
          <w:tcPr>
            <w:tcW w:w="1340" w:type="dxa"/>
            <w:vAlign w:val="bottom"/>
            <w:tcBorders>
              <w:bottom w:val="single" w:sz="8" w:color="CFCFD2"/>
            </w:tcBorders>
          </w:tcPr>
          <w:p>
            <w:pPr>
              <w:spacing w:after="0" w:line="20" w:lineRule="exact"/>
              <w:rPr>
                <w:sz w:val="1"/>
                <w:szCs w:val="1"/>
                <w:color w:val="auto"/>
              </w:rPr>
            </w:pPr>
          </w:p>
        </w:tc>
        <w:tc>
          <w:tcPr>
            <w:tcW w:w="1700" w:type="dxa"/>
            <w:vAlign w:val="bottom"/>
            <w:tcBorders>
              <w:bottom w:val="single" w:sz="8" w:color="CFCFD2"/>
            </w:tcBorders>
          </w:tcPr>
          <w:p>
            <w:pPr>
              <w:spacing w:after="0" w:line="20" w:lineRule="exact"/>
              <w:rPr>
                <w:sz w:val="1"/>
                <w:szCs w:val="1"/>
                <w:color w:val="auto"/>
              </w:rPr>
            </w:pPr>
          </w:p>
        </w:tc>
        <w:tc>
          <w:tcPr>
            <w:tcW w:w="1520" w:type="dxa"/>
            <w:vAlign w:val="bottom"/>
            <w:tcBorders>
              <w:bottom w:val="single" w:sz="8" w:color="CFCFD2"/>
            </w:tcBorders>
          </w:tcPr>
          <w:p>
            <w:pPr>
              <w:spacing w:after="0" w:line="20" w:lineRule="exact"/>
              <w:rPr>
                <w:sz w:val="1"/>
                <w:szCs w:val="1"/>
                <w:color w:val="auto"/>
              </w:rPr>
            </w:pPr>
          </w:p>
        </w:tc>
        <w:tc>
          <w:tcPr>
            <w:tcW w:w="1580" w:type="dxa"/>
            <w:vAlign w:val="bottom"/>
            <w:tcBorders>
              <w:bottom w:val="single" w:sz="8" w:color="CFCFD2"/>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120" w:type="dxa"/>
            <w:vAlign w:val="bottom"/>
            <w:gridSpan w:val="2"/>
          </w:tcPr>
          <w:p>
            <w:pPr>
              <w:ind w:left="560"/>
              <w:spacing w:after="0"/>
              <w:rPr>
                <w:sz w:val="20"/>
                <w:szCs w:val="20"/>
                <w:color w:val="auto"/>
              </w:rPr>
            </w:pPr>
            <w:r>
              <w:rPr>
                <w:rFonts w:ascii="Arial" w:cs="Arial" w:eastAsia="Arial" w:hAnsi="Arial"/>
                <w:sz w:val="14"/>
                <w:szCs w:val="14"/>
                <w:color w:val="0E1020"/>
              </w:rPr>
              <w:t>2023</w:t>
            </w:r>
          </w:p>
        </w:tc>
        <w:tc>
          <w:tcPr>
            <w:tcW w:w="1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0E1020"/>
              </w:rPr>
              <w:t>1,934,108</w:t>
            </w:r>
          </w:p>
        </w:tc>
        <w:tc>
          <w:tcPr>
            <w:tcW w:w="1620" w:type="dxa"/>
            <w:vAlign w:val="bottom"/>
          </w:tcPr>
          <w:p>
            <w:pPr>
              <w:jc w:val="right"/>
              <w:ind w:right="49"/>
              <w:spacing w:after="0"/>
              <w:rPr>
                <w:sz w:val="20"/>
                <w:szCs w:val="20"/>
                <w:color w:val="auto"/>
              </w:rPr>
            </w:pPr>
            <w:r>
              <w:rPr>
                <w:rFonts w:ascii="Arial" w:cs="Arial" w:eastAsia="Arial" w:hAnsi="Arial"/>
                <w:sz w:val="14"/>
                <w:szCs w:val="14"/>
                <w:color w:val="0E1020"/>
              </w:rPr>
              <w:t>(1,606,924)</w:t>
            </w:r>
          </w:p>
        </w:tc>
        <w:tc>
          <w:tcPr>
            <w:tcW w:w="1340" w:type="dxa"/>
            <w:vAlign w:val="bottom"/>
          </w:tcPr>
          <w:p>
            <w:pPr>
              <w:jc w:val="right"/>
              <w:ind w:right="9"/>
              <w:spacing w:after="0"/>
              <w:rPr>
                <w:sz w:val="20"/>
                <w:szCs w:val="20"/>
                <w:color w:val="auto"/>
              </w:rPr>
            </w:pPr>
            <w:r>
              <w:rPr>
                <w:rFonts w:ascii="Arial" w:cs="Arial" w:eastAsia="Arial" w:hAnsi="Arial"/>
                <w:sz w:val="14"/>
                <w:szCs w:val="14"/>
                <w:color w:val="0E1020"/>
              </w:rPr>
              <w:t>78,109</w:t>
            </w:r>
          </w:p>
        </w:tc>
        <w:tc>
          <w:tcPr>
            <w:tcW w:w="1700" w:type="dxa"/>
            <w:vAlign w:val="bottom"/>
          </w:tcPr>
          <w:p>
            <w:pPr>
              <w:jc w:val="right"/>
              <w:ind w:right="29"/>
              <w:spacing w:after="0"/>
              <w:rPr>
                <w:sz w:val="20"/>
                <w:szCs w:val="20"/>
                <w:color w:val="auto"/>
              </w:rPr>
            </w:pPr>
            <w:r>
              <w:rPr>
                <w:rFonts w:ascii="Arial" w:cs="Arial" w:eastAsia="Arial" w:hAnsi="Arial"/>
                <w:sz w:val="14"/>
                <w:szCs w:val="14"/>
                <w:color w:val="0E1020"/>
              </w:rPr>
              <w:t>(108,393)</w:t>
            </w:r>
          </w:p>
        </w:tc>
        <w:tc>
          <w:tcPr>
            <w:tcW w:w="1520" w:type="dxa"/>
            <w:vAlign w:val="bottom"/>
          </w:tcPr>
          <w:p>
            <w:pPr>
              <w:jc w:val="right"/>
              <w:ind w:right="109"/>
              <w:spacing w:after="0"/>
              <w:rPr>
                <w:sz w:val="20"/>
                <w:szCs w:val="20"/>
                <w:color w:val="auto"/>
              </w:rPr>
            </w:pPr>
            <w:r>
              <w:rPr>
                <w:rFonts w:ascii="Arial" w:cs="Arial" w:eastAsia="Arial" w:hAnsi="Arial"/>
                <w:sz w:val="14"/>
                <w:szCs w:val="14"/>
                <w:color w:val="0E1020"/>
              </w:rPr>
              <w:t>3,067</w:t>
            </w:r>
          </w:p>
        </w:tc>
        <w:tc>
          <w:tcPr>
            <w:tcW w:w="1580" w:type="dxa"/>
            <w:vAlign w:val="bottom"/>
          </w:tcPr>
          <w:p>
            <w:pPr>
              <w:jc w:val="right"/>
              <w:ind w:right="129"/>
              <w:spacing w:after="0"/>
              <w:rPr>
                <w:sz w:val="20"/>
                <w:szCs w:val="20"/>
                <w:color w:val="auto"/>
              </w:rPr>
            </w:pPr>
            <w:r>
              <w:rPr>
                <w:rFonts w:ascii="Arial" w:cs="Arial" w:eastAsia="Arial" w:hAnsi="Arial"/>
                <w:sz w:val="14"/>
                <w:szCs w:val="14"/>
                <w:color w:val="0E1020"/>
              </w:rPr>
              <w:t>299,967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660" w:type="dxa"/>
            <w:vAlign w:val="bottom"/>
            <w:tcBorders>
              <w:bottom w:val="single" w:sz="8" w:color="CFCFD2"/>
            </w:tcBorders>
          </w:tcPr>
          <w:p>
            <w:pPr>
              <w:spacing w:after="0" w:line="20" w:lineRule="exact"/>
              <w:rPr>
                <w:sz w:val="1"/>
                <w:szCs w:val="1"/>
                <w:color w:val="auto"/>
              </w:rPr>
            </w:pPr>
          </w:p>
        </w:tc>
        <w:tc>
          <w:tcPr>
            <w:tcW w:w="120" w:type="dxa"/>
            <w:vAlign w:val="bottom"/>
            <w:tcBorders>
              <w:bottom w:val="single" w:sz="8" w:color="CFCFD2"/>
            </w:tcBorders>
          </w:tcPr>
          <w:p>
            <w:pPr>
              <w:spacing w:after="0" w:line="20" w:lineRule="exact"/>
              <w:rPr>
                <w:sz w:val="1"/>
                <w:szCs w:val="1"/>
                <w:color w:val="auto"/>
              </w:rPr>
            </w:pPr>
          </w:p>
        </w:tc>
        <w:tc>
          <w:tcPr>
            <w:tcW w:w="1640" w:type="dxa"/>
            <w:vAlign w:val="bottom"/>
            <w:tcBorders>
              <w:bottom w:val="single" w:sz="8" w:color="CFCFD2"/>
            </w:tcBorders>
          </w:tcPr>
          <w:p>
            <w:pPr>
              <w:spacing w:after="0" w:line="20" w:lineRule="exact"/>
              <w:rPr>
                <w:sz w:val="1"/>
                <w:szCs w:val="1"/>
                <w:color w:val="auto"/>
              </w:rPr>
            </w:pPr>
          </w:p>
        </w:tc>
        <w:tc>
          <w:tcPr>
            <w:tcW w:w="1620" w:type="dxa"/>
            <w:vAlign w:val="bottom"/>
            <w:tcBorders>
              <w:bottom w:val="single" w:sz="8" w:color="CFCFD2"/>
            </w:tcBorders>
          </w:tcPr>
          <w:p>
            <w:pPr>
              <w:spacing w:after="0" w:line="20" w:lineRule="exact"/>
              <w:rPr>
                <w:sz w:val="1"/>
                <w:szCs w:val="1"/>
                <w:color w:val="auto"/>
              </w:rPr>
            </w:pPr>
          </w:p>
        </w:tc>
        <w:tc>
          <w:tcPr>
            <w:tcW w:w="1340" w:type="dxa"/>
            <w:vAlign w:val="bottom"/>
            <w:tcBorders>
              <w:bottom w:val="single" w:sz="8" w:color="CFCFD2"/>
            </w:tcBorders>
          </w:tcPr>
          <w:p>
            <w:pPr>
              <w:spacing w:after="0" w:line="20" w:lineRule="exact"/>
              <w:rPr>
                <w:sz w:val="1"/>
                <w:szCs w:val="1"/>
                <w:color w:val="auto"/>
              </w:rPr>
            </w:pPr>
          </w:p>
        </w:tc>
        <w:tc>
          <w:tcPr>
            <w:tcW w:w="1700" w:type="dxa"/>
            <w:vAlign w:val="bottom"/>
            <w:tcBorders>
              <w:bottom w:val="single" w:sz="8" w:color="CFCFD2"/>
            </w:tcBorders>
          </w:tcPr>
          <w:p>
            <w:pPr>
              <w:spacing w:after="0" w:line="20" w:lineRule="exact"/>
              <w:rPr>
                <w:sz w:val="1"/>
                <w:szCs w:val="1"/>
                <w:color w:val="auto"/>
              </w:rPr>
            </w:pPr>
          </w:p>
        </w:tc>
        <w:tc>
          <w:tcPr>
            <w:tcW w:w="1520" w:type="dxa"/>
            <w:vAlign w:val="bottom"/>
            <w:tcBorders>
              <w:bottom w:val="single" w:sz="8" w:color="CFCFD2"/>
            </w:tcBorders>
          </w:tcPr>
          <w:p>
            <w:pPr>
              <w:spacing w:after="0" w:line="20" w:lineRule="exact"/>
              <w:rPr>
                <w:sz w:val="1"/>
                <w:szCs w:val="1"/>
                <w:color w:val="auto"/>
              </w:rPr>
            </w:pPr>
          </w:p>
        </w:tc>
        <w:tc>
          <w:tcPr>
            <w:tcW w:w="1580" w:type="dxa"/>
            <w:vAlign w:val="bottom"/>
            <w:tcBorders>
              <w:bottom w:val="single" w:sz="8" w:color="CFCFD2"/>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120" w:type="dxa"/>
            <w:vAlign w:val="bottom"/>
            <w:gridSpan w:val="2"/>
          </w:tcPr>
          <w:p>
            <w:pPr>
              <w:ind w:left="560"/>
              <w:spacing w:after="0"/>
              <w:rPr>
                <w:sz w:val="20"/>
                <w:szCs w:val="20"/>
                <w:color w:val="auto"/>
              </w:rPr>
            </w:pPr>
            <w:r>
              <w:rPr>
                <w:rFonts w:ascii="Arial" w:cs="Arial" w:eastAsia="Arial" w:hAnsi="Arial"/>
                <w:sz w:val="14"/>
                <w:szCs w:val="14"/>
                <w:color w:val="0E1020"/>
              </w:rPr>
              <w:t>2022</w:t>
            </w:r>
          </w:p>
        </w:tc>
        <w:tc>
          <w:tcPr>
            <w:tcW w:w="1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0E1020"/>
              </w:rPr>
              <w:t>3,235,621</w:t>
            </w:r>
          </w:p>
        </w:tc>
        <w:tc>
          <w:tcPr>
            <w:tcW w:w="1620" w:type="dxa"/>
            <w:vAlign w:val="bottom"/>
          </w:tcPr>
          <w:p>
            <w:pPr>
              <w:jc w:val="right"/>
              <w:ind w:right="89"/>
              <w:spacing w:after="0"/>
              <w:rPr>
                <w:sz w:val="20"/>
                <w:szCs w:val="20"/>
                <w:color w:val="auto"/>
              </w:rPr>
            </w:pPr>
            <w:r>
              <w:rPr>
                <w:rFonts w:ascii="Arial" w:cs="Arial" w:eastAsia="Arial" w:hAnsi="Arial"/>
                <w:sz w:val="14"/>
                <w:szCs w:val="14"/>
                <w:color w:val="0E1020"/>
              </w:rPr>
              <w:t>370,681</w:t>
            </w:r>
          </w:p>
        </w:tc>
        <w:tc>
          <w:tcPr>
            <w:tcW w:w="1340" w:type="dxa"/>
            <w:vAlign w:val="bottom"/>
          </w:tcPr>
          <w:p>
            <w:pPr>
              <w:jc w:val="right"/>
              <w:ind w:right="9"/>
              <w:spacing w:after="0"/>
              <w:rPr>
                <w:sz w:val="20"/>
                <w:szCs w:val="20"/>
                <w:color w:val="auto"/>
              </w:rPr>
            </w:pPr>
            <w:r>
              <w:rPr>
                <w:rFonts w:ascii="Arial" w:cs="Arial" w:eastAsia="Arial" w:hAnsi="Arial"/>
                <w:sz w:val="14"/>
                <w:szCs w:val="14"/>
                <w:color w:val="0E1020"/>
              </w:rPr>
              <w:t>106,489</w:t>
            </w:r>
          </w:p>
        </w:tc>
        <w:tc>
          <w:tcPr>
            <w:tcW w:w="1700" w:type="dxa"/>
            <w:vAlign w:val="bottom"/>
          </w:tcPr>
          <w:p>
            <w:pPr>
              <w:jc w:val="right"/>
              <w:ind w:right="69"/>
              <w:spacing w:after="0"/>
              <w:rPr>
                <w:sz w:val="20"/>
                <w:szCs w:val="20"/>
                <w:color w:val="auto"/>
              </w:rPr>
            </w:pPr>
            <w:r>
              <w:rPr>
                <w:rFonts w:ascii="Arial" w:cs="Arial" w:eastAsia="Arial" w:hAnsi="Arial"/>
                <w:sz w:val="14"/>
                <w:szCs w:val="14"/>
                <w:color w:val="0E1020"/>
              </w:rPr>
              <w:t>201,597</w:t>
            </w:r>
          </w:p>
        </w:tc>
        <w:tc>
          <w:tcPr>
            <w:tcW w:w="1520" w:type="dxa"/>
            <w:vAlign w:val="bottom"/>
          </w:tcPr>
          <w:p>
            <w:pPr>
              <w:jc w:val="right"/>
              <w:ind w:right="109"/>
              <w:spacing w:after="0"/>
              <w:rPr>
                <w:sz w:val="20"/>
                <w:szCs w:val="20"/>
                <w:color w:val="auto"/>
              </w:rPr>
            </w:pPr>
            <w:r>
              <w:rPr>
                <w:rFonts w:ascii="Arial" w:cs="Arial" w:eastAsia="Arial" w:hAnsi="Arial"/>
                <w:sz w:val="14"/>
                <w:szCs w:val="14"/>
                <w:color w:val="0E1020"/>
              </w:rPr>
              <w:t>6,012</w:t>
            </w:r>
          </w:p>
        </w:tc>
        <w:tc>
          <w:tcPr>
            <w:tcW w:w="1580" w:type="dxa"/>
            <w:vAlign w:val="bottom"/>
          </w:tcPr>
          <w:p>
            <w:pPr>
              <w:jc w:val="right"/>
              <w:ind w:right="129"/>
              <w:spacing w:after="0"/>
              <w:rPr>
                <w:sz w:val="20"/>
                <w:szCs w:val="20"/>
                <w:color w:val="auto"/>
              </w:rPr>
            </w:pPr>
            <w:r>
              <w:rPr>
                <w:rFonts w:ascii="Arial" w:cs="Arial" w:eastAsia="Arial" w:hAnsi="Arial"/>
                <w:sz w:val="14"/>
                <w:szCs w:val="14"/>
                <w:color w:val="0E1020"/>
              </w:rPr>
              <w:t>3,920,400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660" w:type="dxa"/>
            <w:vAlign w:val="bottom"/>
            <w:tcBorders>
              <w:bottom w:val="single" w:sz="8" w:color="CFCFD2"/>
            </w:tcBorders>
          </w:tcPr>
          <w:p>
            <w:pPr>
              <w:spacing w:after="0" w:line="20" w:lineRule="exact"/>
              <w:rPr>
                <w:sz w:val="1"/>
                <w:szCs w:val="1"/>
                <w:color w:val="auto"/>
              </w:rPr>
            </w:pPr>
          </w:p>
        </w:tc>
        <w:tc>
          <w:tcPr>
            <w:tcW w:w="120" w:type="dxa"/>
            <w:vAlign w:val="bottom"/>
            <w:tcBorders>
              <w:bottom w:val="single" w:sz="8" w:color="CFCFD2"/>
            </w:tcBorders>
          </w:tcPr>
          <w:p>
            <w:pPr>
              <w:spacing w:after="0" w:line="20" w:lineRule="exact"/>
              <w:rPr>
                <w:sz w:val="1"/>
                <w:szCs w:val="1"/>
                <w:color w:val="auto"/>
              </w:rPr>
            </w:pPr>
          </w:p>
        </w:tc>
        <w:tc>
          <w:tcPr>
            <w:tcW w:w="1640" w:type="dxa"/>
            <w:vAlign w:val="bottom"/>
            <w:tcBorders>
              <w:bottom w:val="single" w:sz="8" w:color="CFCFD2"/>
            </w:tcBorders>
          </w:tcPr>
          <w:p>
            <w:pPr>
              <w:spacing w:after="0" w:line="20" w:lineRule="exact"/>
              <w:rPr>
                <w:sz w:val="1"/>
                <w:szCs w:val="1"/>
                <w:color w:val="auto"/>
              </w:rPr>
            </w:pPr>
          </w:p>
        </w:tc>
        <w:tc>
          <w:tcPr>
            <w:tcW w:w="1620" w:type="dxa"/>
            <w:vAlign w:val="bottom"/>
            <w:tcBorders>
              <w:bottom w:val="single" w:sz="8" w:color="CFCFD2"/>
            </w:tcBorders>
          </w:tcPr>
          <w:p>
            <w:pPr>
              <w:spacing w:after="0" w:line="20" w:lineRule="exact"/>
              <w:rPr>
                <w:sz w:val="1"/>
                <w:szCs w:val="1"/>
                <w:color w:val="auto"/>
              </w:rPr>
            </w:pPr>
          </w:p>
        </w:tc>
        <w:tc>
          <w:tcPr>
            <w:tcW w:w="1340" w:type="dxa"/>
            <w:vAlign w:val="bottom"/>
            <w:tcBorders>
              <w:bottom w:val="single" w:sz="8" w:color="CFCFD2"/>
            </w:tcBorders>
          </w:tcPr>
          <w:p>
            <w:pPr>
              <w:spacing w:after="0" w:line="20" w:lineRule="exact"/>
              <w:rPr>
                <w:sz w:val="1"/>
                <w:szCs w:val="1"/>
                <w:color w:val="auto"/>
              </w:rPr>
            </w:pPr>
          </w:p>
        </w:tc>
        <w:tc>
          <w:tcPr>
            <w:tcW w:w="1700" w:type="dxa"/>
            <w:vAlign w:val="bottom"/>
            <w:tcBorders>
              <w:bottom w:val="single" w:sz="8" w:color="CFCFD2"/>
            </w:tcBorders>
          </w:tcPr>
          <w:p>
            <w:pPr>
              <w:spacing w:after="0" w:line="20" w:lineRule="exact"/>
              <w:rPr>
                <w:sz w:val="1"/>
                <w:szCs w:val="1"/>
                <w:color w:val="auto"/>
              </w:rPr>
            </w:pPr>
          </w:p>
        </w:tc>
        <w:tc>
          <w:tcPr>
            <w:tcW w:w="1520" w:type="dxa"/>
            <w:vAlign w:val="bottom"/>
            <w:tcBorders>
              <w:bottom w:val="single" w:sz="8" w:color="CFCFD2"/>
            </w:tcBorders>
          </w:tcPr>
          <w:p>
            <w:pPr>
              <w:spacing w:after="0" w:line="20" w:lineRule="exact"/>
              <w:rPr>
                <w:sz w:val="1"/>
                <w:szCs w:val="1"/>
                <w:color w:val="auto"/>
              </w:rPr>
            </w:pPr>
          </w:p>
        </w:tc>
        <w:tc>
          <w:tcPr>
            <w:tcW w:w="1580" w:type="dxa"/>
            <w:vAlign w:val="bottom"/>
            <w:tcBorders>
              <w:bottom w:val="single" w:sz="8" w:color="CFCFD2"/>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80" w:right="60" w:hanging="312"/>
        <w:spacing w:after="0" w:line="267" w:lineRule="auto"/>
        <w:tabs>
          <w:tab w:leader="none" w:pos="453" w:val="left"/>
        </w:tabs>
        <w:numPr>
          <w:ilvl w:val="0"/>
          <w:numId w:val="105"/>
        </w:numPr>
        <w:rPr>
          <w:rFonts w:ascii="Arial" w:cs="Arial" w:eastAsia="Arial" w:hAnsi="Arial"/>
          <w:sz w:val="14"/>
          <w:szCs w:val="14"/>
          <w:color w:val="0E1020"/>
        </w:rPr>
      </w:pPr>
      <w:r>
        <w:rPr>
          <w:rFonts w:ascii="Arial" w:cs="Arial" w:eastAsia="Arial" w:hAnsi="Arial"/>
          <w:sz w:val="14"/>
          <w:szCs w:val="14"/>
          <w:color w:val="0E1020"/>
        </w:rPr>
        <w:t>Peer Group Total Shareholder Return is calculated based on the S&amp;P 600 Information Technology Index, which we also utilize in the stock performance graph required by Item 201(e) of Regulation S-K included in our Annual Report for the year ended March 31, 2026. The comparison assumes $100 was invested on March 31, 2021, then tracked through the end of the listed year in the Company and in the S&amp;P 600 Information Technology Index, respectively. Historical stock performance is not necessarily indicative of future stock performance.</w:t>
      </w:r>
    </w:p>
    <w:p>
      <w:pPr>
        <w:spacing w:after="0" w:line="20" w:lineRule="exact"/>
        <w:rPr>
          <w:rFonts w:ascii="Arial" w:cs="Arial" w:eastAsia="Arial" w:hAnsi="Arial"/>
          <w:sz w:val="14"/>
          <w:szCs w:val="14"/>
          <w:color w:val="0E1020"/>
        </w:rPr>
      </w:pPr>
    </w:p>
    <w:p>
      <w:pPr>
        <w:ind w:left="480" w:right="40" w:hanging="312"/>
        <w:spacing w:after="0" w:line="270" w:lineRule="auto"/>
        <w:tabs>
          <w:tab w:leader="none" w:pos="453" w:val="left"/>
        </w:tabs>
        <w:numPr>
          <w:ilvl w:val="0"/>
          <w:numId w:val="105"/>
        </w:numPr>
        <w:rPr>
          <w:rFonts w:ascii="Arial" w:cs="Arial" w:eastAsia="Arial" w:hAnsi="Arial"/>
          <w:sz w:val="14"/>
          <w:szCs w:val="14"/>
          <w:color w:val="0E1020"/>
        </w:rPr>
      </w:pPr>
      <w:r>
        <w:rPr>
          <w:rFonts w:ascii="Arial" w:cs="Arial" w:eastAsia="Arial" w:hAnsi="Arial"/>
          <w:sz w:val="14"/>
          <w:szCs w:val="14"/>
          <w:color w:val="0E1020"/>
        </w:rPr>
        <w:t>We determined Free Cash Flow to be the most important financial performance measure used to link Company performance to Compensation Actually Paid to our PEO and Non-PEO NEOs in fiscal 2026. Free Cash Flow is a non-GAAP measure that is defined as cash flow from operations less capital expenditures. For a reconciliation of Non-GAAP measures as set forth in this Proxy Statement to the most directly comparable GAAP measure, see “Appendix A - Non-GAAP Financial Measures.”</w:t>
      </w:r>
    </w:p>
    <w:p>
      <w:pPr>
        <w:spacing w:after="0" w:line="238" w:lineRule="exact"/>
        <w:rPr>
          <w:sz w:val="20"/>
          <w:szCs w:val="20"/>
          <w:color w:val="auto"/>
        </w:rPr>
      </w:pPr>
    </w:p>
    <w:p>
      <w:pPr>
        <w:ind w:right="160"/>
        <w:spacing w:after="0" w:line="340" w:lineRule="auto"/>
        <w:rPr>
          <w:sz w:val="20"/>
          <w:szCs w:val="20"/>
          <w:color w:val="auto"/>
        </w:rPr>
      </w:pPr>
      <w:r>
        <w:rPr>
          <w:rFonts w:ascii="Arial" w:cs="Arial" w:eastAsia="Arial" w:hAnsi="Arial"/>
          <w:sz w:val="18"/>
          <w:szCs w:val="18"/>
          <w:b w:val="1"/>
          <w:bCs w:val="1"/>
          <w:color w:val="0E1020"/>
        </w:rPr>
        <w:t>Tabular List of DXC’s Most Important Financial Performance Measures That Link Compensation Actually Paid to the PEO and Non-PEO NEOs for Fiscal 2026</w:t>
      </w:r>
    </w:p>
    <w:p>
      <w:pPr>
        <w:spacing w:after="0" w:line="8" w:lineRule="exact"/>
        <w:rPr>
          <w:sz w:val="20"/>
          <w:szCs w:val="20"/>
          <w:color w:val="auto"/>
        </w:rPr>
      </w:pPr>
    </w:p>
    <w:p>
      <w:pPr>
        <w:spacing w:after="0" w:line="316" w:lineRule="auto"/>
        <w:rPr>
          <w:sz w:val="20"/>
          <w:szCs w:val="20"/>
          <w:color w:val="auto"/>
        </w:rPr>
      </w:pPr>
      <w:r>
        <w:rPr>
          <w:rFonts w:ascii="Arial" w:cs="Arial" w:eastAsia="Arial" w:hAnsi="Arial"/>
          <w:sz w:val="16"/>
          <w:szCs w:val="16"/>
          <w:color w:val="0E1020"/>
        </w:rPr>
        <w:t>We consider the list below to represent DXC’s most important financial performance measures that link compensation paid to our PEO and our non-PEO NEOs for fiscal 2026 to Company performance, as they are the key metrics that determine the payouts under DXC’s annual cash incentive plan as well as the Performance Stock Units in the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41275</wp:posOffset>
            </wp:positionV>
            <wp:extent cx="228981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289810" cy="8255"/>
                    </a:xfrm>
                    <a:prstGeom prst="rect">
                      <a:avLst/>
                    </a:prstGeom>
                    <a:noFill/>
                  </pic:spPr>
                </pic:pic>
              </a:graphicData>
            </a:graphic>
          </wp:anchor>
        </w:drawing>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E1020"/>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31115</wp:posOffset>
            </wp:positionV>
            <wp:extent cx="228981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289810" cy="8255"/>
                    </a:xfrm>
                    <a:prstGeom prst="rect">
                      <a:avLst/>
                    </a:prstGeom>
                    <a:noFill/>
                  </pic:spPr>
                </pic:pic>
              </a:graphicData>
            </a:graphic>
          </wp:anchor>
        </w:drawing>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E1020"/>
        </w:rPr>
        <w:t>Organic Revenue Growth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31115</wp:posOffset>
            </wp:positionV>
            <wp:extent cx="228981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289810" cy="8255"/>
                    </a:xfrm>
                    <a:prstGeom prst="rect">
                      <a:avLst/>
                    </a:prstGeom>
                    <a:noFill/>
                  </pic:spPr>
                </pic:pic>
              </a:graphicData>
            </a:graphic>
          </wp:anchor>
        </w:drawing>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E1020"/>
        </w:rPr>
        <w:t>Adjusted EBIT Margin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31115</wp:posOffset>
            </wp:positionV>
            <wp:extent cx="228981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289810" cy="8255"/>
                    </a:xfrm>
                    <a:prstGeom prst="rect">
                      <a:avLst/>
                    </a:prstGeom>
                    <a:noFill/>
                  </pic:spPr>
                </pic:pic>
              </a:graphicData>
            </a:graphic>
          </wp:anchor>
        </w:drawing>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E1020"/>
        </w:rPr>
        <w:t>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31115</wp:posOffset>
            </wp:positionV>
            <wp:extent cx="228981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289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548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101</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09" w:name="page110"/>
    <w:bookmarkEnd w:id="109"/>
    <w:p>
      <w:pPr>
        <w:ind w:left="20"/>
        <w:spacing w:after="0"/>
        <w:tabs>
          <w:tab w:leader="none" w:pos="10100" w:val="left"/>
        </w:tabs>
        <w:rPr>
          <w:sz w:val="20"/>
          <w:szCs w:val="20"/>
          <w:color w:val="auto"/>
        </w:rPr>
      </w:pPr>
      <w:r>
        <w:rPr>
          <w:rFonts w:ascii="Arial" w:cs="Arial" w:eastAsia="Arial" w:hAnsi="Arial"/>
          <w:sz w:val="14"/>
          <w:szCs w:val="14"/>
          <w:color w:val="0E1020"/>
        </w:rPr>
        <w:t>Executive Compensation Tables</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Relationship between Pay and Performance</w:t>
      </w:r>
    </w:p>
    <w:p>
      <w:pPr>
        <w:spacing w:after="0" w:line="146"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0E1020"/>
        </w:rPr>
        <w:t>The following charts set forth the relationship between CAP to our PEO, the average CAP to our non-PEO NEOs and (1) the Company’s cumulative TSR and the Peer Group’s cumulative TSR, (2) Net Income, and (3) Free Cash Flow, each over the five completed years from fiscal 2022 through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260985</wp:posOffset>
            </wp:positionV>
            <wp:extent cx="5720080" cy="524319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720080" cy="524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548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102</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110" w:name="page111"/>
    <w:bookmarkEnd w:id="110"/>
    <w:p>
      <w:pPr>
        <w:spacing w:after="0"/>
        <w:tabs>
          <w:tab w:leader="none" w:pos="916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0E1020"/>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652780</wp:posOffset>
            </wp:positionV>
            <wp:extent cx="5720080" cy="2451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72008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5460" w:val="left"/>
          <w:tab w:leader="none" w:pos="976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103</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146050</wp:posOffset>
            </wp:positionV>
            <wp:extent cx="715899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224" w:right="359" w:bottom="1440" w:gutter="0" w:footer="0" w:header="0"/>
        </w:sectPr>
      </w:pPr>
    </w:p>
    <w:bookmarkStart w:id="111" w:name="page112"/>
    <w:bookmarkEnd w:id="111"/>
    <w:p>
      <w:pPr>
        <w:jc w:val="right"/>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216535</wp:posOffset>
            </wp:positionH>
            <wp:positionV relativeFrom="page">
              <wp:posOffset>106045</wp:posOffset>
            </wp:positionV>
            <wp:extent cx="1166495" cy="3232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232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39"/>
          <w:szCs w:val="39"/>
          <w:b w:val="1"/>
          <w:bCs w:val="1"/>
          <w:color w:val="0E1020"/>
        </w:rPr>
        <w:t>ABOUT THE ANNUAL MEETING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0E1020"/>
        </w:rPr>
        <w:t>We are providing these proxy materials in connection with the Annual Meeting of DXC.</w:t>
      </w:r>
    </w:p>
    <w:p>
      <w:pPr>
        <w:spacing w:after="0" w:line="124"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0E1020"/>
        </w:rPr>
        <w:t>The Notice of Internet Availability of Proxy Materials (notice), this Proxy Statement and any accompanying proxy card were first made available to stockholders on or about June 4, 2026. Our annual report to stockholders for the fiscal year ended March 31, 2026, is being provided with this Proxy Statement. This Proxy Statement contains important information for you to consider when deciding how to vote on the matters brought before the Annual Meeting. Please read it carefully.</w:t>
      </w:r>
    </w:p>
    <w:p>
      <w:pPr>
        <w:spacing w:after="0" w:line="60"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0E1020"/>
        </w:rPr>
        <w:t>We are delivering proxy materials for the Annual Meeting under the United States SEC’s “Notice and Access” rules. These rules permit us to furnish proxy materials, including this Proxy Statement and our annual report to stockholders for the fiscal year ended March 31, 2026, to our stockholders by providing access to such documents on the Internet instead of mailing printed copies. Most stockholders received the notice, which provides instructions on how you may access and review all the proxy materials on the Internet. The notice also instructs you as to how you may submit your proxy on the Internet. You can find more information about Notice and Access in “Questions and Answers about the Annual Meeting and Voting.”</w:t>
      </w:r>
    </w:p>
    <w:p>
      <w:pPr>
        <w:spacing w:after="0" w:line="142"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Questions and Answers about the Annual Meeting and Voting</w:t>
      </w:r>
    </w:p>
    <w:p>
      <w:pPr>
        <w:spacing w:after="0" w:line="150" w:lineRule="exact"/>
        <w:rPr>
          <w:sz w:val="20"/>
          <w:szCs w:val="20"/>
          <w:color w:val="auto"/>
        </w:rPr>
      </w:pPr>
    </w:p>
    <w:p>
      <w:pPr>
        <w:ind w:left="320" w:hanging="313"/>
        <w:spacing w:after="0"/>
        <w:tabs>
          <w:tab w:leader="none" w:pos="320" w:val="left"/>
        </w:tabs>
        <w:numPr>
          <w:ilvl w:val="0"/>
          <w:numId w:val="106"/>
        </w:numPr>
        <w:rPr>
          <w:rFonts w:ascii="Arial" w:cs="Arial" w:eastAsia="Arial" w:hAnsi="Arial"/>
          <w:sz w:val="16"/>
          <w:szCs w:val="16"/>
          <w:b w:val="1"/>
          <w:bCs w:val="1"/>
          <w:i w:val="1"/>
          <w:iCs w:val="1"/>
          <w:color w:val="0E1020"/>
        </w:rPr>
      </w:pPr>
      <w:r>
        <w:rPr>
          <w:rFonts w:ascii="Arial" w:cs="Arial" w:eastAsia="Arial" w:hAnsi="Arial"/>
          <w:sz w:val="16"/>
          <w:szCs w:val="16"/>
          <w:b w:val="1"/>
          <w:bCs w:val="1"/>
          <w:i w:val="1"/>
          <w:iCs w:val="1"/>
          <w:color w:val="0E1020"/>
        </w:rPr>
        <w:t>Who is soliciting my vote?</w:t>
      </w:r>
    </w:p>
    <w:p>
      <w:pPr>
        <w:spacing w:after="0" w:line="135" w:lineRule="exact"/>
        <w:rPr>
          <w:rFonts w:ascii="Arial" w:cs="Arial" w:eastAsia="Arial" w:hAnsi="Arial"/>
          <w:sz w:val="16"/>
          <w:szCs w:val="16"/>
          <w:b w:val="1"/>
          <w:bCs w:val="1"/>
          <w:i w:val="1"/>
          <w:iCs w:val="1"/>
          <w:color w:val="0E1020"/>
        </w:rPr>
      </w:pPr>
    </w:p>
    <w:p>
      <w:pPr>
        <w:ind w:left="320"/>
        <w:spacing w:after="0"/>
        <w:rPr>
          <w:rFonts w:ascii="Arial" w:cs="Arial" w:eastAsia="Arial" w:hAnsi="Arial"/>
          <w:sz w:val="16"/>
          <w:szCs w:val="16"/>
          <w:b w:val="1"/>
          <w:bCs w:val="1"/>
          <w:i w:val="1"/>
          <w:iCs w:val="1"/>
          <w:color w:val="0E1020"/>
        </w:rPr>
      </w:pPr>
      <w:r>
        <w:rPr>
          <w:rFonts w:ascii="Arial" w:cs="Arial" w:eastAsia="Arial" w:hAnsi="Arial"/>
          <w:sz w:val="16"/>
          <w:szCs w:val="16"/>
          <w:color w:val="0E1020"/>
        </w:rPr>
        <w:t>The Board of Directors of DXC is soliciting your vote at the 2026 Annual Meeting.</w:t>
      </w:r>
    </w:p>
    <w:p>
      <w:pPr>
        <w:spacing w:after="0" w:line="126" w:lineRule="exact"/>
        <w:rPr>
          <w:rFonts w:ascii="Arial" w:cs="Arial" w:eastAsia="Arial" w:hAnsi="Arial"/>
          <w:sz w:val="16"/>
          <w:szCs w:val="16"/>
          <w:b w:val="1"/>
          <w:bCs w:val="1"/>
          <w:i w:val="1"/>
          <w:iCs w:val="1"/>
          <w:color w:val="0E1020"/>
        </w:rPr>
      </w:pPr>
    </w:p>
    <w:p>
      <w:pPr>
        <w:ind w:left="300" w:hanging="293"/>
        <w:spacing w:after="0"/>
        <w:tabs>
          <w:tab w:leader="none" w:pos="300" w:val="left"/>
        </w:tabs>
        <w:numPr>
          <w:ilvl w:val="0"/>
          <w:numId w:val="106"/>
        </w:numPr>
        <w:rPr>
          <w:rFonts w:ascii="Arial" w:cs="Arial" w:eastAsia="Arial" w:hAnsi="Arial"/>
          <w:sz w:val="16"/>
          <w:szCs w:val="16"/>
          <w:b w:val="1"/>
          <w:bCs w:val="1"/>
          <w:i w:val="1"/>
          <w:iCs w:val="1"/>
          <w:color w:val="0E1020"/>
        </w:rPr>
      </w:pPr>
      <w:r>
        <w:rPr>
          <w:rFonts w:ascii="Arial" w:cs="Arial" w:eastAsia="Arial" w:hAnsi="Arial"/>
          <w:sz w:val="16"/>
          <w:szCs w:val="16"/>
          <w:b w:val="1"/>
          <w:bCs w:val="1"/>
          <w:i w:val="1"/>
          <w:iCs w:val="1"/>
          <w:color w:val="0E1020"/>
        </w:rPr>
        <w:t>When will the meeting take place?</w:t>
      </w:r>
    </w:p>
    <w:p>
      <w:pPr>
        <w:spacing w:after="0" w:line="136" w:lineRule="exact"/>
        <w:rPr>
          <w:sz w:val="20"/>
          <w:szCs w:val="20"/>
          <w:color w:val="auto"/>
        </w:rPr>
      </w:pPr>
    </w:p>
    <w:p>
      <w:pPr>
        <w:ind w:left="320" w:right="160"/>
        <w:spacing w:after="0" w:line="318" w:lineRule="auto"/>
        <w:rPr>
          <w:sz w:val="20"/>
          <w:szCs w:val="20"/>
          <w:color w:val="auto"/>
        </w:rPr>
      </w:pPr>
      <w:r>
        <w:rPr>
          <w:rFonts w:ascii="Arial" w:cs="Arial" w:eastAsia="Arial" w:hAnsi="Arial"/>
          <w:sz w:val="16"/>
          <w:szCs w:val="16"/>
          <w:color w:val="0E1020"/>
        </w:rPr>
        <w:t>The Annual Meeting will be a completely virtual meeting of stockholders, which will be conducted via live webcast on Tuesday, July 21, 2026. There will not be a physical location for the Annual Meeting.</w:t>
      </w:r>
    </w:p>
    <w:p>
      <w:pPr>
        <w:spacing w:after="0" w:line="49" w:lineRule="exact"/>
        <w:rPr>
          <w:sz w:val="20"/>
          <w:szCs w:val="20"/>
          <w:color w:val="auto"/>
        </w:rPr>
      </w:pPr>
    </w:p>
    <w:p>
      <w:pPr>
        <w:ind w:left="320" w:right="20"/>
        <w:spacing w:after="0" w:line="335" w:lineRule="auto"/>
        <w:rPr>
          <w:sz w:val="20"/>
          <w:szCs w:val="20"/>
          <w:color w:val="auto"/>
        </w:rPr>
      </w:pPr>
      <w:r>
        <w:rPr>
          <w:rFonts w:ascii="Arial" w:cs="Arial" w:eastAsia="Arial" w:hAnsi="Arial"/>
          <w:sz w:val="16"/>
          <w:szCs w:val="16"/>
          <w:color w:val="0E1020"/>
        </w:rPr>
        <w:t>You are entitled to participate in the Annual Meeting only if you were a stockholder as of the record date (as defined below) or if you hold a valid proxy for the Annual Meeting.</w:t>
      </w:r>
    </w:p>
    <w:p>
      <w:pPr>
        <w:spacing w:after="0" w:line="23" w:lineRule="exact"/>
        <w:rPr>
          <w:sz w:val="20"/>
          <w:szCs w:val="20"/>
          <w:color w:val="auto"/>
        </w:rPr>
      </w:pPr>
    </w:p>
    <w:p>
      <w:pPr>
        <w:ind w:left="320" w:right="100"/>
        <w:spacing w:after="0" w:line="316" w:lineRule="auto"/>
        <w:rPr>
          <w:sz w:val="20"/>
          <w:szCs w:val="20"/>
          <w:color w:val="auto"/>
        </w:rPr>
      </w:pPr>
      <w:r>
        <w:rPr>
          <w:rFonts w:ascii="Arial" w:cs="Arial" w:eastAsia="Arial" w:hAnsi="Arial"/>
          <w:sz w:val="16"/>
          <w:szCs w:val="16"/>
          <w:color w:val="0E1020"/>
        </w:rPr>
        <w:t xml:space="preserve">You will be able to attend the Annual Meeting online and submit your questions before and during the meeting by visiting </w:t>
      </w:r>
      <w:r>
        <w:rPr>
          <w:rFonts w:ascii="Arial" w:cs="Arial" w:eastAsia="Arial" w:hAnsi="Arial"/>
          <w:sz w:val="16"/>
          <w:szCs w:val="16"/>
          <w:b w:val="1"/>
          <w:bCs w:val="1"/>
          <w:color w:val="0E1020"/>
        </w:rPr>
        <w:t>www.virtualshareholdermeeting.com/DXC2026</w:t>
      </w:r>
      <w:r>
        <w:rPr>
          <w:rFonts w:ascii="Arial" w:cs="Arial" w:eastAsia="Arial" w:hAnsi="Arial"/>
          <w:sz w:val="16"/>
          <w:szCs w:val="16"/>
          <w:color w:val="0E1020"/>
        </w:rPr>
        <w:t>. You will also be able to vote your shares electronically at the Annual Meeting (other than shares held</w:t>
      </w:r>
      <w:r>
        <w:rPr>
          <w:rFonts w:ascii="Arial" w:cs="Arial" w:eastAsia="Arial" w:hAnsi="Arial"/>
          <w:sz w:val="16"/>
          <w:szCs w:val="16"/>
          <w:b w:val="1"/>
          <w:bCs w:val="1"/>
          <w:color w:val="0E1020"/>
        </w:rPr>
        <w:t xml:space="preserve"> </w:t>
      </w:r>
      <w:r>
        <w:rPr>
          <w:rFonts w:ascii="Arial" w:cs="Arial" w:eastAsia="Arial" w:hAnsi="Arial"/>
          <w:sz w:val="16"/>
          <w:szCs w:val="16"/>
          <w:color w:val="0E1020"/>
        </w:rPr>
        <w:t>through our Matched Asset Plan, which must be voted prior to the Annual Meeting).</w:t>
      </w:r>
    </w:p>
    <w:p>
      <w:pPr>
        <w:spacing w:after="0" w:line="37" w:lineRule="exact"/>
        <w:rPr>
          <w:sz w:val="20"/>
          <w:szCs w:val="20"/>
          <w:color w:val="auto"/>
        </w:rPr>
      </w:pPr>
    </w:p>
    <w:p>
      <w:pPr>
        <w:ind w:left="320" w:right="60"/>
        <w:spacing w:after="0" w:line="302" w:lineRule="auto"/>
        <w:rPr>
          <w:sz w:val="20"/>
          <w:szCs w:val="20"/>
          <w:color w:val="auto"/>
        </w:rPr>
      </w:pPr>
      <w:r>
        <w:rPr>
          <w:rFonts w:ascii="Arial" w:cs="Arial" w:eastAsia="Arial" w:hAnsi="Arial"/>
          <w:sz w:val="16"/>
          <w:szCs w:val="16"/>
          <w:color w:val="0E1020"/>
        </w:rPr>
        <w:t>To participate in the Annual Meeting, you will need to have the 16-digit control number. Without first obtaining your 16-digit control number and logging in as a “stockholder,” you will still be able to attend the meeting by logging in as a guest; however, you will not be able to vote your shares or ask questions during the meeting. If you are a beneficial owner of shares held in street name and do not have a 16-digit control number on the notice, on your proxy card or on the instructions that accompanied your proxy materials, please contact your broker, bank or other nominee well in advance of the Annual Meeting for instructions on how to obtain a 16-digit control number and access the virtual meeting as a “stockholder.”</w:t>
      </w:r>
    </w:p>
    <w:p>
      <w:pPr>
        <w:spacing w:after="0" w:line="62" w:lineRule="exact"/>
        <w:rPr>
          <w:sz w:val="20"/>
          <w:szCs w:val="20"/>
          <w:color w:val="auto"/>
        </w:rPr>
      </w:pPr>
    </w:p>
    <w:p>
      <w:pPr>
        <w:ind w:left="320" w:right="80"/>
        <w:spacing w:after="0" w:line="335" w:lineRule="auto"/>
        <w:rPr>
          <w:sz w:val="20"/>
          <w:szCs w:val="20"/>
          <w:color w:val="auto"/>
        </w:rPr>
      </w:pPr>
      <w:r>
        <w:rPr>
          <w:rFonts w:ascii="Arial" w:cs="Arial" w:eastAsia="Arial" w:hAnsi="Arial"/>
          <w:sz w:val="16"/>
          <w:szCs w:val="16"/>
          <w:color w:val="0E1020"/>
        </w:rPr>
        <w:t>The meeting webcast will begin promptly at 8:00 a.m. Eastern Time. We encourage you to access the meeting prior to the start time. Online check-in will begin at 7:45 a.m. Eastern Time, and you should allow ample time for the check-in procedures.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548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104</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112" w:name="page113"/>
    <w:bookmarkEnd w:id="112"/>
    <w:p>
      <w:pPr>
        <w:ind w:left="20"/>
        <w:spacing w:after="0"/>
        <w:tabs>
          <w:tab w:leader="none" w:pos="956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auto"/>
        </w:rPr>
        <w:t>About the Annual Meeting</w:t>
      </w:r>
    </w:p>
    <w:p>
      <w:pPr>
        <w:spacing w:after="0" w:line="200" w:lineRule="exact"/>
        <w:rPr>
          <w:sz w:val="20"/>
          <w:szCs w:val="20"/>
          <w:color w:val="auto"/>
        </w:rPr>
      </w:pPr>
    </w:p>
    <w:p>
      <w:pPr>
        <w:spacing w:after="0" w:line="360"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i w:val="1"/>
          <w:iCs w:val="1"/>
          <w:color w:val="0E1020"/>
        </w:rPr>
        <w:t>3.</w:t>
        <w:tab/>
        <w:t>Why a virtual meeting?</w:t>
      </w:r>
    </w:p>
    <w:p>
      <w:pPr>
        <w:spacing w:after="0" w:line="122" w:lineRule="exact"/>
        <w:rPr>
          <w:sz w:val="20"/>
          <w:szCs w:val="20"/>
          <w:color w:val="auto"/>
        </w:rPr>
      </w:pPr>
    </w:p>
    <w:p>
      <w:pPr>
        <w:jc w:val="both"/>
        <w:ind w:left="320" w:right="560"/>
        <w:spacing w:after="0" w:line="316" w:lineRule="auto"/>
        <w:rPr>
          <w:sz w:val="20"/>
          <w:szCs w:val="20"/>
          <w:color w:val="auto"/>
        </w:rPr>
      </w:pPr>
      <w:r>
        <w:rPr>
          <w:rFonts w:ascii="Arial" w:cs="Arial" w:eastAsia="Arial" w:hAnsi="Arial"/>
          <w:sz w:val="16"/>
          <w:szCs w:val="16"/>
          <w:color w:val="0E1020"/>
        </w:rPr>
        <w:t>We are pleased to offer our stockholders a completely virtual Annual Meeting. We believe that this is the right choice for the Company, as a virtual meeting provides worldwide access, improved communication and cost savings for our stockholders and DXC. We are committed to ensuring that stockholders will be afforded the same rights and opportunities to participate as they would at an in-person meeting.</w:t>
      </w:r>
    </w:p>
    <w:p>
      <w:pPr>
        <w:spacing w:after="0" w:line="51" w:lineRule="exact"/>
        <w:rPr>
          <w:sz w:val="20"/>
          <w:szCs w:val="20"/>
          <w:color w:val="auto"/>
        </w:rPr>
      </w:pPr>
    </w:p>
    <w:p>
      <w:pPr>
        <w:ind w:left="320" w:right="120"/>
        <w:spacing w:after="0" w:line="307" w:lineRule="auto"/>
        <w:rPr>
          <w:sz w:val="20"/>
          <w:szCs w:val="20"/>
          <w:color w:val="auto"/>
        </w:rPr>
      </w:pPr>
      <w:r>
        <w:rPr>
          <w:rFonts w:ascii="Arial" w:cs="Arial" w:eastAsia="Arial" w:hAnsi="Arial"/>
          <w:sz w:val="16"/>
          <w:szCs w:val="16"/>
          <w:color w:val="0E1020"/>
        </w:rPr>
        <w:t xml:space="preserve">You will be able to attend the Annual Meeting online and submit your questions before and during the meeting by visiting </w:t>
      </w:r>
      <w:r>
        <w:rPr>
          <w:rFonts w:ascii="Arial" w:cs="Arial" w:eastAsia="Arial" w:hAnsi="Arial"/>
          <w:sz w:val="16"/>
          <w:szCs w:val="16"/>
          <w:b w:val="1"/>
          <w:bCs w:val="1"/>
          <w:color w:val="0E1020"/>
        </w:rPr>
        <w:t>www.virtualshareholdermeeting.com/DXC2026</w:t>
      </w:r>
      <w:r>
        <w:rPr>
          <w:rFonts w:ascii="Arial" w:cs="Arial" w:eastAsia="Arial" w:hAnsi="Arial"/>
          <w:sz w:val="16"/>
          <w:szCs w:val="16"/>
          <w:color w:val="0E1020"/>
        </w:rPr>
        <w:t>. You also will be able to vote your shares electronically at the Annual Meeting (other than shares held</w:t>
      </w:r>
      <w:r>
        <w:rPr>
          <w:rFonts w:ascii="Arial" w:cs="Arial" w:eastAsia="Arial" w:hAnsi="Arial"/>
          <w:sz w:val="16"/>
          <w:szCs w:val="16"/>
          <w:b w:val="1"/>
          <w:bCs w:val="1"/>
          <w:color w:val="0E1020"/>
        </w:rPr>
        <w:t xml:space="preserve"> </w:t>
      </w:r>
      <w:r>
        <w:rPr>
          <w:rFonts w:ascii="Arial" w:cs="Arial" w:eastAsia="Arial" w:hAnsi="Arial"/>
          <w:sz w:val="16"/>
          <w:szCs w:val="16"/>
          <w:color w:val="0E1020"/>
        </w:rPr>
        <w:t>through our Matched Asset Plan, which must be voted prior to the meeting).</w:t>
      </w:r>
    </w:p>
    <w:p>
      <w:pPr>
        <w:spacing w:after="0" w:line="60"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i w:val="1"/>
          <w:iCs w:val="1"/>
          <w:color w:val="0E1020"/>
        </w:rPr>
        <w:t>4.</w:t>
        <w:tab/>
        <w:t>What if during the check-in time or during the meeting I have technical difficulties or trouble accessing the virtual meeting website?</w:t>
      </w:r>
    </w:p>
    <w:p>
      <w:pPr>
        <w:spacing w:after="0" w:line="122" w:lineRule="exact"/>
        <w:rPr>
          <w:sz w:val="20"/>
          <w:szCs w:val="20"/>
          <w:color w:val="auto"/>
        </w:rPr>
      </w:pPr>
    </w:p>
    <w:p>
      <w:pPr>
        <w:ind w:left="320" w:right="260"/>
        <w:spacing w:after="0" w:line="335" w:lineRule="auto"/>
        <w:rPr>
          <w:sz w:val="20"/>
          <w:szCs w:val="20"/>
          <w:color w:val="auto"/>
        </w:rPr>
      </w:pPr>
      <w:r>
        <w:rPr>
          <w:rFonts w:ascii="Arial" w:cs="Arial" w:eastAsia="Arial" w:hAnsi="Arial"/>
          <w:sz w:val="16"/>
          <w:szCs w:val="16"/>
          <w:color w:val="0E1020"/>
        </w:rPr>
        <w:t>We will have technicians ready to assist you with any technical difficulties you may have accessing the virtual meeting. If you encounter any difficulties accessing the virtual meeting during the check-in or meeting time, please call the numbers that will be listed on the virtual meeting website.</w:t>
      </w:r>
    </w:p>
    <w:p>
      <w:pPr>
        <w:spacing w:after="0" w:line="25"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i w:val="1"/>
          <w:iCs w:val="1"/>
          <w:color w:val="0E1020"/>
        </w:rPr>
        <w:t>5.</w:t>
        <w:tab/>
        <w:t>How can I submit a question for the Annual Meeting?</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6"/>
          <w:szCs w:val="16"/>
          <w:color w:val="0E1020"/>
        </w:rPr>
        <w:t>You will be able to submit questions before and during the meeting. Only validated stockholders will be able to submit questions.</w:t>
      </w:r>
    </w:p>
    <w:p>
      <w:pPr>
        <w:spacing w:after="0" w:line="124" w:lineRule="exact"/>
        <w:rPr>
          <w:sz w:val="20"/>
          <w:szCs w:val="20"/>
          <w:color w:val="auto"/>
        </w:rPr>
      </w:pPr>
    </w:p>
    <w:p>
      <w:pPr>
        <w:ind w:left="320" w:right="20"/>
        <w:spacing w:after="0" w:line="310" w:lineRule="auto"/>
        <w:rPr>
          <w:sz w:val="20"/>
          <w:szCs w:val="20"/>
          <w:color w:val="auto"/>
        </w:rPr>
      </w:pPr>
      <w:r>
        <w:rPr>
          <w:rFonts w:ascii="Arial" w:cs="Arial" w:eastAsia="Arial" w:hAnsi="Arial"/>
          <w:sz w:val="16"/>
          <w:szCs w:val="16"/>
          <w:color w:val="0E1020"/>
        </w:rPr>
        <w:t xml:space="preserve">You will be able to attend the Annual Meeting online and submit your questions during the meeting by visiting </w:t>
      </w:r>
      <w:r>
        <w:rPr>
          <w:rFonts w:ascii="Arial" w:cs="Arial" w:eastAsia="Arial" w:hAnsi="Arial"/>
          <w:sz w:val="16"/>
          <w:szCs w:val="16"/>
          <w:b w:val="1"/>
          <w:bCs w:val="1"/>
          <w:color w:val="0E1020"/>
        </w:rPr>
        <w:t xml:space="preserve">www.virtualshareholdermeeting.com/DXC2026 </w:t>
      </w:r>
      <w:r>
        <w:rPr>
          <w:rFonts w:ascii="Arial" w:cs="Arial" w:eastAsia="Arial" w:hAnsi="Arial"/>
          <w:sz w:val="16"/>
          <w:szCs w:val="16"/>
          <w:color w:val="0E1020"/>
        </w:rPr>
        <w:t>and typing your question into the “Ask a Question” field, and clicking “Submit.” Stockholders may begin</w:t>
      </w:r>
      <w:r>
        <w:rPr>
          <w:rFonts w:ascii="Arial" w:cs="Arial" w:eastAsia="Arial" w:hAnsi="Arial"/>
          <w:sz w:val="16"/>
          <w:szCs w:val="16"/>
          <w:b w:val="1"/>
          <w:bCs w:val="1"/>
          <w:color w:val="0E1020"/>
        </w:rPr>
        <w:t xml:space="preserve"> </w:t>
      </w:r>
      <w:r>
        <w:rPr>
          <w:rFonts w:ascii="Arial" w:cs="Arial" w:eastAsia="Arial" w:hAnsi="Arial"/>
          <w:sz w:val="16"/>
          <w:szCs w:val="16"/>
          <w:color w:val="0E1020"/>
        </w:rPr>
        <w:t>submitting written questions through the Internet portal at 7:30 a.m. Eastern Time on July 21, 2026. The live webcast of the Annual Meeting will begin at 8:00 a.m. Eastern Time.</w:t>
      </w:r>
    </w:p>
    <w:p>
      <w:pPr>
        <w:spacing w:after="0" w:line="41" w:lineRule="exact"/>
        <w:rPr>
          <w:sz w:val="20"/>
          <w:szCs w:val="20"/>
          <w:color w:val="auto"/>
        </w:rPr>
      </w:pPr>
    </w:p>
    <w:p>
      <w:pPr>
        <w:ind w:left="320"/>
        <w:spacing w:after="0" w:line="316" w:lineRule="auto"/>
        <w:rPr>
          <w:sz w:val="20"/>
          <w:szCs w:val="20"/>
          <w:color w:val="auto"/>
        </w:rPr>
      </w:pPr>
      <w:r>
        <w:rPr>
          <w:rFonts w:ascii="Arial" w:cs="Arial" w:eastAsia="Arial" w:hAnsi="Arial"/>
          <w:sz w:val="16"/>
          <w:szCs w:val="16"/>
          <w:color w:val="0E1020"/>
        </w:rPr>
        <w:t xml:space="preserve">Likewise, you will be able to submit questions before the meeting through </w:t>
      </w:r>
      <w:r>
        <w:rPr>
          <w:rFonts w:ascii="Arial" w:cs="Arial" w:eastAsia="Arial" w:hAnsi="Arial"/>
          <w:sz w:val="16"/>
          <w:szCs w:val="16"/>
          <w:b w:val="1"/>
          <w:bCs w:val="1"/>
          <w:color w:val="0E1020"/>
        </w:rPr>
        <w:t>www.proxyvote.com</w:t>
      </w:r>
      <w:r>
        <w:rPr>
          <w:rFonts w:ascii="Arial" w:cs="Arial" w:eastAsia="Arial" w:hAnsi="Arial"/>
          <w:sz w:val="16"/>
          <w:szCs w:val="16"/>
          <w:color w:val="0E1020"/>
        </w:rPr>
        <w:t xml:space="preserve"> from the time you receive your notice until the date of the Annual Meeting. You will need the 16-digit control number included on your notice to log in to www.proxyvote.com and submit your question by typing your question into the “Submit a Question for Management” field and clicking “Submit.”</w:t>
      </w:r>
    </w:p>
    <w:p>
      <w:pPr>
        <w:spacing w:after="0" w:line="37" w:lineRule="exact"/>
        <w:rPr>
          <w:sz w:val="20"/>
          <w:szCs w:val="20"/>
          <w:color w:val="auto"/>
        </w:rPr>
      </w:pPr>
    </w:p>
    <w:p>
      <w:pPr>
        <w:ind w:left="320" w:right="80"/>
        <w:spacing w:after="0" w:line="304" w:lineRule="auto"/>
        <w:rPr>
          <w:sz w:val="20"/>
          <w:szCs w:val="20"/>
          <w:color w:val="auto"/>
        </w:rPr>
      </w:pPr>
      <w:r>
        <w:rPr>
          <w:rFonts w:ascii="Arial" w:cs="Arial" w:eastAsia="Arial" w:hAnsi="Arial"/>
          <w:sz w:val="16"/>
          <w:szCs w:val="16"/>
          <w:color w:val="0E1020"/>
        </w:rPr>
        <w:t>As is the case with an in-person meeting, subject to time constraints, all questions timely submitted and pertinent to meeting matters will be answered during the live Q&amp;A portion of the Annual Meeting. However, the Company reserves the right to edit or reject questions it deems profane, not pertinent to meeting matters or otherwise inappropriate. If we receive substantially similar questions, we will group such questions together and provide a single response to avoid repetition.</w:t>
      </w:r>
    </w:p>
    <w:p>
      <w:pPr>
        <w:spacing w:after="0" w:line="60" w:lineRule="exact"/>
        <w:rPr>
          <w:sz w:val="20"/>
          <w:szCs w:val="20"/>
          <w:color w:val="auto"/>
        </w:rPr>
      </w:pPr>
    </w:p>
    <w:p>
      <w:pPr>
        <w:ind w:left="320" w:right="400"/>
        <w:spacing w:after="0" w:line="307" w:lineRule="auto"/>
        <w:rPr>
          <w:sz w:val="20"/>
          <w:szCs w:val="20"/>
          <w:color w:val="auto"/>
        </w:rPr>
      </w:pPr>
      <w:r>
        <w:rPr>
          <w:rFonts w:ascii="Arial" w:cs="Arial" w:eastAsia="Arial" w:hAnsi="Arial"/>
          <w:sz w:val="16"/>
          <w:szCs w:val="16"/>
          <w:color w:val="0E1020"/>
        </w:rPr>
        <w:t xml:space="preserve">All questions answered during the meeting, and any pertinent and appropriate questions received but not answered due to time constraints, will be published and answered as soon as practicable following the meeting on our investor relations website at </w:t>
      </w:r>
      <w:r>
        <w:rPr>
          <w:rFonts w:ascii="Arial" w:cs="Arial" w:eastAsia="Arial" w:hAnsi="Arial"/>
          <w:sz w:val="16"/>
          <w:szCs w:val="16"/>
          <w:b w:val="1"/>
          <w:bCs w:val="1"/>
          <w:color w:val="0E1020"/>
        </w:rPr>
        <w:t>www.dxc.com</w:t>
      </w:r>
      <w:r>
        <w:rPr>
          <w:rFonts w:ascii="Arial" w:cs="Arial" w:eastAsia="Arial" w:hAnsi="Arial"/>
          <w:sz w:val="16"/>
          <w:szCs w:val="16"/>
          <w:color w:val="0E1020"/>
        </w:rPr>
        <w:t>. If we receive substantially similar questions, we will group such questions together and provide a single response to avoid repetition.</w:t>
      </w:r>
    </w:p>
    <w:p>
      <w:pPr>
        <w:spacing w:after="0" w:line="60"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i w:val="1"/>
          <w:iCs w:val="1"/>
          <w:color w:val="0E1020"/>
        </w:rPr>
        <w:t>6.</w:t>
        <w:tab/>
        <w:t>What is the purpose of the annual meeting?</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6"/>
          <w:szCs w:val="16"/>
          <w:color w:val="0E1020"/>
        </w:rPr>
        <w:t>There are five proposals scheduled to be voted on at the annual meeting:</w:t>
      </w:r>
    </w:p>
    <w:p>
      <w:pPr>
        <w:spacing w:after="0" w:line="138" w:lineRule="exact"/>
        <w:rPr>
          <w:sz w:val="20"/>
          <w:szCs w:val="20"/>
          <w:color w:val="auto"/>
        </w:rPr>
      </w:pPr>
    </w:p>
    <w:p>
      <w:pPr>
        <w:ind w:left="620" w:hanging="291"/>
        <w:spacing w:after="0"/>
        <w:tabs>
          <w:tab w:leader="none" w:pos="620" w:val="left"/>
        </w:tabs>
        <w:numPr>
          <w:ilvl w:val="0"/>
          <w:numId w:val="107"/>
        </w:numPr>
        <w:rPr>
          <w:rFonts w:ascii="Arial" w:cs="Arial" w:eastAsia="Arial" w:hAnsi="Arial"/>
          <w:sz w:val="16"/>
          <w:szCs w:val="16"/>
          <w:color w:val="0E1020"/>
        </w:rPr>
      </w:pPr>
      <w:r>
        <w:rPr>
          <w:rFonts w:ascii="Arial" w:cs="Arial" w:eastAsia="Arial" w:hAnsi="Arial"/>
          <w:sz w:val="16"/>
          <w:szCs w:val="16"/>
          <w:color w:val="0E1020"/>
        </w:rPr>
        <w:t>to elect the 9 director nominees listed in this proxy statement;</w:t>
      </w:r>
    </w:p>
    <w:p>
      <w:pPr>
        <w:spacing w:after="0" w:line="124" w:lineRule="exact"/>
        <w:rPr>
          <w:rFonts w:ascii="Arial" w:cs="Arial" w:eastAsia="Arial" w:hAnsi="Arial"/>
          <w:sz w:val="16"/>
          <w:szCs w:val="16"/>
          <w:color w:val="0E1020"/>
        </w:rPr>
      </w:pPr>
    </w:p>
    <w:p>
      <w:pPr>
        <w:ind w:left="620" w:hanging="291"/>
        <w:spacing w:after="0"/>
        <w:tabs>
          <w:tab w:leader="none" w:pos="620" w:val="left"/>
        </w:tabs>
        <w:numPr>
          <w:ilvl w:val="0"/>
          <w:numId w:val="107"/>
        </w:numPr>
        <w:rPr>
          <w:rFonts w:ascii="Arial" w:cs="Arial" w:eastAsia="Arial" w:hAnsi="Arial"/>
          <w:sz w:val="16"/>
          <w:szCs w:val="16"/>
          <w:color w:val="0E1020"/>
        </w:rPr>
      </w:pPr>
      <w:r>
        <w:rPr>
          <w:rFonts w:ascii="Arial" w:cs="Arial" w:eastAsia="Arial" w:hAnsi="Arial"/>
          <w:sz w:val="16"/>
          <w:szCs w:val="16"/>
          <w:color w:val="0E1020"/>
        </w:rPr>
        <w:t>to ratify the appointment of Deloitte &amp; Touche LLP as our independent registered public accounting firm for the fiscal year ending March 31, 2027;</w:t>
      </w:r>
    </w:p>
    <w:p>
      <w:pPr>
        <w:spacing w:after="0" w:line="137" w:lineRule="exact"/>
        <w:rPr>
          <w:rFonts w:ascii="Arial" w:cs="Arial" w:eastAsia="Arial" w:hAnsi="Arial"/>
          <w:sz w:val="16"/>
          <w:szCs w:val="16"/>
          <w:color w:val="0E1020"/>
        </w:rPr>
      </w:pPr>
    </w:p>
    <w:p>
      <w:pPr>
        <w:ind w:left="620" w:hanging="291"/>
        <w:spacing w:after="0"/>
        <w:tabs>
          <w:tab w:leader="none" w:pos="620" w:val="left"/>
        </w:tabs>
        <w:numPr>
          <w:ilvl w:val="0"/>
          <w:numId w:val="107"/>
        </w:numPr>
        <w:rPr>
          <w:rFonts w:ascii="Arial" w:cs="Arial" w:eastAsia="Arial" w:hAnsi="Arial"/>
          <w:sz w:val="16"/>
          <w:szCs w:val="16"/>
          <w:color w:val="0E1020"/>
        </w:rPr>
      </w:pPr>
      <w:r>
        <w:rPr>
          <w:rFonts w:ascii="Arial" w:cs="Arial" w:eastAsia="Arial" w:hAnsi="Arial"/>
          <w:sz w:val="16"/>
          <w:szCs w:val="16"/>
          <w:color w:val="0E1020"/>
        </w:rPr>
        <w:t>to approve, in a non-binding advisory vote, our named executive officer compensation;</w:t>
      </w:r>
    </w:p>
    <w:p>
      <w:pPr>
        <w:spacing w:after="0" w:line="124" w:lineRule="exact"/>
        <w:rPr>
          <w:rFonts w:ascii="Arial" w:cs="Arial" w:eastAsia="Arial" w:hAnsi="Arial"/>
          <w:sz w:val="16"/>
          <w:szCs w:val="16"/>
          <w:color w:val="0E1020"/>
        </w:rPr>
      </w:pPr>
    </w:p>
    <w:p>
      <w:pPr>
        <w:ind w:left="660" w:right="280" w:hanging="331"/>
        <w:spacing w:after="0" w:line="335" w:lineRule="auto"/>
        <w:tabs>
          <w:tab w:leader="none" w:pos="622" w:val="left"/>
        </w:tabs>
        <w:numPr>
          <w:ilvl w:val="0"/>
          <w:numId w:val="107"/>
        </w:numPr>
        <w:rPr>
          <w:rFonts w:ascii="Arial" w:cs="Arial" w:eastAsia="Arial" w:hAnsi="Arial"/>
          <w:sz w:val="16"/>
          <w:szCs w:val="16"/>
          <w:color w:val="0E1020"/>
        </w:rPr>
      </w:pPr>
      <w:r>
        <w:rPr>
          <w:rFonts w:ascii="Arial" w:cs="Arial" w:eastAsia="Arial" w:hAnsi="Arial"/>
          <w:sz w:val="16"/>
          <w:szCs w:val="16"/>
          <w:color w:val="0E1020"/>
        </w:rPr>
        <w:t>to approve a term extension and an increase in the number of shares available under the amended and restated DXC Technology Company 2017 Omnibus Incentive Plan; and</w:t>
      </w:r>
    </w:p>
    <w:p>
      <w:pPr>
        <w:spacing w:after="0" w:line="22" w:lineRule="exact"/>
        <w:rPr>
          <w:rFonts w:ascii="Arial" w:cs="Arial" w:eastAsia="Arial" w:hAnsi="Arial"/>
          <w:sz w:val="16"/>
          <w:szCs w:val="16"/>
          <w:color w:val="0E1020"/>
        </w:rPr>
      </w:pPr>
    </w:p>
    <w:p>
      <w:pPr>
        <w:ind w:left="660" w:right="280" w:hanging="331"/>
        <w:spacing w:after="0" w:line="335" w:lineRule="auto"/>
        <w:tabs>
          <w:tab w:leader="none" w:pos="622" w:val="left"/>
        </w:tabs>
        <w:numPr>
          <w:ilvl w:val="0"/>
          <w:numId w:val="107"/>
        </w:numPr>
        <w:rPr>
          <w:rFonts w:ascii="Arial" w:cs="Arial" w:eastAsia="Arial" w:hAnsi="Arial"/>
          <w:sz w:val="16"/>
          <w:szCs w:val="16"/>
          <w:color w:val="0E1020"/>
        </w:rPr>
      </w:pPr>
      <w:r>
        <w:rPr>
          <w:rFonts w:ascii="Arial" w:cs="Arial" w:eastAsia="Arial" w:hAnsi="Arial"/>
          <w:sz w:val="16"/>
          <w:szCs w:val="16"/>
          <w:color w:val="0E1020"/>
        </w:rPr>
        <w:t>to approve a term extension and an increase in the number of shares available under the amended and restated DXC Technology Company 2017 Non-Employee Director Incentive Plan.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548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105</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13" w:name="page114"/>
    <w:bookmarkEnd w:id="113"/>
    <w:p>
      <w:pPr>
        <w:ind w:left="20"/>
        <w:spacing w:after="0"/>
        <w:tabs>
          <w:tab w:leader="none" w:pos="10100" w:val="left"/>
        </w:tabs>
        <w:rPr>
          <w:sz w:val="20"/>
          <w:szCs w:val="20"/>
          <w:color w:val="auto"/>
        </w:rPr>
      </w:pPr>
      <w:r>
        <w:rPr>
          <w:rFonts w:ascii="Arial" w:cs="Arial" w:eastAsia="Arial" w:hAnsi="Arial"/>
          <w:sz w:val="14"/>
          <w:szCs w:val="14"/>
          <w:color w:val="0E1020"/>
        </w:rPr>
        <w:t>About the Annual Meeting</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320" w:right="6920" w:hanging="313"/>
        <w:spacing w:after="0" w:line="438" w:lineRule="auto"/>
        <w:tabs>
          <w:tab w:leader="none" w:pos="307" w:val="left"/>
        </w:tabs>
        <w:numPr>
          <w:ilvl w:val="0"/>
          <w:numId w:val="108"/>
        </w:numPr>
        <w:rPr>
          <w:rFonts w:ascii="Arial" w:cs="Arial" w:eastAsia="Arial" w:hAnsi="Arial"/>
          <w:sz w:val="16"/>
          <w:szCs w:val="16"/>
          <w:b w:val="1"/>
          <w:bCs w:val="1"/>
          <w:i w:val="1"/>
          <w:iCs w:val="1"/>
          <w:color w:val="0E1020"/>
        </w:rPr>
      </w:pPr>
      <w:r>
        <w:rPr>
          <w:rFonts w:ascii="Arial" w:cs="Arial" w:eastAsia="Arial" w:hAnsi="Arial"/>
          <w:sz w:val="16"/>
          <w:szCs w:val="16"/>
          <w:b w:val="1"/>
          <w:bCs w:val="1"/>
          <w:i w:val="1"/>
          <w:iCs w:val="1"/>
          <w:color w:val="0E1020"/>
        </w:rPr>
        <w:t xml:space="preserve">What are the Board of Directors’ recommendations? </w:t>
      </w:r>
      <w:r>
        <w:rPr>
          <w:rFonts w:ascii="Arial" w:cs="Arial" w:eastAsia="Arial" w:hAnsi="Arial"/>
          <w:sz w:val="16"/>
          <w:szCs w:val="16"/>
          <w:color w:val="0E1020"/>
        </w:rPr>
        <w:t>The Board recommends a vote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-9525</wp:posOffset>
            </wp:positionV>
            <wp:extent cx="667385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673850" cy="8255"/>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189"/>
        </w:trPr>
        <w:tc>
          <w:tcPr>
            <w:tcW w:w="1360" w:type="dxa"/>
            <w:vAlign w:val="bottom"/>
          </w:tcPr>
          <w:p>
            <w:pPr>
              <w:ind w:left="20"/>
              <w:spacing w:after="0"/>
              <w:rPr>
                <w:sz w:val="20"/>
                <w:szCs w:val="20"/>
                <w:color w:val="auto"/>
              </w:rPr>
            </w:pPr>
            <w:r>
              <w:rPr>
                <w:rFonts w:ascii="Arial" w:cs="Arial" w:eastAsia="Arial" w:hAnsi="Arial"/>
                <w:sz w:val="14"/>
                <w:szCs w:val="14"/>
                <w:color w:val="0E1020"/>
              </w:rPr>
              <w:t>Proposal No. 1</w:t>
            </w:r>
          </w:p>
        </w:tc>
        <w:tc>
          <w:tcPr>
            <w:tcW w:w="9160" w:type="dxa"/>
            <w:vAlign w:val="bottom"/>
          </w:tcPr>
          <w:p>
            <w:pPr>
              <w:ind w:left="360"/>
              <w:spacing w:after="0"/>
              <w:rPr>
                <w:sz w:val="20"/>
                <w:szCs w:val="20"/>
                <w:color w:val="auto"/>
              </w:rPr>
            </w:pPr>
            <w:r>
              <w:rPr>
                <w:rFonts w:ascii="Arial" w:cs="Arial" w:eastAsia="Arial" w:hAnsi="Arial"/>
                <w:sz w:val="14"/>
                <w:szCs w:val="14"/>
                <w:color w:val="0E1020"/>
              </w:rPr>
              <w:t>FOR the election of each of the 9 director nominees listed in this proxy statement</w:t>
            </w:r>
          </w:p>
        </w:tc>
        <w:tc>
          <w:tcPr>
            <w:tcW w:w="0" w:type="dxa"/>
            <w:vAlign w:val="bottom"/>
          </w:tcPr>
          <w:p>
            <w:pPr>
              <w:spacing w:after="0"/>
              <w:rPr>
                <w:sz w:val="1"/>
                <w:szCs w:val="1"/>
                <w:color w:val="auto"/>
              </w:rPr>
            </w:pPr>
          </w:p>
        </w:tc>
      </w:tr>
      <w:tr>
        <w:trPr>
          <w:trHeight w:val="21"/>
        </w:trPr>
        <w:tc>
          <w:tcPr>
            <w:tcW w:w="1360" w:type="dxa"/>
            <w:vAlign w:val="bottom"/>
            <w:tcBorders>
              <w:bottom w:val="single" w:sz="8" w:color="CFCFD2"/>
            </w:tcBorders>
          </w:tcPr>
          <w:p>
            <w:pPr>
              <w:spacing w:after="0" w:line="20" w:lineRule="exact"/>
              <w:rPr>
                <w:sz w:val="1"/>
                <w:szCs w:val="1"/>
                <w:color w:val="auto"/>
              </w:rPr>
            </w:pPr>
          </w:p>
        </w:tc>
        <w:tc>
          <w:tcPr>
            <w:tcW w:w="9160" w:type="dxa"/>
            <w:vAlign w:val="bottom"/>
            <w:tcBorders>
              <w:bottom w:val="single" w:sz="8" w:color="CFCF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1360" w:type="dxa"/>
            <w:vAlign w:val="bottom"/>
            <w:vMerge w:val="restart"/>
          </w:tcPr>
          <w:p>
            <w:pPr>
              <w:ind w:left="20"/>
              <w:spacing w:after="0"/>
              <w:rPr>
                <w:sz w:val="20"/>
                <w:szCs w:val="20"/>
                <w:color w:val="auto"/>
              </w:rPr>
            </w:pPr>
            <w:r>
              <w:rPr>
                <w:rFonts w:ascii="Arial" w:cs="Arial" w:eastAsia="Arial" w:hAnsi="Arial"/>
                <w:sz w:val="14"/>
                <w:szCs w:val="14"/>
                <w:color w:val="0E1020"/>
              </w:rPr>
              <w:t>Proposal No. 2</w:t>
            </w:r>
          </w:p>
        </w:tc>
        <w:tc>
          <w:tcPr>
            <w:tcW w:w="9160" w:type="dxa"/>
            <w:vAlign w:val="bottom"/>
          </w:tcPr>
          <w:p>
            <w:pPr>
              <w:ind w:left="360"/>
              <w:spacing w:after="0"/>
              <w:rPr>
                <w:sz w:val="20"/>
                <w:szCs w:val="20"/>
                <w:color w:val="auto"/>
              </w:rPr>
            </w:pPr>
            <w:r>
              <w:rPr>
                <w:rFonts w:ascii="Arial" w:cs="Arial" w:eastAsia="Arial" w:hAnsi="Arial"/>
                <w:sz w:val="14"/>
                <w:szCs w:val="14"/>
                <w:color w:val="0E1020"/>
              </w:rPr>
              <w:t>FOR the ratification of the appointment of Deloitte &amp; Touche LLP as our independent registered public accounting firm for the fiscal year</w:t>
            </w:r>
          </w:p>
        </w:tc>
        <w:tc>
          <w:tcPr>
            <w:tcW w:w="0" w:type="dxa"/>
            <w:vAlign w:val="bottom"/>
          </w:tcPr>
          <w:p>
            <w:pPr>
              <w:spacing w:after="0"/>
              <w:rPr>
                <w:sz w:val="1"/>
                <w:szCs w:val="1"/>
                <w:color w:val="auto"/>
              </w:rPr>
            </w:pPr>
          </w:p>
        </w:tc>
      </w:tr>
      <w:tr>
        <w:trPr>
          <w:trHeight w:val="95"/>
        </w:trPr>
        <w:tc>
          <w:tcPr>
            <w:tcW w:w="1360" w:type="dxa"/>
            <w:vAlign w:val="bottom"/>
            <w:vMerge w:val="continue"/>
          </w:tcPr>
          <w:p>
            <w:pPr>
              <w:spacing w:after="0"/>
              <w:rPr>
                <w:sz w:val="8"/>
                <w:szCs w:val="8"/>
                <w:color w:val="auto"/>
              </w:rPr>
            </w:pPr>
          </w:p>
        </w:tc>
        <w:tc>
          <w:tcPr>
            <w:tcW w:w="9160" w:type="dxa"/>
            <w:vAlign w:val="bottom"/>
            <w:vMerge w:val="restart"/>
          </w:tcPr>
          <w:p>
            <w:pPr>
              <w:ind w:left="360"/>
              <w:spacing w:after="0"/>
              <w:rPr>
                <w:sz w:val="20"/>
                <w:szCs w:val="20"/>
                <w:color w:val="auto"/>
              </w:rPr>
            </w:pPr>
            <w:r>
              <w:rPr>
                <w:rFonts w:ascii="Arial" w:cs="Arial" w:eastAsia="Arial" w:hAnsi="Arial"/>
                <w:sz w:val="14"/>
                <w:szCs w:val="14"/>
                <w:color w:val="0E1020"/>
              </w:rPr>
              <w:t>ending March 31, 2027</w:t>
            </w:r>
          </w:p>
        </w:tc>
        <w:tc>
          <w:tcPr>
            <w:tcW w:w="0" w:type="dxa"/>
            <w:vAlign w:val="bottom"/>
          </w:tcPr>
          <w:p>
            <w:pPr>
              <w:spacing w:after="0"/>
              <w:rPr>
                <w:sz w:val="1"/>
                <w:szCs w:val="1"/>
                <w:color w:val="auto"/>
              </w:rPr>
            </w:pPr>
          </w:p>
        </w:tc>
      </w:tr>
      <w:tr>
        <w:trPr>
          <w:trHeight w:val="94"/>
        </w:trPr>
        <w:tc>
          <w:tcPr>
            <w:tcW w:w="1360" w:type="dxa"/>
            <w:vAlign w:val="bottom"/>
          </w:tcPr>
          <w:p>
            <w:pPr>
              <w:spacing w:after="0"/>
              <w:rPr>
                <w:sz w:val="8"/>
                <w:szCs w:val="8"/>
                <w:color w:val="auto"/>
              </w:rPr>
            </w:pPr>
          </w:p>
        </w:tc>
        <w:tc>
          <w:tcPr>
            <w:tcW w:w="9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360" w:type="dxa"/>
            <w:vAlign w:val="bottom"/>
            <w:tcBorders>
              <w:bottom w:val="single" w:sz="8" w:color="CFCFD2"/>
            </w:tcBorders>
          </w:tcPr>
          <w:p>
            <w:pPr>
              <w:spacing w:after="0" w:line="20" w:lineRule="exact"/>
              <w:rPr>
                <w:sz w:val="1"/>
                <w:szCs w:val="1"/>
                <w:color w:val="auto"/>
              </w:rPr>
            </w:pPr>
          </w:p>
        </w:tc>
        <w:tc>
          <w:tcPr>
            <w:tcW w:w="9160" w:type="dxa"/>
            <w:vAlign w:val="bottom"/>
            <w:tcBorders>
              <w:bottom w:val="single" w:sz="8" w:color="CFCF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360" w:type="dxa"/>
            <w:vAlign w:val="bottom"/>
          </w:tcPr>
          <w:p>
            <w:pPr>
              <w:ind w:left="20"/>
              <w:spacing w:after="0"/>
              <w:rPr>
                <w:sz w:val="20"/>
                <w:szCs w:val="20"/>
                <w:color w:val="auto"/>
              </w:rPr>
            </w:pPr>
            <w:r>
              <w:rPr>
                <w:rFonts w:ascii="Arial" w:cs="Arial" w:eastAsia="Arial" w:hAnsi="Arial"/>
                <w:sz w:val="14"/>
                <w:szCs w:val="14"/>
                <w:color w:val="0E1020"/>
              </w:rPr>
              <w:t>Proposal No. 3</w:t>
            </w:r>
          </w:p>
        </w:tc>
        <w:tc>
          <w:tcPr>
            <w:tcW w:w="9160" w:type="dxa"/>
            <w:vAlign w:val="bottom"/>
          </w:tcPr>
          <w:p>
            <w:pPr>
              <w:ind w:left="360"/>
              <w:spacing w:after="0"/>
              <w:rPr>
                <w:sz w:val="20"/>
                <w:szCs w:val="20"/>
                <w:color w:val="auto"/>
              </w:rPr>
            </w:pPr>
            <w:r>
              <w:rPr>
                <w:rFonts w:ascii="Arial" w:cs="Arial" w:eastAsia="Arial" w:hAnsi="Arial"/>
                <w:sz w:val="14"/>
                <w:szCs w:val="14"/>
                <w:color w:val="0E1020"/>
              </w:rPr>
              <w:t>FOR the approval, in a non-binding advisory vote, of our named executive officer compensation</w:t>
            </w:r>
          </w:p>
        </w:tc>
        <w:tc>
          <w:tcPr>
            <w:tcW w:w="0" w:type="dxa"/>
            <w:vAlign w:val="bottom"/>
          </w:tcPr>
          <w:p>
            <w:pPr>
              <w:spacing w:after="0"/>
              <w:rPr>
                <w:sz w:val="1"/>
                <w:szCs w:val="1"/>
                <w:color w:val="auto"/>
              </w:rPr>
            </w:pPr>
          </w:p>
        </w:tc>
      </w:tr>
      <w:tr>
        <w:trPr>
          <w:trHeight w:val="21"/>
        </w:trPr>
        <w:tc>
          <w:tcPr>
            <w:tcW w:w="1360" w:type="dxa"/>
            <w:vAlign w:val="bottom"/>
            <w:tcBorders>
              <w:bottom w:val="single" w:sz="8" w:color="CFCFD2"/>
            </w:tcBorders>
          </w:tcPr>
          <w:p>
            <w:pPr>
              <w:spacing w:after="0" w:line="20" w:lineRule="exact"/>
              <w:rPr>
                <w:sz w:val="1"/>
                <w:szCs w:val="1"/>
                <w:color w:val="auto"/>
              </w:rPr>
            </w:pPr>
          </w:p>
        </w:tc>
        <w:tc>
          <w:tcPr>
            <w:tcW w:w="9160" w:type="dxa"/>
            <w:vAlign w:val="bottom"/>
            <w:tcBorders>
              <w:bottom w:val="single" w:sz="8" w:color="CFCF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1360" w:type="dxa"/>
            <w:vAlign w:val="bottom"/>
            <w:vMerge w:val="restart"/>
          </w:tcPr>
          <w:p>
            <w:pPr>
              <w:ind w:left="20"/>
              <w:spacing w:after="0"/>
              <w:rPr>
                <w:sz w:val="20"/>
                <w:szCs w:val="20"/>
                <w:color w:val="auto"/>
              </w:rPr>
            </w:pPr>
            <w:r>
              <w:rPr>
                <w:rFonts w:ascii="Arial" w:cs="Arial" w:eastAsia="Arial" w:hAnsi="Arial"/>
                <w:sz w:val="14"/>
                <w:szCs w:val="14"/>
                <w:color w:val="0E1020"/>
              </w:rPr>
              <w:t>Proposal No. 4</w:t>
            </w:r>
          </w:p>
        </w:tc>
        <w:tc>
          <w:tcPr>
            <w:tcW w:w="9160" w:type="dxa"/>
            <w:vAlign w:val="bottom"/>
          </w:tcPr>
          <w:p>
            <w:pPr>
              <w:ind w:left="360"/>
              <w:spacing w:after="0"/>
              <w:rPr>
                <w:sz w:val="20"/>
                <w:szCs w:val="20"/>
                <w:color w:val="auto"/>
              </w:rPr>
            </w:pPr>
            <w:r>
              <w:rPr>
                <w:rFonts w:ascii="Arial" w:cs="Arial" w:eastAsia="Arial" w:hAnsi="Arial"/>
                <w:sz w:val="14"/>
                <w:szCs w:val="14"/>
                <w:color w:val="0E1020"/>
              </w:rPr>
              <w:t>FOR the approval of a term extension and an increase in the number of shares available under the amended and restated DXC</w:t>
            </w:r>
          </w:p>
        </w:tc>
        <w:tc>
          <w:tcPr>
            <w:tcW w:w="0" w:type="dxa"/>
            <w:vAlign w:val="bottom"/>
          </w:tcPr>
          <w:p>
            <w:pPr>
              <w:spacing w:after="0"/>
              <w:rPr>
                <w:sz w:val="1"/>
                <w:szCs w:val="1"/>
                <w:color w:val="auto"/>
              </w:rPr>
            </w:pPr>
          </w:p>
        </w:tc>
      </w:tr>
      <w:tr>
        <w:trPr>
          <w:trHeight w:val="95"/>
        </w:trPr>
        <w:tc>
          <w:tcPr>
            <w:tcW w:w="1360" w:type="dxa"/>
            <w:vAlign w:val="bottom"/>
            <w:vMerge w:val="continue"/>
          </w:tcPr>
          <w:p>
            <w:pPr>
              <w:spacing w:after="0"/>
              <w:rPr>
                <w:sz w:val="8"/>
                <w:szCs w:val="8"/>
                <w:color w:val="auto"/>
              </w:rPr>
            </w:pPr>
          </w:p>
        </w:tc>
        <w:tc>
          <w:tcPr>
            <w:tcW w:w="9160" w:type="dxa"/>
            <w:vAlign w:val="bottom"/>
            <w:vMerge w:val="restart"/>
          </w:tcPr>
          <w:p>
            <w:pPr>
              <w:ind w:left="360"/>
              <w:spacing w:after="0"/>
              <w:rPr>
                <w:sz w:val="20"/>
                <w:szCs w:val="20"/>
                <w:color w:val="auto"/>
              </w:rPr>
            </w:pPr>
            <w:r>
              <w:rPr>
                <w:rFonts w:ascii="Arial" w:cs="Arial" w:eastAsia="Arial" w:hAnsi="Arial"/>
                <w:sz w:val="14"/>
                <w:szCs w:val="14"/>
                <w:color w:val="0E1020"/>
              </w:rPr>
              <w:t>Technology Company 2017 Omnibus Incentive Plan</w:t>
            </w:r>
          </w:p>
        </w:tc>
        <w:tc>
          <w:tcPr>
            <w:tcW w:w="0" w:type="dxa"/>
            <w:vAlign w:val="bottom"/>
          </w:tcPr>
          <w:p>
            <w:pPr>
              <w:spacing w:after="0"/>
              <w:rPr>
                <w:sz w:val="1"/>
                <w:szCs w:val="1"/>
                <w:color w:val="auto"/>
              </w:rPr>
            </w:pPr>
          </w:p>
        </w:tc>
      </w:tr>
      <w:tr>
        <w:trPr>
          <w:trHeight w:val="94"/>
        </w:trPr>
        <w:tc>
          <w:tcPr>
            <w:tcW w:w="1360" w:type="dxa"/>
            <w:vAlign w:val="bottom"/>
          </w:tcPr>
          <w:p>
            <w:pPr>
              <w:spacing w:after="0"/>
              <w:rPr>
                <w:sz w:val="8"/>
                <w:szCs w:val="8"/>
                <w:color w:val="auto"/>
              </w:rPr>
            </w:pPr>
          </w:p>
        </w:tc>
        <w:tc>
          <w:tcPr>
            <w:tcW w:w="9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360" w:type="dxa"/>
            <w:vAlign w:val="bottom"/>
            <w:tcBorders>
              <w:bottom w:val="single" w:sz="8" w:color="CFCFD2"/>
            </w:tcBorders>
          </w:tcPr>
          <w:p>
            <w:pPr>
              <w:spacing w:after="0" w:line="20" w:lineRule="exact"/>
              <w:rPr>
                <w:sz w:val="1"/>
                <w:szCs w:val="1"/>
                <w:color w:val="auto"/>
              </w:rPr>
            </w:pPr>
          </w:p>
        </w:tc>
        <w:tc>
          <w:tcPr>
            <w:tcW w:w="9160" w:type="dxa"/>
            <w:vAlign w:val="bottom"/>
            <w:tcBorders>
              <w:bottom w:val="single" w:sz="8" w:color="CFCF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1360" w:type="dxa"/>
            <w:vAlign w:val="bottom"/>
            <w:vMerge w:val="restart"/>
          </w:tcPr>
          <w:p>
            <w:pPr>
              <w:ind w:left="20"/>
              <w:spacing w:after="0"/>
              <w:rPr>
                <w:sz w:val="20"/>
                <w:szCs w:val="20"/>
                <w:color w:val="auto"/>
              </w:rPr>
            </w:pPr>
            <w:r>
              <w:rPr>
                <w:rFonts w:ascii="Arial" w:cs="Arial" w:eastAsia="Arial" w:hAnsi="Arial"/>
                <w:sz w:val="14"/>
                <w:szCs w:val="14"/>
                <w:color w:val="0E1020"/>
              </w:rPr>
              <w:t>Proposal No. 5</w:t>
            </w:r>
          </w:p>
        </w:tc>
        <w:tc>
          <w:tcPr>
            <w:tcW w:w="9160" w:type="dxa"/>
            <w:vAlign w:val="bottom"/>
          </w:tcPr>
          <w:p>
            <w:pPr>
              <w:ind w:left="360"/>
              <w:spacing w:after="0"/>
              <w:rPr>
                <w:sz w:val="20"/>
                <w:szCs w:val="20"/>
                <w:color w:val="auto"/>
              </w:rPr>
            </w:pPr>
            <w:r>
              <w:rPr>
                <w:rFonts w:ascii="Arial" w:cs="Arial" w:eastAsia="Arial" w:hAnsi="Arial"/>
                <w:sz w:val="14"/>
                <w:szCs w:val="14"/>
                <w:color w:val="0E1020"/>
              </w:rPr>
              <w:t>FOR the approval of a term extension and an increase in the number of shares available under the amended and restated DXC</w:t>
            </w:r>
          </w:p>
        </w:tc>
        <w:tc>
          <w:tcPr>
            <w:tcW w:w="0" w:type="dxa"/>
            <w:vAlign w:val="bottom"/>
          </w:tcPr>
          <w:p>
            <w:pPr>
              <w:spacing w:after="0"/>
              <w:rPr>
                <w:sz w:val="1"/>
                <w:szCs w:val="1"/>
                <w:color w:val="auto"/>
              </w:rPr>
            </w:pPr>
          </w:p>
        </w:tc>
      </w:tr>
      <w:tr>
        <w:trPr>
          <w:trHeight w:val="95"/>
        </w:trPr>
        <w:tc>
          <w:tcPr>
            <w:tcW w:w="1360" w:type="dxa"/>
            <w:vAlign w:val="bottom"/>
            <w:vMerge w:val="continue"/>
          </w:tcPr>
          <w:p>
            <w:pPr>
              <w:spacing w:after="0"/>
              <w:rPr>
                <w:sz w:val="8"/>
                <w:szCs w:val="8"/>
                <w:color w:val="auto"/>
              </w:rPr>
            </w:pPr>
          </w:p>
        </w:tc>
        <w:tc>
          <w:tcPr>
            <w:tcW w:w="9160" w:type="dxa"/>
            <w:vAlign w:val="bottom"/>
            <w:vMerge w:val="restart"/>
          </w:tcPr>
          <w:p>
            <w:pPr>
              <w:ind w:left="360"/>
              <w:spacing w:after="0"/>
              <w:rPr>
                <w:sz w:val="20"/>
                <w:szCs w:val="20"/>
                <w:color w:val="auto"/>
              </w:rPr>
            </w:pPr>
            <w:r>
              <w:rPr>
                <w:rFonts w:ascii="Arial" w:cs="Arial" w:eastAsia="Arial" w:hAnsi="Arial"/>
                <w:sz w:val="14"/>
                <w:szCs w:val="14"/>
                <w:color w:val="0E1020"/>
              </w:rPr>
              <w:t>Technology Company 2017 Non-Employee Director Incentive Plan</w:t>
            </w:r>
          </w:p>
        </w:tc>
        <w:tc>
          <w:tcPr>
            <w:tcW w:w="0" w:type="dxa"/>
            <w:vAlign w:val="bottom"/>
          </w:tcPr>
          <w:p>
            <w:pPr>
              <w:spacing w:after="0"/>
              <w:rPr>
                <w:sz w:val="1"/>
                <w:szCs w:val="1"/>
                <w:color w:val="auto"/>
              </w:rPr>
            </w:pPr>
          </w:p>
        </w:tc>
      </w:tr>
      <w:tr>
        <w:trPr>
          <w:trHeight w:val="94"/>
        </w:trPr>
        <w:tc>
          <w:tcPr>
            <w:tcW w:w="1360" w:type="dxa"/>
            <w:vAlign w:val="bottom"/>
          </w:tcPr>
          <w:p>
            <w:pPr>
              <w:spacing w:after="0"/>
              <w:rPr>
                <w:sz w:val="8"/>
                <w:szCs w:val="8"/>
                <w:color w:val="auto"/>
              </w:rPr>
            </w:pPr>
          </w:p>
        </w:tc>
        <w:tc>
          <w:tcPr>
            <w:tcW w:w="9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360" w:type="dxa"/>
            <w:vAlign w:val="bottom"/>
            <w:tcBorders>
              <w:bottom w:val="single" w:sz="8" w:color="CFCFD2"/>
            </w:tcBorders>
          </w:tcPr>
          <w:p>
            <w:pPr>
              <w:spacing w:after="0" w:line="20" w:lineRule="exact"/>
              <w:rPr>
                <w:sz w:val="1"/>
                <w:szCs w:val="1"/>
                <w:color w:val="auto"/>
              </w:rPr>
            </w:pPr>
          </w:p>
        </w:tc>
        <w:tc>
          <w:tcPr>
            <w:tcW w:w="9160" w:type="dxa"/>
            <w:vAlign w:val="bottom"/>
            <w:tcBorders>
              <w:bottom w:val="single" w:sz="8" w:color="CFCFD2"/>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i w:val="1"/>
          <w:iCs w:val="1"/>
          <w:color w:val="0E1020"/>
        </w:rPr>
        <w:t>8.</w:t>
        <w:tab/>
        <w:t>Who is entitled to vote at the annual meeting?</w:t>
      </w:r>
    </w:p>
    <w:p>
      <w:pPr>
        <w:spacing w:after="0" w:line="136" w:lineRule="exact"/>
        <w:rPr>
          <w:sz w:val="20"/>
          <w:szCs w:val="20"/>
          <w:color w:val="auto"/>
        </w:rPr>
      </w:pPr>
    </w:p>
    <w:p>
      <w:pPr>
        <w:ind w:left="320" w:right="60"/>
        <w:spacing w:after="0" w:line="318" w:lineRule="auto"/>
        <w:rPr>
          <w:sz w:val="20"/>
          <w:szCs w:val="20"/>
          <w:color w:val="auto"/>
        </w:rPr>
      </w:pPr>
      <w:r>
        <w:rPr>
          <w:rFonts w:ascii="Arial" w:cs="Arial" w:eastAsia="Arial" w:hAnsi="Arial"/>
          <w:sz w:val="16"/>
          <w:szCs w:val="16"/>
          <w:color w:val="0E1020"/>
        </w:rPr>
        <w:t>The Board of Directors set May 28, 2026 as the record date for the Annual Meeting (record date). All stockholders who owned DXC common stock at the close of business on the record date may attend and vote electronically at the Annual Meeting and any postponements or adjournments thereof.</w:t>
      </w:r>
    </w:p>
    <w:p>
      <w:pPr>
        <w:spacing w:after="0" w:line="51"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i w:val="1"/>
          <w:iCs w:val="1"/>
          <w:color w:val="0E1020"/>
        </w:rPr>
        <w:t>9.</w:t>
        <w:tab/>
        <w:t>How do I vote?</w:t>
      </w:r>
    </w:p>
    <w:p>
      <w:pPr>
        <w:spacing w:after="0" w:line="122" w:lineRule="exact"/>
        <w:rPr>
          <w:sz w:val="20"/>
          <w:szCs w:val="20"/>
          <w:color w:val="auto"/>
        </w:rPr>
      </w:pPr>
    </w:p>
    <w:p>
      <w:pPr>
        <w:ind w:left="320" w:right="20"/>
        <w:spacing w:after="0" w:line="306" w:lineRule="auto"/>
        <w:rPr>
          <w:sz w:val="20"/>
          <w:szCs w:val="20"/>
          <w:color w:val="auto"/>
        </w:rPr>
      </w:pPr>
      <w:r>
        <w:rPr>
          <w:rFonts w:ascii="Arial" w:cs="Arial" w:eastAsia="Arial" w:hAnsi="Arial"/>
          <w:sz w:val="16"/>
          <w:szCs w:val="16"/>
          <w:color w:val="0E1020"/>
        </w:rPr>
        <w:t>You may vote on the Internet, by telephone, by mail or electronically at the annual meeting, all as described below. The Internet and telephone voting procedures are designed to authenticate stockholders by use of a 16-digit control number and to allow you to confirm that your instructions have been properly recorded. If you vote by telephone or on the Internet, you do not need to return your notice, proxy card or voting instruction card. Telephone and Internet voting facilities are available now and will be available 24 hours a day until 11:59 p.m. Eastern Time on July 20, 2026. You also will be able to vote your shares electronically at the annual meeting (other than shares held through our Matched Asset Plan, which must be voted prior to the meeting).</w:t>
      </w:r>
    </w:p>
    <w:p>
      <w:pPr>
        <w:spacing w:after="0" w:line="47" w:lineRule="exact"/>
        <w:rPr>
          <w:sz w:val="20"/>
          <w:szCs w:val="20"/>
          <w:color w:val="auto"/>
        </w:rPr>
      </w:pPr>
    </w:p>
    <w:p>
      <w:pPr>
        <w:ind w:left="320"/>
        <w:spacing w:after="0" w:line="335" w:lineRule="auto"/>
        <w:rPr>
          <w:sz w:val="20"/>
          <w:szCs w:val="20"/>
          <w:color w:val="auto"/>
        </w:rPr>
      </w:pPr>
      <w:r>
        <w:rPr>
          <w:rFonts w:ascii="Arial" w:cs="Arial" w:eastAsia="Arial" w:hAnsi="Arial"/>
          <w:sz w:val="16"/>
          <w:szCs w:val="16"/>
          <w:color w:val="0E1020"/>
        </w:rPr>
        <w:t>We have been advised that some states are strictly enforcing unclaimed property laws and requiring shares held in “inactive” accounts to be escheated to the state in which the stockholder was last known to reside. One way you can show that your account is active is to vote your shares.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0E1020"/>
        </w:rPr>
        <w:t>Vote on the Internet</w:t>
      </w:r>
    </w:p>
    <w:p>
      <w:pPr>
        <w:spacing w:after="0" w:line="44" w:lineRule="exact"/>
        <w:rPr>
          <w:sz w:val="20"/>
          <w:szCs w:val="20"/>
          <w:color w:val="auto"/>
        </w:rPr>
      </w:pPr>
    </w:p>
    <w:p>
      <w:pPr>
        <w:jc w:val="both"/>
        <w:ind w:left="320" w:right="40"/>
        <w:spacing w:after="0" w:line="316" w:lineRule="auto"/>
        <w:rPr>
          <w:sz w:val="20"/>
          <w:szCs w:val="20"/>
          <w:color w:val="auto"/>
        </w:rPr>
      </w:pPr>
      <w:r>
        <w:rPr>
          <w:rFonts w:ascii="Arial" w:cs="Arial" w:eastAsia="Arial" w:hAnsi="Arial"/>
          <w:sz w:val="16"/>
          <w:szCs w:val="16"/>
          <w:color w:val="0E1020"/>
        </w:rPr>
        <w:t>If you have Internet access, you may submit your proxy by following the instructions provided in the notice, or if you requested printed proxy materials, by following the instructions provided with your proxy materials and on your proxy card or voting instruction card. On the Internet voting site, you can confirm that your instructions have been properly recorded. If you vote on the Internet, you can also request electronic delivery of future proxy materials.</w:t>
      </w:r>
    </w:p>
    <w:p>
      <w:pPr>
        <w:spacing w:after="0" w:line="37"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0E1020"/>
        </w:rPr>
        <w:t>Vote by Telephone</w:t>
      </w:r>
    </w:p>
    <w:p>
      <w:pPr>
        <w:spacing w:after="0" w:line="44" w:lineRule="exact"/>
        <w:rPr>
          <w:sz w:val="20"/>
          <w:szCs w:val="20"/>
          <w:color w:val="auto"/>
        </w:rPr>
      </w:pPr>
    </w:p>
    <w:p>
      <w:pPr>
        <w:ind w:left="320" w:right="800"/>
        <w:spacing w:after="0" w:line="335" w:lineRule="auto"/>
        <w:rPr>
          <w:sz w:val="20"/>
          <w:szCs w:val="20"/>
          <w:color w:val="auto"/>
        </w:rPr>
      </w:pPr>
      <w:r>
        <w:rPr>
          <w:rFonts w:ascii="Arial" w:cs="Arial" w:eastAsia="Arial" w:hAnsi="Arial"/>
          <w:sz w:val="16"/>
          <w:szCs w:val="16"/>
          <w:color w:val="0E1020"/>
        </w:rPr>
        <w:t>You can also vote by telephone by following the instructions provided in the notice, or if you requested printed proxy materials, by following the instructions provided with your proxy materials and on your proxy card or voting instruction card.</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0E1020"/>
        </w:rPr>
        <w:t>Vote by Mail</w:t>
      </w:r>
    </w:p>
    <w:p>
      <w:pPr>
        <w:spacing w:after="0" w:line="44" w:lineRule="exact"/>
        <w:rPr>
          <w:sz w:val="20"/>
          <w:szCs w:val="20"/>
          <w:color w:val="auto"/>
        </w:rPr>
      </w:pPr>
    </w:p>
    <w:p>
      <w:pPr>
        <w:ind w:left="320" w:right="20"/>
        <w:spacing w:after="0" w:line="335" w:lineRule="auto"/>
        <w:rPr>
          <w:sz w:val="20"/>
          <w:szCs w:val="20"/>
          <w:color w:val="auto"/>
        </w:rPr>
      </w:pPr>
      <w:r>
        <w:rPr>
          <w:rFonts w:ascii="Arial" w:cs="Arial" w:eastAsia="Arial" w:hAnsi="Arial"/>
          <w:sz w:val="16"/>
          <w:szCs w:val="16"/>
          <w:color w:val="0E1020"/>
        </w:rPr>
        <w:t>If you elected to receive printed proxy materials by mail, you may choose to vote by mail by marking your proxy card or voting instruction card, dating and signing it, and returning it in the postage-paid envelope provided. Please allow sufficient time for mailing if you decide to vote by mail.</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0E1020"/>
        </w:rPr>
        <w:t>Voting at the Virtual Meeting</w:t>
      </w:r>
    </w:p>
    <w:p>
      <w:pPr>
        <w:spacing w:after="0" w:line="44" w:lineRule="exact"/>
        <w:rPr>
          <w:sz w:val="20"/>
          <w:szCs w:val="20"/>
          <w:color w:val="auto"/>
        </w:rPr>
      </w:pPr>
    </w:p>
    <w:p>
      <w:pPr>
        <w:ind w:left="320" w:right="340"/>
        <w:spacing w:after="0" w:line="316" w:lineRule="auto"/>
        <w:rPr>
          <w:sz w:val="20"/>
          <w:szCs w:val="20"/>
          <w:color w:val="auto"/>
        </w:rPr>
      </w:pPr>
      <w:r>
        <w:rPr>
          <w:rFonts w:ascii="Arial" w:cs="Arial" w:eastAsia="Arial" w:hAnsi="Arial"/>
          <w:sz w:val="16"/>
          <w:szCs w:val="16"/>
          <w:color w:val="0E1020"/>
        </w:rPr>
        <w:t>Our Annual Meeting will be a virtual meeting of stockholders using cutting-edge technology, conducted via live webcast. All stockholders of record on May 28, 2026, are invited to attend and participate at the meeting. We believe that a virtual meeting will provide expanded stockholder access and participation, improved communications and cost savings for our stockholders and our Company.</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548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106</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14" w:name="page115"/>
    <w:bookmarkEnd w:id="114"/>
    <w:p>
      <w:pPr>
        <w:ind w:left="13"/>
        <w:spacing w:after="0"/>
        <w:tabs>
          <w:tab w:leader="none" w:pos="9552"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auto"/>
        </w:rPr>
        <w:t>About the Annual Meeting</w:t>
      </w:r>
    </w:p>
    <w:p>
      <w:pPr>
        <w:spacing w:after="0" w:line="200" w:lineRule="exact"/>
        <w:rPr>
          <w:sz w:val="20"/>
          <w:szCs w:val="20"/>
          <w:color w:val="auto"/>
        </w:rPr>
      </w:pPr>
    </w:p>
    <w:p>
      <w:pPr>
        <w:spacing w:after="0" w:line="358" w:lineRule="exact"/>
        <w:rPr>
          <w:sz w:val="20"/>
          <w:szCs w:val="20"/>
          <w:color w:val="auto"/>
        </w:rPr>
      </w:pPr>
    </w:p>
    <w:p>
      <w:pPr>
        <w:ind w:left="313" w:right="420"/>
        <w:spacing w:after="0" w:line="335" w:lineRule="auto"/>
        <w:rPr>
          <w:sz w:val="20"/>
          <w:szCs w:val="20"/>
          <w:color w:val="auto"/>
        </w:rPr>
      </w:pPr>
      <w:r>
        <w:rPr>
          <w:rFonts w:ascii="Arial" w:cs="Arial" w:eastAsia="Arial" w:hAnsi="Arial"/>
          <w:sz w:val="16"/>
          <w:szCs w:val="16"/>
          <w:color w:val="0E1020"/>
        </w:rPr>
        <w:t xml:space="preserve">To attend the meeting please visit </w:t>
      </w:r>
      <w:r>
        <w:rPr>
          <w:rFonts w:ascii="Arial" w:cs="Arial" w:eastAsia="Arial" w:hAnsi="Arial"/>
          <w:sz w:val="16"/>
          <w:szCs w:val="16"/>
          <w:b w:val="1"/>
          <w:bCs w:val="1"/>
          <w:color w:val="0E1020"/>
        </w:rPr>
        <w:t>www.virtualshareholdermeeting.com/DXC2026</w:t>
      </w:r>
      <w:r>
        <w:rPr>
          <w:rFonts w:ascii="Arial" w:cs="Arial" w:eastAsia="Arial" w:hAnsi="Arial"/>
          <w:sz w:val="16"/>
          <w:szCs w:val="16"/>
          <w:color w:val="0E1020"/>
        </w:rPr>
        <w:t>. To participate in the annual meeting, you will need the 16-digit control number included on your notice, on your proxy card or on the instructions that accompanied your proxy materials.</w:t>
      </w:r>
    </w:p>
    <w:p>
      <w:pPr>
        <w:spacing w:after="0" w:line="23" w:lineRule="exact"/>
        <w:rPr>
          <w:sz w:val="20"/>
          <w:szCs w:val="20"/>
          <w:color w:val="auto"/>
        </w:rPr>
      </w:pPr>
    </w:p>
    <w:p>
      <w:pPr>
        <w:ind w:left="313" w:right="100"/>
        <w:spacing w:after="0" w:line="335" w:lineRule="auto"/>
        <w:rPr>
          <w:sz w:val="20"/>
          <w:szCs w:val="20"/>
          <w:color w:val="auto"/>
        </w:rPr>
      </w:pPr>
      <w:r>
        <w:rPr>
          <w:rFonts w:ascii="Arial" w:cs="Arial" w:eastAsia="Arial" w:hAnsi="Arial"/>
          <w:sz w:val="16"/>
          <w:szCs w:val="16"/>
          <w:color w:val="0E1020"/>
        </w:rPr>
        <w:t>The shares voted electronically, by telephone or represented by the proxy cards received, properly marked, dated, signed and not revoked, will be voted at the Annual Meeting.</w:t>
      </w:r>
    </w:p>
    <w:p>
      <w:pPr>
        <w:spacing w:after="0" w:line="38" w:lineRule="exact"/>
        <w:rPr>
          <w:sz w:val="20"/>
          <w:szCs w:val="20"/>
          <w:color w:val="auto"/>
        </w:rPr>
      </w:pPr>
    </w:p>
    <w:p>
      <w:pPr>
        <w:ind w:left="313" w:hanging="313"/>
        <w:spacing w:after="0"/>
        <w:tabs>
          <w:tab w:leader="none" w:pos="313" w:val="left"/>
        </w:tabs>
        <w:numPr>
          <w:ilvl w:val="0"/>
          <w:numId w:val="109"/>
        </w:numPr>
        <w:rPr>
          <w:rFonts w:ascii="Arial" w:cs="Arial" w:eastAsia="Arial" w:hAnsi="Arial"/>
          <w:sz w:val="16"/>
          <w:szCs w:val="16"/>
          <w:b w:val="1"/>
          <w:bCs w:val="1"/>
          <w:i w:val="1"/>
          <w:iCs w:val="1"/>
          <w:color w:val="0E1020"/>
        </w:rPr>
      </w:pPr>
      <w:r>
        <w:rPr>
          <w:rFonts w:ascii="Arial" w:cs="Arial" w:eastAsia="Arial" w:hAnsi="Arial"/>
          <w:sz w:val="16"/>
          <w:szCs w:val="16"/>
          <w:b w:val="1"/>
          <w:bCs w:val="1"/>
          <w:i w:val="1"/>
          <w:iCs w:val="1"/>
          <w:color w:val="0E1020"/>
        </w:rPr>
        <w:t>Why did I receive a notice in the mail regarding the Internet availability of proxy materials instead of a paper copy of proxy materials?</w:t>
      </w:r>
    </w:p>
    <w:p>
      <w:pPr>
        <w:spacing w:after="0" w:line="122" w:lineRule="exact"/>
        <w:rPr>
          <w:rFonts w:ascii="Arial" w:cs="Arial" w:eastAsia="Arial" w:hAnsi="Arial"/>
          <w:sz w:val="16"/>
          <w:szCs w:val="16"/>
          <w:b w:val="1"/>
          <w:bCs w:val="1"/>
          <w:i w:val="1"/>
          <w:iCs w:val="1"/>
          <w:color w:val="0E1020"/>
        </w:rPr>
      </w:pPr>
    </w:p>
    <w:p>
      <w:pPr>
        <w:jc w:val="both"/>
        <w:ind w:left="313" w:right="340"/>
        <w:spacing w:after="0" w:line="316" w:lineRule="auto"/>
        <w:rPr>
          <w:rFonts w:ascii="Arial" w:cs="Arial" w:eastAsia="Arial" w:hAnsi="Arial"/>
          <w:sz w:val="16"/>
          <w:szCs w:val="16"/>
          <w:b w:val="1"/>
          <w:bCs w:val="1"/>
          <w:i w:val="1"/>
          <w:iCs w:val="1"/>
          <w:color w:val="0E1020"/>
        </w:rPr>
      </w:pPr>
      <w:r>
        <w:rPr>
          <w:rFonts w:ascii="Arial" w:cs="Arial" w:eastAsia="Arial" w:hAnsi="Arial"/>
          <w:sz w:val="16"/>
          <w:szCs w:val="16"/>
          <w:color w:val="0E1020"/>
        </w:rPr>
        <w:t>Under the “Notice and Access” rules of the SEC, we are permitted to furnish proxy materials, including this Proxy Statement and our annual report to stockholders for the fiscal year ended March 31, 2026, to our stockholders by providing access to such documents on the Internet instead of mailing printed copies. Most stockholders will not receive printed copies of the proxy materials unless they request them.</w:t>
      </w:r>
    </w:p>
    <w:p>
      <w:pPr>
        <w:spacing w:after="0" w:line="37" w:lineRule="exact"/>
        <w:rPr>
          <w:rFonts w:ascii="Arial" w:cs="Arial" w:eastAsia="Arial" w:hAnsi="Arial"/>
          <w:sz w:val="16"/>
          <w:szCs w:val="16"/>
          <w:b w:val="1"/>
          <w:bCs w:val="1"/>
          <w:i w:val="1"/>
          <w:iCs w:val="1"/>
          <w:color w:val="0E1020"/>
        </w:rPr>
      </w:pPr>
    </w:p>
    <w:p>
      <w:pPr>
        <w:ind w:left="313" w:right="40"/>
        <w:spacing w:after="0" w:line="304" w:lineRule="auto"/>
        <w:rPr>
          <w:rFonts w:ascii="Arial" w:cs="Arial" w:eastAsia="Arial" w:hAnsi="Arial"/>
          <w:sz w:val="16"/>
          <w:szCs w:val="16"/>
          <w:b w:val="1"/>
          <w:bCs w:val="1"/>
          <w:i w:val="1"/>
          <w:iCs w:val="1"/>
          <w:color w:val="0E1020"/>
        </w:rPr>
      </w:pPr>
      <w:r>
        <w:rPr>
          <w:rFonts w:ascii="Arial" w:cs="Arial" w:eastAsia="Arial" w:hAnsi="Arial"/>
          <w:sz w:val="16"/>
          <w:szCs w:val="16"/>
          <w:color w:val="0E1020"/>
        </w:rPr>
        <w:t>Instead, the notice, which was mailed to most of our stockholders, will instruct you as to how you may access and review all of the proxy materials on the Internet. The notice also instructs you as to how you may vote your shares on the Internet. If you would like to receive a paper or electronic copy of our proxy materials, follow the instructions for requesting such materials in the notice. Any request to receive proxy materials by mail or electronically will remain in effect until you revoke it.</w:t>
      </w:r>
    </w:p>
    <w:p>
      <w:pPr>
        <w:spacing w:after="0" w:line="61" w:lineRule="exact"/>
        <w:rPr>
          <w:rFonts w:ascii="Arial" w:cs="Arial" w:eastAsia="Arial" w:hAnsi="Arial"/>
          <w:sz w:val="16"/>
          <w:szCs w:val="16"/>
          <w:b w:val="1"/>
          <w:bCs w:val="1"/>
          <w:i w:val="1"/>
          <w:iCs w:val="1"/>
          <w:color w:val="0E1020"/>
        </w:rPr>
      </w:pPr>
    </w:p>
    <w:p>
      <w:pPr>
        <w:ind w:left="313" w:hanging="313"/>
        <w:spacing w:after="0"/>
        <w:tabs>
          <w:tab w:leader="none" w:pos="313" w:val="left"/>
        </w:tabs>
        <w:numPr>
          <w:ilvl w:val="0"/>
          <w:numId w:val="109"/>
        </w:numPr>
        <w:rPr>
          <w:rFonts w:ascii="Arial" w:cs="Arial" w:eastAsia="Arial" w:hAnsi="Arial"/>
          <w:sz w:val="16"/>
          <w:szCs w:val="16"/>
          <w:b w:val="1"/>
          <w:bCs w:val="1"/>
          <w:i w:val="1"/>
          <w:iCs w:val="1"/>
          <w:color w:val="0E1020"/>
        </w:rPr>
      </w:pPr>
      <w:r>
        <w:rPr>
          <w:rFonts w:ascii="Arial" w:cs="Arial" w:eastAsia="Arial" w:hAnsi="Arial"/>
          <w:sz w:val="16"/>
          <w:szCs w:val="16"/>
          <w:b w:val="1"/>
          <w:bCs w:val="1"/>
          <w:i w:val="1"/>
          <w:iCs w:val="1"/>
          <w:color w:val="0E1020"/>
        </w:rPr>
        <w:t>Can I vote my shares by filling out and returning the notice?</w:t>
      </w:r>
    </w:p>
    <w:p>
      <w:pPr>
        <w:spacing w:after="0" w:line="122" w:lineRule="exact"/>
        <w:rPr>
          <w:rFonts w:ascii="Arial" w:cs="Arial" w:eastAsia="Arial" w:hAnsi="Arial"/>
          <w:sz w:val="16"/>
          <w:szCs w:val="16"/>
          <w:b w:val="1"/>
          <w:bCs w:val="1"/>
          <w:i w:val="1"/>
          <w:iCs w:val="1"/>
          <w:color w:val="0E1020"/>
        </w:rPr>
      </w:pPr>
    </w:p>
    <w:p>
      <w:pPr>
        <w:ind w:left="313" w:right="120"/>
        <w:spacing w:after="0" w:line="335" w:lineRule="auto"/>
        <w:rPr>
          <w:rFonts w:ascii="Arial" w:cs="Arial" w:eastAsia="Arial" w:hAnsi="Arial"/>
          <w:sz w:val="16"/>
          <w:szCs w:val="16"/>
          <w:b w:val="1"/>
          <w:bCs w:val="1"/>
          <w:i w:val="1"/>
          <w:iCs w:val="1"/>
          <w:color w:val="0E1020"/>
        </w:rPr>
      </w:pPr>
      <w:r>
        <w:rPr>
          <w:rFonts w:ascii="Arial" w:cs="Arial" w:eastAsia="Arial" w:hAnsi="Arial"/>
          <w:sz w:val="16"/>
          <w:szCs w:val="16"/>
          <w:color w:val="0E1020"/>
        </w:rPr>
        <w:t>No. The notice identifies the items to be voted on at the Annual Meeting, but you cannot vote by marking the notice and returning it. The notice provides instructions on how to cast your vote. For additional information, see “How Do I Vote?” above.</w:t>
      </w:r>
    </w:p>
    <w:p>
      <w:pPr>
        <w:spacing w:after="0" w:line="37" w:lineRule="exact"/>
        <w:rPr>
          <w:rFonts w:ascii="Arial" w:cs="Arial" w:eastAsia="Arial" w:hAnsi="Arial"/>
          <w:sz w:val="16"/>
          <w:szCs w:val="16"/>
          <w:b w:val="1"/>
          <w:bCs w:val="1"/>
          <w:i w:val="1"/>
          <w:iCs w:val="1"/>
          <w:color w:val="0E1020"/>
        </w:rPr>
      </w:pPr>
    </w:p>
    <w:p>
      <w:pPr>
        <w:ind w:left="313" w:hanging="313"/>
        <w:spacing w:after="0"/>
        <w:tabs>
          <w:tab w:leader="none" w:pos="313" w:val="left"/>
        </w:tabs>
        <w:numPr>
          <w:ilvl w:val="0"/>
          <w:numId w:val="109"/>
        </w:numPr>
        <w:rPr>
          <w:rFonts w:ascii="Arial" w:cs="Arial" w:eastAsia="Arial" w:hAnsi="Arial"/>
          <w:sz w:val="16"/>
          <w:szCs w:val="16"/>
          <w:b w:val="1"/>
          <w:bCs w:val="1"/>
          <w:i w:val="1"/>
          <w:iCs w:val="1"/>
          <w:color w:val="0E1020"/>
        </w:rPr>
      </w:pPr>
      <w:r>
        <w:rPr>
          <w:rFonts w:ascii="Arial" w:cs="Arial" w:eastAsia="Arial" w:hAnsi="Arial"/>
          <w:sz w:val="16"/>
          <w:szCs w:val="16"/>
          <w:b w:val="1"/>
          <w:bCs w:val="1"/>
          <w:i w:val="1"/>
          <w:iCs w:val="1"/>
          <w:color w:val="0E1020"/>
        </w:rPr>
        <w:t>Why didn’t I receive a notice in the mail about the Internet availability of proxy materials?</w:t>
      </w:r>
    </w:p>
    <w:p>
      <w:pPr>
        <w:spacing w:after="0" w:line="122" w:lineRule="exact"/>
        <w:rPr>
          <w:rFonts w:ascii="Arial" w:cs="Arial" w:eastAsia="Arial" w:hAnsi="Arial"/>
          <w:sz w:val="16"/>
          <w:szCs w:val="16"/>
          <w:b w:val="1"/>
          <w:bCs w:val="1"/>
          <w:i w:val="1"/>
          <w:iCs w:val="1"/>
          <w:color w:val="0E1020"/>
        </w:rPr>
      </w:pPr>
    </w:p>
    <w:p>
      <w:pPr>
        <w:ind w:left="313" w:right="60"/>
        <w:spacing w:after="0" w:line="316" w:lineRule="auto"/>
        <w:rPr>
          <w:rFonts w:ascii="Arial" w:cs="Arial" w:eastAsia="Arial" w:hAnsi="Arial"/>
          <w:sz w:val="16"/>
          <w:szCs w:val="16"/>
          <w:b w:val="1"/>
          <w:bCs w:val="1"/>
          <w:i w:val="1"/>
          <w:iCs w:val="1"/>
          <w:color w:val="0E1020"/>
        </w:rPr>
      </w:pPr>
      <w:r>
        <w:rPr>
          <w:rFonts w:ascii="Arial" w:cs="Arial" w:eastAsia="Arial" w:hAnsi="Arial"/>
          <w:sz w:val="16"/>
          <w:szCs w:val="16"/>
          <w:color w:val="0E1020"/>
        </w:rPr>
        <w:t>If you previously elected to access our proxy materials over the Internet, you will not receive a notice in the mail. You should have received an email with links to the proxy materials and online proxy voting. Additionally, if you previously requested paper copies of the proxy materials or if applicable regulations require hard copy delivery of the proxy materials, you will not receive the notice.</w:t>
      </w:r>
    </w:p>
    <w:p>
      <w:pPr>
        <w:spacing w:after="0" w:line="37" w:lineRule="exact"/>
        <w:rPr>
          <w:rFonts w:ascii="Arial" w:cs="Arial" w:eastAsia="Arial" w:hAnsi="Arial"/>
          <w:sz w:val="16"/>
          <w:szCs w:val="16"/>
          <w:b w:val="1"/>
          <w:bCs w:val="1"/>
          <w:i w:val="1"/>
          <w:iCs w:val="1"/>
          <w:color w:val="0E1020"/>
        </w:rPr>
      </w:pPr>
    </w:p>
    <w:p>
      <w:pPr>
        <w:jc w:val="both"/>
        <w:ind w:left="313" w:right="100"/>
        <w:spacing w:after="0" w:line="291" w:lineRule="auto"/>
        <w:rPr>
          <w:rFonts w:ascii="Arial" w:cs="Arial" w:eastAsia="Arial" w:hAnsi="Arial"/>
          <w:sz w:val="16"/>
          <w:szCs w:val="16"/>
          <w:b w:val="1"/>
          <w:bCs w:val="1"/>
          <w:i w:val="1"/>
          <w:iCs w:val="1"/>
          <w:color w:val="0E1020"/>
        </w:rPr>
      </w:pPr>
      <w:r>
        <w:rPr>
          <w:rFonts w:ascii="Arial" w:cs="Arial" w:eastAsia="Arial" w:hAnsi="Arial"/>
          <w:sz w:val="16"/>
          <w:szCs w:val="16"/>
          <w:color w:val="0E1020"/>
        </w:rPr>
        <w:t>If you received a paper copy of the proxy materials or the notice by mail, you can eliminate all such paper mailings in the future by electing to receive an email that will provide Internet links to these documents. Opting to receive all future proxy materials online will save us the cost of producing and mailing documents to your home or business and help us conserve natural resources. Please visit www.proxyvote.com to request complete electronic delivery.</w:t>
      </w:r>
    </w:p>
    <w:p>
      <w:pPr>
        <w:spacing w:after="0" w:line="1" w:lineRule="exact"/>
        <w:rPr>
          <w:rFonts w:ascii="Arial" w:cs="Arial" w:eastAsia="Arial" w:hAnsi="Arial"/>
          <w:sz w:val="16"/>
          <w:szCs w:val="16"/>
          <w:b w:val="1"/>
          <w:bCs w:val="1"/>
          <w:i w:val="1"/>
          <w:iCs w:val="1"/>
          <w:color w:val="0E1020"/>
        </w:rPr>
      </w:pPr>
    </w:p>
    <w:p>
      <w:pPr>
        <w:ind w:left="313"/>
        <w:spacing w:after="0"/>
        <w:rPr>
          <w:rFonts w:ascii="Arial" w:cs="Arial" w:eastAsia="Arial" w:hAnsi="Arial"/>
          <w:sz w:val="16"/>
          <w:szCs w:val="16"/>
          <w:b w:val="1"/>
          <w:bCs w:val="1"/>
          <w:i w:val="1"/>
          <w:iCs w:val="1"/>
          <w:color w:val="0E1020"/>
        </w:rPr>
      </w:pPr>
      <w:r>
        <w:rPr>
          <w:rFonts w:ascii="Arial" w:cs="Arial" w:eastAsia="Arial" w:hAnsi="Arial"/>
          <w:sz w:val="16"/>
          <w:szCs w:val="16"/>
          <w:color w:val="0E1020"/>
        </w:rPr>
        <w:t>Enrollment for electronic delivery is effective until cancelled.</w:t>
      </w:r>
    </w:p>
    <w:p>
      <w:pPr>
        <w:spacing w:after="0" w:line="139" w:lineRule="exact"/>
        <w:rPr>
          <w:rFonts w:ascii="Arial" w:cs="Arial" w:eastAsia="Arial" w:hAnsi="Arial"/>
          <w:sz w:val="16"/>
          <w:szCs w:val="16"/>
          <w:b w:val="1"/>
          <w:bCs w:val="1"/>
          <w:i w:val="1"/>
          <w:iCs w:val="1"/>
          <w:color w:val="0E1020"/>
        </w:rPr>
      </w:pPr>
    </w:p>
    <w:p>
      <w:pPr>
        <w:ind w:left="313" w:hanging="313"/>
        <w:spacing w:after="0"/>
        <w:tabs>
          <w:tab w:leader="none" w:pos="313" w:val="left"/>
        </w:tabs>
        <w:numPr>
          <w:ilvl w:val="0"/>
          <w:numId w:val="109"/>
        </w:numPr>
        <w:rPr>
          <w:rFonts w:ascii="Arial" w:cs="Arial" w:eastAsia="Arial" w:hAnsi="Arial"/>
          <w:sz w:val="16"/>
          <w:szCs w:val="16"/>
          <w:b w:val="1"/>
          <w:bCs w:val="1"/>
          <w:i w:val="1"/>
          <w:iCs w:val="1"/>
          <w:color w:val="0E1020"/>
        </w:rPr>
      </w:pPr>
      <w:r>
        <w:rPr>
          <w:rFonts w:ascii="Arial" w:cs="Arial" w:eastAsia="Arial" w:hAnsi="Arial"/>
          <w:sz w:val="16"/>
          <w:szCs w:val="16"/>
          <w:b w:val="1"/>
          <w:bCs w:val="1"/>
          <w:i w:val="1"/>
          <w:iCs w:val="1"/>
          <w:color w:val="0E1020"/>
        </w:rPr>
        <w:t>How many votes do I have?</w:t>
      </w:r>
    </w:p>
    <w:p>
      <w:pPr>
        <w:spacing w:after="0" w:line="122" w:lineRule="exact"/>
        <w:rPr>
          <w:rFonts w:ascii="Arial" w:cs="Arial" w:eastAsia="Arial" w:hAnsi="Arial"/>
          <w:sz w:val="16"/>
          <w:szCs w:val="16"/>
          <w:b w:val="1"/>
          <w:bCs w:val="1"/>
          <w:i w:val="1"/>
          <w:iCs w:val="1"/>
          <w:color w:val="0E1020"/>
        </w:rPr>
      </w:pPr>
    </w:p>
    <w:p>
      <w:pPr>
        <w:ind w:left="313" w:right="40"/>
        <w:spacing w:after="0" w:line="335" w:lineRule="auto"/>
        <w:rPr>
          <w:rFonts w:ascii="Arial" w:cs="Arial" w:eastAsia="Arial" w:hAnsi="Arial"/>
          <w:sz w:val="16"/>
          <w:szCs w:val="16"/>
          <w:b w:val="1"/>
          <w:bCs w:val="1"/>
          <w:i w:val="1"/>
          <w:iCs w:val="1"/>
          <w:color w:val="0E1020"/>
        </w:rPr>
      </w:pPr>
      <w:r>
        <w:rPr>
          <w:rFonts w:ascii="Arial" w:cs="Arial" w:eastAsia="Arial" w:hAnsi="Arial"/>
          <w:sz w:val="16"/>
          <w:szCs w:val="16"/>
          <w:color w:val="0E1020"/>
        </w:rPr>
        <w:t>You will have one vote for each share of our common stock you owned at the close of business on the record date, provided those shares are either held directly in your name as the stockholder of record or were held for you as the beneficial owner through a broker, bank or other nominee.</w:t>
      </w:r>
    </w:p>
    <w:p>
      <w:pPr>
        <w:spacing w:after="0" w:line="37" w:lineRule="exact"/>
        <w:rPr>
          <w:rFonts w:ascii="Arial" w:cs="Arial" w:eastAsia="Arial" w:hAnsi="Arial"/>
          <w:sz w:val="16"/>
          <w:szCs w:val="16"/>
          <w:b w:val="1"/>
          <w:bCs w:val="1"/>
          <w:i w:val="1"/>
          <w:iCs w:val="1"/>
          <w:color w:val="0E1020"/>
        </w:rPr>
      </w:pPr>
    </w:p>
    <w:p>
      <w:pPr>
        <w:ind w:left="313" w:hanging="313"/>
        <w:spacing w:after="0"/>
        <w:tabs>
          <w:tab w:leader="none" w:pos="313" w:val="left"/>
        </w:tabs>
        <w:numPr>
          <w:ilvl w:val="0"/>
          <w:numId w:val="109"/>
        </w:numPr>
        <w:rPr>
          <w:rFonts w:ascii="Arial" w:cs="Arial" w:eastAsia="Arial" w:hAnsi="Arial"/>
          <w:sz w:val="16"/>
          <w:szCs w:val="16"/>
          <w:b w:val="1"/>
          <w:bCs w:val="1"/>
          <w:i w:val="1"/>
          <w:iCs w:val="1"/>
          <w:color w:val="0E1020"/>
        </w:rPr>
      </w:pPr>
      <w:r>
        <w:rPr>
          <w:rFonts w:ascii="Arial" w:cs="Arial" w:eastAsia="Arial" w:hAnsi="Arial"/>
          <w:sz w:val="16"/>
          <w:szCs w:val="16"/>
          <w:b w:val="1"/>
          <w:bCs w:val="1"/>
          <w:i w:val="1"/>
          <w:iCs w:val="1"/>
          <w:color w:val="0E1020"/>
        </w:rPr>
        <w:t>What is the difference between holding shares as a stockholder of record and as a beneficial owner?</w:t>
      </w:r>
    </w:p>
    <w:p>
      <w:pPr>
        <w:spacing w:after="0" w:line="122" w:lineRule="exact"/>
        <w:rPr>
          <w:rFonts w:ascii="Arial" w:cs="Arial" w:eastAsia="Arial" w:hAnsi="Arial"/>
          <w:sz w:val="16"/>
          <w:szCs w:val="16"/>
          <w:b w:val="1"/>
          <w:bCs w:val="1"/>
          <w:i w:val="1"/>
          <w:iCs w:val="1"/>
          <w:color w:val="0E1020"/>
        </w:rPr>
      </w:pPr>
    </w:p>
    <w:p>
      <w:pPr>
        <w:ind w:left="313" w:right="180"/>
        <w:spacing w:after="0" w:line="335" w:lineRule="auto"/>
        <w:rPr>
          <w:rFonts w:ascii="Arial" w:cs="Arial" w:eastAsia="Arial" w:hAnsi="Arial"/>
          <w:sz w:val="16"/>
          <w:szCs w:val="16"/>
          <w:b w:val="1"/>
          <w:bCs w:val="1"/>
          <w:i w:val="1"/>
          <w:iCs w:val="1"/>
          <w:color w:val="0E1020"/>
        </w:rPr>
      </w:pPr>
      <w:r>
        <w:rPr>
          <w:rFonts w:ascii="Arial" w:cs="Arial" w:eastAsia="Arial" w:hAnsi="Arial"/>
          <w:sz w:val="16"/>
          <w:szCs w:val="16"/>
          <w:color w:val="0E1020"/>
        </w:rPr>
        <w:t>Most of our stockholders hold their shares through a broker, bank or other nominee rather than directly in their own name. As summarized below, there are some differences between shares held of record and those owned beneficially.</w:t>
      </w:r>
    </w:p>
    <w:p>
      <w:pPr>
        <w:spacing w:after="0" w:line="22" w:lineRule="exact"/>
        <w:rPr>
          <w:rFonts w:ascii="Arial" w:cs="Arial" w:eastAsia="Arial" w:hAnsi="Arial"/>
          <w:sz w:val="16"/>
          <w:szCs w:val="16"/>
          <w:b w:val="1"/>
          <w:bCs w:val="1"/>
          <w:i w:val="1"/>
          <w:iCs w:val="1"/>
          <w:color w:val="0E1020"/>
        </w:rPr>
      </w:pPr>
    </w:p>
    <w:p>
      <w:pPr>
        <w:ind w:left="313" w:right="100"/>
        <w:spacing w:after="0" w:line="310" w:lineRule="auto"/>
        <w:rPr>
          <w:rFonts w:ascii="Arial" w:cs="Arial" w:eastAsia="Arial" w:hAnsi="Arial"/>
          <w:sz w:val="16"/>
          <w:szCs w:val="16"/>
          <w:b w:val="1"/>
          <w:bCs w:val="1"/>
          <w:i w:val="1"/>
          <w:iCs w:val="1"/>
          <w:color w:val="0E1020"/>
        </w:rPr>
      </w:pPr>
      <w:r>
        <w:rPr>
          <w:rFonts w:ascii="Arial" w:cs="Arial" w:eastAsia="Arial" w:hAnsi="Arial"/>
          <w:sz w:val="16"/>
          <w:szCs w:val="16"/>
          <w:i w:val="1"/>
          <w:iCs w:val="1"/>
          <w:color w:val="0E1020"/>
        </w:rPr>
        <w:t>Stockholder of Record</w:t>
      </w:r>
      <w:r>
        <w:rPr>
          <w:rFonts w:ascii="Arial" w:cs="Arial" w:eastAsia="Arial" w:hAnsi="Arial"/>
          <w:sz w:val="16"/>
          <w:szCs w:val="16"/>
          <w:color w:val="0E1020"/>
        </w:rPr>
        <w:t>. If your shares are registered directly in your name with our transfer agent, EQ Shareowner Services, you are considered the</w:t>
      </w:r>
      <w:r>
        <w:rPr>
          <w:rFonts w:ascii="Arial" w:cs="Arial" w:eastAsia="Arial" w:hAnsi="Arial"/>
          <w:sz w:val="16"/>
          <w:szCs w:val="16"/>
          <w:i w:val="1"/>
          <w:iCs w:val="1"/>
          <w:color w:val="0E1020"/>
        </w:rPr>
        <w:t xml:space="preserve"> </w:t>
      </w:r>
      <w:r>
        <w:rPr>
          <w:rFonts w:ascii="Arial" w:cs="Arial" w:eastAsia="Arial" w:hAnsi="Arial"/>
          <w:sz w:val="16"/>
          <w:szCs w:val="16"/>
          <w:color w:val="0E1020"/>
        </w:rPr>
        <w:t>stockholder of record with respect to those shares, and the notice or these proxy materials are being sent directly to you. As the stockholder of record, you have the right to grant your voting proxy directly to the individuals listed on the proxy card, to submit proxies electronically or by telephone or to vote at the annual meeting. If you have requested printed proxy materials, we have enclosed a proxy card for you to use.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3"/>
        <w:spacing w:after="0"/>
        <w:tabs>
          <w:tab w:leader="none" w:pos="5472" w:val="left"/>
          <w:tab w:leader="none" w:pos="9772"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107</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146050</wp:posOffset>
            </wp:positionV>
            <wp:extent cx="715899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13"/>
          </w:cols>
          <w:pgMar w:left="327" w:top="224" w:right="359" w:bottom="1440" w:gutter="0" w:footer="0" w:header="0"/>
        </w:sectPr>
      </w:pPr>
    </w:p>
    <w:bookmarkStart w:id="115" w:name="page116"/>
    <w:bookmarkEnd w:id="115"/>
    <w:p>
      <w:pPr>
        <w:ind w:left="13"/>
        <w:spacing w:after="0"/>
        <w:tabs>
          <w:tab w:leader="none" w:pos="10092" w:val="left"/>
        </w:tabs>
        <w:rPr>
          <w:sz w:val="20"/>
          <w:szCs w:val="20"/>
          <w:color w:val="auto"/>
        </w:rPr>
      </w:pPr>
      <w:r>
        <w:rPr>
          <w:rFonts w:ascii="Arial" w:cs="Arial" w:eastAsia="Arial" w:hAnsi="Arial"/>
          <w:sz w:val="14"/>
          <w:szCs w:val="14"/>
          <w:color w:val="0E1020"/>
        </w:rPr>
        <w:t>About the Annual Meeting</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313" w:right="20"/>
        <w:spacing w:after="0" w:line="300" w:lineRule="auto"/>
        <w:rPr>
          <w:sz w:val="20"/>
          <w:szCs w:val="20"/>
          <w:color w:val="auto"/>
        </w:rPr>
      </w:pPr>
      <w:r>
        <w:rPr>
          <w:rFonts w:ascii="Arial" w:cs="Arial" w:eastAsia="Arial" w:hAnsi="Arial"/>
          <w:sz w:val="16"/>
          <w:szCs w:val="16"/>
          <w:i w:val="1"/>
          <w:iCs w:val="1"/>
          <w:color w:val="0E1020"/>
        </w:rPr>
        <w:t>Beneficial Owner</w:t>
      </w:r>
      <w:r>
        <w:rPr>
          <w:rFonts w:ascii="Arial" w:cs="Arial" w:eastAsia="Arial" w:hAnsi="Arial"/>
          <w:sz w:val="16"/>
          <w:szCs w:val="16"/>
          <w:color w:val="0E1020"/>
        </w:rPr>
        <w:t>. If your shares are held in a stock brokerage account or by a bank or other nominee, you are considered the beneficial owner of shares</w:t>
      </w:r>
      <w:r>
        <w:rPr>
          <w:rFonts w:ascii="Arial" w:cs="Arial" w:eastAsia="Arial" w:hAnsi="Arial"/>
          <w:sz w:val="16"/>
          <w:szCs w:val="16"/>
          <w:i w:val="1"/>
          <w:iCs w:val="1"/>
          <w:color w:val="0E1020"/>
        </w:rPr>
        <w:t xml:space="preserve"> </w:t>
      </w:r>
      <w:r>
        <w:rPr>
          <w:rFonts w:ascii="Arial" w:cs="Arial" w:eastAsia="Arial" w:hAnsi="Arial"/>
          <w:sz w:val="16"/>
          <w:szCs w:val="16"/>
          <w:color w:val="0E1020"/>
        </w:rPr>
        <w:t>held in “street name,” and your broker, bank or other nominee is considered the stockholder of record with respect to those shares. If you are a beneficial owner of shares held in “street name” and do not have a 16-digit control number on the notice, on your proxy card or on the instructions that accompanied your proxy materials, please contact your broker, bank or other nominee well in advance of the Annual Meeting for instructions on how to obtain a 16-digit control number and access the virtual meeting as a “stockholder.” Without first obtaining your 16-digit control number and logging in as a “stockholder,” you will still be able to attend the meeting by logging in as a guest; however, you will not be able to vote your shares or ask questions during the meeting. If you requested printed proxy materials from your broker, bank or other nominee, your broker, bank or other nominee may enclose a voting instruction card for you to use in directing the broker, bank or other nominee regarding how to vote your shares.</w:t>
      </w:r>
    </w:p>
    <w:p>
      <w:pPr>
        <w:spacing w:after="0" w:line="52" w:lineRule="exact"/>
        <w:rPr>
          <w:sz w:val="20"/>
          <w:szCs w:val="20"/>
          <w:color w:val="auto"/>
        </w:rPr>
      </w:pPr>
    </w:p>
    <w:p>
      <w:pPr>
        <w:ind w:left="313" w:hanging="313"/>
        <w:spacing w:after="0"/>
        <w:tabs>
          <w:tab w:leader="none" w:pos="313" w:val="left"/>
        </w:tabs>
        <w:numPr>
          <w:ilvl w:val="0"/>
          <w:numId w:val="110"/>
        </w:numPr>
        <w:rPr>
          <w:rFonts w:ascii="Arial" w:cs="Arial" w:eastAsia="Arial" w:hAnsi="Arial"/>
          <w:sz w:val="16"/>
          <w:szCs w:val="16"/>
          <w:b w:val="1"/>
          <w:bCs w:val="1"/>
          <w:i w:val="1"/>
          <w:iCs w:val="1"/>
          <w:color w:val="0E1020"/>
        </w:rPr>
      </w:pPr>
      <w:r>
        <w:rPr>
          <w:rFonts w:ascii="Arial" w:cs="Arial" w:eastAsia="Arial" w:hAnsi="Arial"/>
          <w:sz w:val="16"/>
          <w:szCs w:val="16"/>
          <w:b w:val="1"/>
          <w:bCs w:val="1"/>
          <w:i w:val="1"/>
          <w:iCs w:val="1"/>
          <w:color w:val="0E1020"/>
        </w:rPr>
        <w:t>How many votes must be present to hold the annual meeting?</w:t>
      </w:r>
    </w:p>
    <w:p>
      <w:pPr>
        <w:spacing w:after="0" w:line="122" w:lineRule="exact"/>
        <w:rPr>
          <w:rFonts w:ascii="Arial" w:cs="Arial" w:eastAsia="Arial" w:hAnsi="Arial"/>
          <w:sz w:val="16"/>
          <w:szCs w:val="16"/>
          <w:b w:val="1"/>
          <w:bCs w:val="1"/>
          <w:i w:val="1"/>
          <w:iCs w:val="1"/>
          <w:color w:val="0E1020"/>
        </w:rPr>
      </w:pPr>
    </w:p>
    <w:p>
      <w:pPr>
        <w:ind w:left="313" w:right="80"/>
        <w:spacing w:after="0" w:line="316" w:lineRule="auto"/>
        <w:rPr>
          <w:rFonts w:ascii="Arial" w:cs="Arial" w:eastAsia="Arial" w:hAnsi="Arial"/>
          <w:sz w:val="16"/>
          <w:szCs w:val="16"/>
          <w:b w:val="1"/>
          <w:bCs w:val="1"/>
          <w:i w:val="1"/>
          <w:iCs w:val="1"/>
          <w:color w:val="0E1020"/>
        </w:rPr>
      </w:pPr>
      <w:r>
        <w:rPr>
          <w:rFonts w:ascii="Arial" w:cs="Arial" w:eastAsia="Arial" w:hAnsi="Arial"/>
          <w:sz w:val="16"/>
          <w:szCs w:val="16"/>
          <w:color w:val="0E1020"/>
        </w:rPr>
        <w:t>The holders of a majority of our common stock issued and outstanding and entitled to vote at the Annual Meeting must be present in person (virtually) or represented by proxy. This is called a quorum. Both abstentions and broker non-votes are counted as present for the purpose of determining the presence of a quorum.</w:t>
      </w:r>
    </w:p>
    <w:p>
      <w:pPr>
        <w:spacing w:after="0" w:line="50" w:lineRule="exact"/>
        <w:rPr>
          <w:rFonts w:ascii="Arial" w:cs="Arial" w:eastAsia="Arial" w:hAnsi="Arial"/>
          <w:sz w:val="16"/>
          <w:szCs w:val="16"/>
          <w:b w:val="1"/>
          <w:bCs w:val="1"/>
          <w:i w:val="1"/>
          <w:iCs w:val="1"/>
          <w:color w:val="0E1020"/>
        </w:rPr>
      </w:pPr>
    </w:p>
    <w:p>
      <w:pPr>
        <w:ind w:left="313"/>
        <w:spacing w:after="0"/>
        <w:rPr>
          <w:rFonts w:ascii="Arial" w:cs="Arial" w:eastAsia="Arial" w:hAnsi="Arial"/>
          <w:sz w:val="16"/>
          <w:szCs w:val="16"/>
          <w:b w:val="1"/>
          <w:bCs w:val="1"/>
          <w:i w:val="1"/>
          <w:iCs w:val="1"/>
          <w:color w:val="0E1020"/>
        </w:rPr>
      </w:pPr>
      <w:r>
        <w:rPr>
          <w:rFonts w:ascii="Arial" w:cs="Arial" w:eastAsia="Arial" w:hAnsi="Arial"/>
          <w:sz w:val="16"/>
          <w:szCs w:val="16"/>
          <w:color w:val="0E1020"/>
        </w:rPr>
        <w:t>As of the record date, there were 162,080,263 shares of DXC common stock outstanding.</w:t>
      </w:r>
    </w:p>
    <w:p>
      <w:pPr>
        <w:spacing w:after="0" w:line="126" w:lineRule="exact"/>
        <w:rPr>
          <w:rFonts w:ascii="Arial" w:cs="Arial" w:eastAsia="Arial" w:hAnsi="Arial"/>
          <w:sz w:val="16"/>
          <w:szCs w:val="16"/>
          <w:b w:val="1"/>
          <w:bCs w:val="1"/>
          <w:i w:val="1"/>
          <w:iCs w:val="1"/>
          <w:color w:val="0E1020"/>
        </w:rPr>
      </w:pPr>
    </w:p>
    <w:p>
      <w:pPr>
        <w:ind w:left="313" w:right="4740" w:hanging="313"/>
        <w:spacing w:after="0" w:line="409" w:lineRule="auto"/>
        <w:tabs>
          <w:tab w:leader="none" w:pos="295" w:val="left"/>
        </w:tabs>
        <w:numPr>
          <w:ilvl w:val="0"/>
          <w:numId w:val="110"/>
        </w:numPr>
        <w:rPr>
          <w:rFonts w:ascii="Arial" w:cs="Arial" w:eastAsia="Arial" w:hAnsi="Arial"/>
          <w:sz w:val="16"/>
          <w:szCs w:val="16"/>
          <w:b w:val="1"/>
          <w:bCs w:val="1"/>
          <w:i w:val="1"/>
          <w:iCs w:val="1"/>
          <w:color w:val="0E1020"/>
        </w:rPr>
      </w:pPr>
      <w:r>
        <w:rPr>
          <w:rFonts w:ascii="Arial" w:cs="Arial" w:eastAsia="Arial" w:hAnsi="Arial"/>
          <w:sz w:val="16"/>
          <w:szCs w:val="16"/>
          <w:b w:val="1"/>
          <w:bCs w:val="1"/>
          <w:i w:val="1"/>
          <w:iCs w:val="1"/>
          <w:color w:val="0E1020"/>
        </w:rPr>
        <w:t xml:space="preserve">How many votes are required to elect directors and adopt the other proposals? </w:t>
      </w:r>
      <w:r>
        <w:rPr>
          <w:rFonts w:ascii="Arial" w:cs="Arial" w:eastAsia="Arial" w:hAnsi="Arial"/>
          <w:sz w:val="16"/>
          <w:szCs w:val="16"/>
          <w:i w:val="1"/>
          <w:iCs w:val="1"/>
          <w:color w:val="0E1020"/>
        </w:rPr>
        <w:t>Proposal 1—Election of each of the 9 director nominees listed in this Proxy Statement.</w:t>
      </w:r>
    </w:p>
    <w:p>
      <w:pPr>
        <w:ind w:left="313" w:right="40"/>
        <w:spacing w:after="0" w:line="307" w:lineRule="auto"/>
        <w:rPr>
          <w:rFonts w:ascii="Arial" w:cs="Arial" w:eastAsia="Arial" w:hAnsi="Arial"/>
          <w:sz w:val="16"/>
          <w:szCs w:val="16"/>
          <w:b w:val="1"/>
          <w:bCs w:val="1"/>
          <w:i w:val="1"/>
          <w:iCs w:val="1"/>
          <w:color w:val="0E1020"/>
        </w:rPr>
      </w:pPr>
      <w:r>
        <w:rPr>
          <w:rFonts w:ascii="Arial" w:cs="Arial" w:eastAsia="Arial" w:hAnsi="Arial"/>
          <w:sz w:val="16"/>
          <w:szCs w:val="16"/>
          <w:color w:val="0E1020"/>
        </w:rPr>
        <w:t>Directors are elected by a majority vote in uncontested elections. Therefore, each director nominee must receive a majority of the votes cast with respect to such nominee at the annual meeting (the number of FOR votes must exceed the number of AGAINST votes). Abstentions and broker non-votes are not counted as votes FOR or AGAINST any nominee; therefore, they will have no effect on the outcome of the vote on this proposal.</w:t>
      </w:r>
    </w:p>
    <w:p>
      <w:pPr>
        <w:spacing w:after="0" w:line="58" w:lineRule="exact"/>
        <w:rPr>
          <w:rFonts w:ascii="Arial" w:cs="Arial" w:eastAsia="Arial" w:hAnsi="Arial"/>
          <w:sz w:val="16"/>
          <w:szCs w:val="16"/>
          <w:b w:val="1"/>
          <w:bCs w:val="1"/>
          <w:i w:val="1"/>
          <w:iCs w:val="1"/>
          <w:color w:val="0E1020"/>
        </w:rPr>
      </w:pPr>
    </w:p>
    <w:p>
      <w:pPr>
        <w:ind w:left="313" w:right="20"/>
        <w:spacing w:after="0" w:line="302" w:lineRule="auto"/>
        <w:rPr>
          <w:rFonts w:ascii="Arial" w:cs="Arial" w:eastAsia="Arial" w:hAnsi="Arial"/>
          <w:sz w:val="16"/>
          <w:szCs w:val="16"/>
          <w:b w:val="1"/>
          <w:bCs w:val="1"/>
          <w:i w:val="1"/>
          <w:iCs w:val="1"/>
          <w:color w:val="0E1020"/>
        </w:rPr>
      </w:pPr>
      <w:r>
        <w:rPr>
          <w:rFonts w:ascii="Arial" w:cs="Arial" w:eastAsia="Arial" w:hAnsi="Arial"/>
          <w:sz w:val="16"/>
          <w:szCs w:val="16"/>
          <w:color w:val="0E1020"/>
        </w:rPr>
        <w:t>In accordance with DXC’s Guidelines, if an incumbent director nominee fails to receive the requisite number of votes, such director nominee shall promptly tender his or her resignation for consideration by the Nominating/Corporate Governance Committee. Within 30 days following the certification of the stockholder vote, the Nominating/Corporate Governance Committee will make a recommendation to the Board of Directors as to the treatment of any director who did not receive a majority vote, including whether to accept or reject any tendered resignation. The Board of Directors will make a final determination within 90 days following the certification of the election results, and publicly disclose its decision and rationale.</w:t>
      </w:r>
    </w:p>
    <w:p>
      <w:pPr>
        <w:spacing w:after="0" w:line="64" w:lineRule="exact"/>
        <w:rPr>
          <w:rFonts w:ascii="Arial" w:cs="Arial" w:eastAsia="Arial" w:hAnsi="Arial"/>
          <w:sz w:val="16"/>
          <w:szCs w:val="16"/>
          <w:b w:val="1"/>
          <w:bCs w:val="1"/>
          <w:i w:val="1"/>
          <w:iCs w:val="1"/>
          <w:color w:val="0E1020"/>
        </w:rPr>
      </w:pPr>
    </w:p>
    <w:p>
      <w:pPr>
        <w:ind w:left="313" w:right="400"/>
        <w:spacing w:after="0" w:line="315" w:lineRule="auto"/>
        <w:rPr>
          <w:rFonts w:ascii="Arial" w:cs="Arial" w:eastAsia="Arial" w:hAnsi="Arial"/>
          <w:sz w:val="16"/>
          <w:szCs w:val="16"/>
          <w:b w:val="1"/>
          <w:bCs w:val="1"/>
          <w:i w:val="1"/>
          <w:iCs w:val="1"/>
          <w:color w:val="0E1020"/>
        </w:rPr>
      </w:pPr>
      <w:r>
        <w:rPr>
          <w:rFonts w:ascii="Arial" w:cs="Arial" w:eastAsia="Arial" w:hAnsi="Arial"/>
          <w:sz w:val="16"/>
          <w:szCs w:val="16"/>
          <w:i w:val="1"/>
          <w:iCs w:val="1"/>
          <w:color w:val="0E1020"/>
        </w:rPr>
        <w:t>Proposal 2—Ratification of the appointment of Deloitte &amp; Touche LLP as our independent registered public accounting firm for the fiscal year ending March 31, 2027.</w:t>
      </w:r>
    </w:p>
    <w:p>
      <w:pPr>
        <w:spacing w:after="0" w:line="51" w:lineRule="exact"/>
        <w:rPr>
          <w:rFonts w:ascii="Arial" w:cs="Arial" w:eastAsia="Arial" w:hAnsi="Arial"/>
          <w:sz w:val="16"/>
          <w:szCs w:val="16"/>
          <w:b w:val="1"/>
          <w:bCs w:val="1"/>
          <w:i w:val="1"/>
          <w:iCs w:val="1"/>
          <w:color w:val="0E1020"/>
        </w:rPr>
      </w:pPr>
    </w:p>
    <w:p>
      <w:pPr>
        <w:ind w:left="313"/>
        <w:spacing w:after="0" w:line="307" w:lineRule="auto"/>
        <w:rPr>
          <w:rFonts w:ascii="Arial" w:cs="Arial" w:eastAsia="Arial" w:hAnsi="Arial"/>
          <w:sz w:val="16"/>
          <w:szCs w:val="16"/>
          <w:b w:val="1"/>
          <w:bCs w:val="1"/>
          <w:i w:val="1"/>
          <w:iCs w:val="1"/>
          <w:color w:val="0E1020"/>
        </w:rPr>
      </w:pPr>
      <w:r>
        <w:rPr>
          <w:rFonts w:ascii="Arial" w:cs="Arial" w:eastAsia="Arial" w:hAnsi="Arial"/>
          <w:sz w:val="16"/>
          <w:szCs w:val="16"/>
          <w:color w:val="0E1020"/>
        </w:rPr>
        <w:t>This proposal requires an affirmative vote of holders of a majority of the shares of common stock present in person (virtually) or represented by proxy and voting to be approved. Abstentions are not counted as voting; therefore, they will have no effect on the outcome of the vote on this proposal. We do not expect any broker non-votes on this proposal.</w:t>
      </w:r>
    </w:p>
    <w:p>
      <w:pPr>
        <w:spacing w:after="0" w:line="60" w:lineRule="exact"/>
        <w:rPr>
          <w:rFonts w:ascii="Arial" w:cs="Arial" w:eastAsia="Arial" w:hAnsi="Arial"/>
          <w:sz w:val="16"/>
          <w:szCs w:val="16"/>
          <w:b w:val="1"/>
          <w:bCs w:val="1"/>
          <w:i w:val="1"/>
          <w:iCs w:val="1"/>
          <w:color w:val="0E1020"/>
        </w:rPr>
      </w:pPr>
    </w:p>
    <w:p>
      <w:pPr>
        <w:ind w:left="313"/>
        <w:spacing w:after="0"/>
        <w:rPr>
          <w:rFonts w:ascii="Arial" w:cs="Arial" w:eastAsia="Arial" w:hAnsi="Arial"/>
          <w:sz w:val="16"/>
          <w:szCs w:val="16"/>
          <w:b w:val="1"/>
          <w:bCs w:val="1"/>
          <w:i w:val="1"/>
          <w:iCs w:val="1"/>
          <w:color w:val="0E1020"/>
        </w:rPr>
      </w:pPr>
      <w:r>
        <w:rPr>
          <w:rFonts w:ascii="Arial" w:cs="Arial" w:eastAsia="Arial" w:hAnsi="Arial"/>
          <w:sz w:val="16"/>
          <w:szCs w:val="16"/>
          <w:i w:val="1"/>
          <w:iCs w:val="1"/>
          <w:color w:val="0E1020"/>
        </w:rPr>
        <w:t>Proposal 3—Non-binding advisory vote to approve named executive officer compensation.</w:t>
      </w:r>
    </w:p>
    <w:p>
      <w:pPr>
        <w:spacing w:after="0" w:line="122" w:lineRule="exact"/>
        <w:rPr>
          <w:rFonts w:ascii="Arial" w:cs="Arial" w:eastAsia="Arial" w:hAnsi="Arial"/>
          <w:sz w:val="16"/>
          <w:szCs w:val="16"/>
          <w:b w:val="1"/>
          <w:bCs w:val="1"/>
          <w:i w:val="1"/>
          <w:iCs w:val="1"/>
          <w:color w:val="0E1020"/>
        </w:rPr>
      </w:pPr>
    </w:p>
    <w:p>
      <w:pPr>
        <w:ind w:left="313" w:right="180"/>
        <w:spacing w:after="0" w:line="316" w:lineRule="auto"/>
        <w:rPr>
          <w:rFonts w:ascii="Arial" w:cs="Arial" w:eastAsia="Arial" w:hAnsi="Arial"/>
          <w:sz w:val="16"/>
          <w:szCs w:val="16"/>
          <w:b w:val="1"/>
          <w:bCs w:val="1"/>
          <w:i w:val="1"/>
          <w:iCs w:val="1"/>
          <w:color w:val="0E1020"/>
        </w:rPr>
      </w:pPr>
      <w:r>
        <w:rPr>
          <w:rFonts w:ascii="Arial" w:cs="Arial" w:eastAsia="Arial" w:hAnsi="Arial"/>
          <w:sz w:val="16"/>
          <w:szCs w:val="16"/>
          <w:color w:val="0E1020"/>
        </w:rPr>
        <w:t>This proposal, which is non-binding, requires an affirmative vote of holders of a majority of the shares of common stock present in person (virtually) or represented by proxy and voting to be approved. Abstentions and broker non-votes are not counted as voting; therefore, they will have no effect on the outcome of the vote on this proposal.</w:t>
      </w:r>
    </w:p>
    <w:p>
      <w:pPr>
        <w:spacing w:after="0" w:line="39" w:lineRule="exact"/>
        <w:rPr>
          <w:rFonts w:ascii="Arial" w:cs="Arial" w:eastAsia="Arial" w:hAnsi="Arial"/>
          <w:sz w:val="16"/>
          <w:szCs w:val="16"/>
          <w:b w:val="1"/>
          <w:bCs w:val="1"/>
          <w:i w:val="1"/>
          <w:iCs w:val="1"/>
          <w:color w:val="0E1020"/>
        </w:rPr>
      </w:pPr>
    </w:p>
    <w:p>
      <w:pPr>
        <w:ind w:left="313" w:right="680"/>
        <w:spacing w:after="0" w:line="333" w:lineRule="auto"/>
        <w:rPr>
          <w:rFonts w:ascii="Arial" w:cs="Arial" w:eastAsia="Arial" w:hAnsi="Arial"/>
          <w:sz w:val="16"/>
          <w:szCs w:val="16"/>
          <w:b w:val="1"/>
          <w:bCs w:val="1"/>
          <w:i w:val="1"/>
          <w:iCs w:val="1"/>
          <w:color w:val="0E1020"/>
        </w:rPr>
      </w:pPr>
      <w:r>
        <w:rPr>
          <w:rFonts w:ascii="Arial" w:cs="Arial" w:eastAsia="Arial" w:hAnsi="Arial"/>
          <w:sz w:val="16"/>
          <w:szCs w:val="16"/>
          <w:i w:val="1"/>
          <w:iCs w:val="1"/>
          <w:color w:val="0E1020"/>
        </w:rPr>
        <w:t>Proposal 4—Approval of a term extension and an increase in the number of shares available under the amended and restated DXC Technology Company 2017 Omnibus Incentive Plan</w:t>
      </w:r>
    </w:p>
    <w:p>
      <w:pPr>
        <w:spacing w:after="0" w:line="37" w:lineRule="exact"/>
        <w:rPr>
          <w:rFonts w:ascii="Arial" w:cs="Arial" w:eastAsia="Arial" w:hAnsi="Arial"/>
          <w:sz w:val="16"/>
          <w:szCs w:val="16"/>
          <w:b w:val="1"/>
          <w:bCs w:val="1"/>
          <w:i w:val="1"/>
          <w:iCs w:val="1"/>
          <w:color w:val="0E1020"/>
        </w:rPr>
      </w:pPr>
    </w:p>
    <w:p>
      <w:pPr>
        <w:ind w:left="313"/>
        <w:spacing w:after="0" w:line="318" w:lineRule="auto"/>
        <w:rPr>
          <w:rFonts w:ascii="Arial" w:cs="Arial" w:eastAsia="Arial" w:hAnsi="Arial"/>
          <w:sz w:val="16"/>
          <w:szCs w:val="16"/>
          <w:b w:val="1"/>
          <w:bCs w:val="1"/>
          <w:i w:val="1"/>
          <w:iCs w:val="1"/>
          <w:color w:val="0E1020"/>
        </w:rPr>
      </w:pPr>
      <w:r>
        <w:rPr>
          <w:rFonts w:ascii="Arial" w:cs="Arial" w:eastAsia="Arial" w:hAnsi="Arial"/>
          <w:sz w:val="16"/>
          <w:szCs w:val="16"/>
          <w:color w:val="0E1020"/>
        </w:rPr>
        <w:t>This proposal requires an affirmative vote of holders of a majority of the shares of common stock present in person (virtually) or represented by proxy and voting is required to approve this proposal. Abstentions and broker non-votes, if any, will have no effect on the vote for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
        <w:spacing w:after="0"/>
        <w:tabs>
          <w:tab w:leader="none" w:pos="5472" w:val="left"/>
          <w:tab w:leader="none" w:pos="9472"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108</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146050</wp:posOffset>
            </wp:positionV>
            <wp:extent cx="715899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13"/>
          </w:cols>
          <w:pgMar w:left="327" w:top="224" w:right="359" w:bottom="1440" w:gutter="0" w:footer="0" w:header="0"/>
        </w:sectPr>
      </w:pPr>
    </w:p>
    <w:bookmarkStart w:id="116" w:name="page117"/>
    <w:bookmarkEnd w:id="116"/>
    <w:p>
      <w:pPr>
        <w:ind w:left="13"/>
        <w:spacing w:after="0"/>
        <w:tabs>
          <w:tab w:leader="none" w:pos="9552"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auto"/>
        </w:rPr>
        <w:t>About the Annual Meeting</w:t>
      </w:r>
    </w:p>
    <w:p>
      <w:pPr>
        <w:spacing w:after="0" w:line="200" w:lineRule="exact"/>
        <w:rPr>
          <w:sz w:val="20"/>
          <w:szCs w:val="20"/>
          <w:color w:val="auto"/>
        </w:rPr>
      </w:pPr>
    </w:p>
    <w:p>
      <w:pPr>
        <w:spacing w:after="0" w:line="360" w:lineRule="exact"/>
        <w:rPr>
          <w:sz w:val="20"/>
          <w:szCs w:val="20"/>
          <w:color w:val="auto"/>
        </w:rPr>
      </w:pPr>
    </w:p>
    <w:p>
      <w:pPr>
        <w:ind w:left="313" w:right="700"/>
        <w:spacing w:after="0" w:line="333" w:lineRule="auto"/>
        <w:rPr>
          <w:sz w:val="20"/>
          <w:szCs w:val="20"/>
          <w:color w:val="auto"/>
        </w:rPr>
      </w:pPr>
      <w:r>
        <w:rPr>
          <w:rFonts w:ascii="Arial" w:cs="Arial" w:eastAsia="Arial" w:hAnsi="Arial"/>
          <w:sz w:val="16"/>
          <w:szCs w:val="16"/>
          <w:i w:val="1"/>
          <w:iCs w:val="1"/>
          <w:color w:val="0E1020"/>
        </w:rPr>
        <w:t>Proposal 5—Approval of a term extension and an increase in the number of shares available under the amended and restated DXC Technology Company 2017 Non-Employee Director Incentive Plan</w:t>
      </w:r>
    </w:p>
    <w:p>
      <w:pPr>
        <w:spacing w:after="0" w:line="24" w:lineRule="exact"/>
        <w:rPr>
          <w:sz w:val="20"/>
          <w:szCs w:val="20"/>
          <w:color w:val="auto"/>
        </w:rPr>
      </w:pPr>
    </w:p>
    <w:p>
      <w:pPr>
        <w:ind w:left="313" w:right="20"/>
        <w:spacing w:after="0" w:line="335" w:lineRule="auto"/>
        <w:rPr>
          <w:sz w:val="20"/>
          <w:szCs w:val="20"/>
          <w:color w:val="auto"/>
        </w:rPr>
      </w:pPr>
      <w:r>
        <w:rPr>
          <w:rFonts w:ascii="Arial" w:cs="Arial" w:eastAsia="Arial" w:hAnsi="Arial"/>
          <w:sz w:val="16"/>
          <w:szCs w:val="16"/>
          <w:color w:val="0E1020"/>
        </w:rPr>
        <w:t>This proposal requires an affirmative vote of holders of a majority of the shares of common stock present in person (virtually) or represented by proxy and voting is required to approve this proposal. Abstentions and broker non-votes, if any, will have no effect on the vote for this proposal.</w:t>
      </w:r>
    </w:p>
    <w:p>
      <w:pPr>
        <w:spacing w:after="0" w:line="38" w:lineRule="exact"/>
        <w:rPr>
          <w:sz w:val="20"/>
          <w:szCs w:val="20"/>
          <w:color w:val="auto"/>
        </w:rPr>
      </w:pPr>
    </w:p>
    <w:p>
      <w:pPr>
        <w:ind w:left="313" w:hanging="313"/>
        <w:spacing w:after="0"/>
        <w:tabs>
          <w:tab w:leader="none" w:pos="313" w:val="left"/>
        </w:tabs>
        <w:numPr>
          <w:ilvl w:val="0"/>
          <w:numId w:val="111"/>
        </w:numPr>
        <w:rPr>
          <w:rFonts w:ascii="Arial" w:cs="Arial" w:eastAsia="Arial" w:hAnsi="Arial"/>
          <w:sz w:val="16"/>
          <w:szCs w:val="16"/>
          <w:b w:val="1"/>
          <w:bCs w:val="1"/>
          <w:i w:val="1"/>
          <w:iCs w:val="1"/>
          <w:color w:val="0E1020"/>
        </w:rPr>
      </w:pPr>
      <w:r>
        <w:rPr>
          <w:rFonts w:ascii="Arial" w:cs="Arial" w:eastAsia="Arial" w:hAnsi="Arial"/>
          <w:sz w:val="16"/>
          <w:szCs w:val="16"/>
          <w:b w:val="1"/>
          <w:bCs w:val="1"/>
          <w:i w:val="1"/>
          <w:iCs w:val="1"/>
          <w:color w:val="0E1020"/>
        </w:rPr>
        <w:t>What if I don’t give specific voting instructions?</w:t>
      </w:r>
    </w:p>
    <w:p>
      <w:pPr>
        <w:spacing w:after="0" w:line="122" w:lineRule="exact"/>
        <w:rPr>
          <w:rFonts w:ascii="Arial" w:cs="Arial" w:eastAsia="Arial" w:hAnsi="Arial"/>
          <w:sz w:val="16"/>
          <w:szCs w:val="16"/>
          <w:b w:val="1"/>
          <w:bCs w:val="1"/>
          <w:i w:val="1"/>
          <w:iCs w:val="1"/>
          <w:color w:val="0E1020"/>
        </w:rPr>
      </w:pPr>
    </w:p>
    <w:p>
      <w:pPr>
        <w:ind w:left="313"/>
        <w:spacing w:after="0"/>
        <w:rPr>
          <w:rFonts w:ascii="Arial" w:cs="Arial" w:eastAsia="Arial" w:hAnsi="Arial"/>
          <w:sz w:val="16"/>
          <w:szCs w:val="16"/>
          <w:b w:val="1"/>
          <w:bCs w:val="1"/>
          <w:i w:val="1"/>
          <w:iCs w:val="1"/>
          <w:color w:val="0E1020"/>
        </w:rPr>
      </w:pPr>
      <w:r>
        <w:rPr>
          <w:rFonts w:ascii="Arial" w:cs="Arial" w:eastAsia="Arial" w:hAnsi="Arial"/>
          <w:sz w:val="16"/>
          <w:szCs w:val="16"/>
          <w:i w:val="1"/>
          <w:iCs w:val="1"/>
          <w:color w:val="0E1020"/>
        </w:rPr>
        <w:t xml:space="preserve">Stockholders of Record. </w:t>
      </w:r>
      <w:r>
        <w:rPr>
          <w:rFonts w:ascii="Arial" w:cs="Arial" w:eastAsia="Arial" w:hAnsi="Arial"/>
          <w:sz w:val="16"/>
          <w:szCs w:val="16"/>
          <w:color w:val="0E1020"/>
        </w:rPr>
        <w:t>If you are a stockholder of record and you:</w:t>
      </w:r>
    </w:p>
    <w:p>
      <w:pPr>
        <w:spacing w:after="0" w:line="124" w:lineRule="exact"/>
        <w:rPr>
          <w:rFonts w:ascii="Arial" w:cs="Arial" w:eastAsia="Arial" w:hAnsi="Arial"/>
          <w:sz w:val="16"/>
          <w:szCs w:val="16"/>
          <w:b w:val="1"/>
          <w:bCs w:val="1"/>
          <w:i w:val="1"/>
          <w:iCs w:val="1"/>
          <w:color w:val="0E1020"/>
        </w:rPr>
      </w:pPr>
    </w:p>
    <w:p>
      <w:pPr>
        <w:ind w:left="613" w:hanging="291"/>
        <w:spacing w:after="0"/>
        <w:tabs>
          <w:tab w:leader="none" w:pos="613" w:val="left"/>
        </w:tabs>
        <w:numPr>
          <w:ilvl w:val="1"/>
          <w:numId w:val="111"/>
        </w:numPr>
        <w:rPr>
          <w:rFonts w:ascii="Arial" w:cs="Arial" w:eastAsia="Arial" w:hAnsi="Arial"/>
          <w:sz w:val="16"/>
          <w:szCs w:val="16"/>
          <w:color w:val="0E1020"/>
        </w:rPr>
      </w:pPr>
      <w:r>
        <w:rPr>
          <w:rFonts w:ascii="Arial" w:cs="Arial" w:eastAsia="Arial" w:hAnsi="Arial"/>
          <w:sz w:val="16"/>
          <w:szCs w:val="16"/>
          <w:color w:val="0E1020"/>
        </w:rPr>
        <w:t>indicate when voting by Internet or by telephone that you wish to vote as recommended by our Board, or</w:t>
      </w:r>
    </w:p>
    <w:p>
      <w:pPr>
        <w:spacing w:after="0" w:line="151" w:lineRule="exact"/>
        <w:rPr>
          <w:rFonts w:ascii="Arial" w:cs="Arial" w:eastAsia="Arial" w:hAnsi="Arial"/>
          <w:sz w:val="16"/>
          <w:szCs w:val="16"/>
          <w:color w:val="0E1020"/>
        </w:rPr>
      </w:pPr>
    </w:p>
    <w:p>
      <w:pPr>
        <w:ind w:left="613" w:hanging="291"/>
        <w:spacing w:after="0"/>
        <w:tabs>
          <w:tab w:leader="none" w:pos="613" w:val="left"/>
        </w:tabs>
        <w:numPr>
          <w:ilvl w:val="1"/>
          <w:numId w:val="111"/>
        </w:numPr>
        <w:rPr>
          <w:rFonts w:ascii="Arial" w:cs="Arial" w:eastAsia="Arial" w:hAnsi="Arial"/>
          <w:sz w:val="16"/>
          <w:szCs w:val="16"/>
          <w:color w:val="0E1020"/>
        </w:rPr>
      </w:pPr>
      <w:r>
        <w:rPr>
          <w:rFonts w:ascii="Arial" w:cs="Arial" w:eastAsia="Arial" w:hAnsi="Arial"/>
          <w:sz w:val="16"/>
          <w:szCs w:val="16"/>
          <w:color w:val="0E1020"/>
        </w:rPr>
        <w:t>return a properly executed proxy card but do not indicate how you wish to vote,</w:t>
      </w:r>
    </w:p>
    <w:p>
      <w:pPr>
        <w:spacing w:after="0" w:line="138" w:lineRule="exact"/>
        <w:rPr>
          <w:sz w:val="20"/>
          <w:szCs w:val="20"/>
          <w:color w:val="auto"/>
        </w:rPr>
      </w:pPr>
    </w:p>
    <w:p>
      <w:pPr>
        <w:ind w:left="313" w:right="20"/>
        <w:spacing w:after="0" w:line="307" w:lineRule="auto"/>
        <w:rPr>
          <w:sz w:val="20"/>
          <w:szCs w:val="20"/>
          <w:color w:val="auto"/>
        </w:rPr>
      </w:pPr>
      <w:r>
        <w:rPr>
          <w:rFonts w:ascii="Arial" w:cs="Arial" w:eastAsia="Arial" w:hAnsi="Arial"/>
          <w:sz w:val="16"/>
          <w:szCs w:val="16"/>
          <w:color w:val="0E1020"/>
        </w:rPr>
        <w:t>then your shares will be voted in accordance with the recommendations of the Board on all matters presented in this Proxy Statement and as the proxy holders may determine in their discretion regarding any other matters properly presented for a vote at the meeting. If you indicate a choice with respect to any matter to be acted upon on your proxy card, the shares will be voted in accordance with your instructions.</w:t>
      </w:r>
    </w:p>
    <w:p>
      <w:pPr>
        <w:spacing w:after="0" w:line="58" w:lineRule="exact"/>
        <w:rPr>
          <w:sz w:val="20"/>
          <w:szCs w:val="20"/>
          <w:color w:val="auto"/>
        </w:rPr>
      </w:pPr>
    </w:p>
    <w:p>
      <w:pPr>
        <w:ind w:left="313" w:right="160"/>
        <w:spacing w:after="0" w:line="301" w:lineRule="auto"/>
        <w:rPr>
          <w:sz w:val="20"/>
          <w:szCs w:val="20"/>
          <w:color w:val="auto"/>
        </w:rPr>
      </w:pPr>
      <w:r>
        <w:rPr>
          <w:rFonts w:ascii="Arial" w:cs="Arial" w:eastAsia="Arial" w:hAnsi="Arial"/>
          <w:sz w:val="16"/>
          <w:szCs w:val="16"/>
          <w:i w:val="1"/>
          <w:iCs w:val="1"/>
          <w:color w:val="0E1020"/>
        </w:rPr>
        <w:t>Beneficial Owners</w:t>
      </w:r>
      <w:r>
        <w:rPr>
          <w:rFonts w:ascii="Arial" w:cs="Arial" w:eastAsia="Arial" w:hAnsi="Arial"/>
          <w:sz w:val="16"/>
          <w:szCs w:val="16"/>
          <w:color w:val="0E1020"/>
        </w:rPr>
        <w:t>. If you hold shares beneficially in “street name” and do not provide your broker, bank or other nominee with voting instructions or</w:t>
      </w:r>
      <w:r>
        <w:rPr>
          <w:rFonts w:ascii="Arial" w:cs="Arial" w:eastAsia="Arial" w:hAnsi="Arial"/>
          <w:sz w:val="16"/>
          <w:szCs w:val="16"/>
          <w:i w:val="1"/>
          <w:iCs w:val="1"/>
          <w:color w:val="0E1020"/>
        </w:rPr>
        <w:t xml:space="preserve"> </w:t>
      </w:r>
      <w:r>
        <w:rPr>
          <w:rFonts w:ascii="Arial" w:cs="Arial" w:eastAsia="Arial" w:hAnsi="Arial"/>
          <w:sz w:val="16"/>
          <w:szCs w:val="16"/>
          <w:color w:val="0E1020"/>
        </w:rPr>
        <w:t>attend the meeting and vote, your shares may constitute “broker non-votes” on certain non-routine proposals. Generally, broker non-votes occur on a non-routine proposal where a broker, bank or other nominee is not permitted to vote on that proposal without instructions from the beneficial owner, and instructions are not given. Broker non-votes are considered present at the annual meeting, but not as voting on a matter. Thus, broker non-votes are counted as present for purposes of determining the existence of a quorum, but are not counted for purposes of determining whether a matter has been approved.</w:t>
      </w:r>
    </w:p>
    <w:p>
      <w:pPr>
        <w:spacing w:after="0" w:line="50" w:lineRule="exact"/>
        <w:rPr>
          <w:sz w:val="20"/>
          <w:szCs w:val="20"/>
          <w:color w:val="auto"/>
        </w:rPr>
      </w:pPr>
    </w:p>
    <w:p>
      <w:pPr>
        <w:ind w:left="313" w:right="80"/>
        <w:spacing w:after="0" w:line="310" w:lineRule="auto"/>
        <w:rPr>
          <w:sz w:val="20"/>
          <w:szCs w:val="20"/>
          <w:color w:val="auto"/>
        </w:rPr>
      </w:pPr>
      <w:r>
        <w:rPr>
          <w:rFonts w:ascii="Arial" w:cs="Arial" w:eastAsia="Arial" w:hAnsi="Arial"/>
          <w:sz w:val="16"/>
          <w:szCs w:val="16"/>
          <w:color w:val="0E1020"/>
        </w:rPr>
        <w:t>You should instruct your broker, bank or other nominee how to vote. If you do not provide your broker, bank or other nominee with instructions, under the rules of the NYSE, your broker, bank or other nominee will not be authorized to vote your “street name” shares with respect to any proposal other than the ratification of the appointment of the independent registered public accounting firm (Proposal 2), which is considered a routine matter. The other proposals are not considered routine matters, and without your instructions, your broker, bank or other nominee cannot vote your shares.</w:t>
      </w:r>
    </w:p>
    <w:p>
      <w:pPr>
        <w:spacing w:after="0" w:line="43" w:lineRule="exact"/>
        <w:rPr>
          <w:sz w:val="20"/>
          <w:szCs w:val="20"/>
          <w:color w:val="auto"/>
        </w:rPr>
      </w:pPr>
    </w:p>
    <w:p>
      <w:pPr>
        <w:ind w:left="313" w:hanging="313"/>
        <w:spacing w:after="0"/>
        <w:tabs>
          <w:tab w:leader="none" w:pos="313" w:val="left"/>
        </w:tabs>
        <w:numPr>
          <w:ilvl w:val="0"/>
          <w:numId w:val="112"/>
        </w:numPr>
        <w:rPr>
          <w:rFonts w:ascii="Arial" w:cs="Arial" w:eastAsia="Arial" w:hAnsi="Arial"/>
          <w:sz w:val="16"/>
          <w:szCs w:val="16"/>
          <w:b w:val="1"/>
          <w:bCs w:val="1"/>
          <w:i w:val="1"/>
          <w:iCs w:val="1"/>
          <w:color w:val="0E1020"/>
        </w:rPr>
      </w:pPr>
      <w:r>
        <w:rPr>
          <w:rFonts w:ascii="Arial" w:cs="Arial" w:eastAsia="Arial" w:hAnsi="Arial"/>
          <w:sz w:val="16"/>
          <w:szCs w:val="16"/>
          <w:b w:val="1"/>
          <w:bCs w:val="1"/>
          <w:i w:val="1"/>
          <w:iCs w:val="1"/>
          <w:color w:val="0E1020"/>
        </w:rPr>
        <w:t>How do I vote shares in the Matched Asset Plan (MAP)?</w:t>
      </w:r>
    </w:p>
    <w:p>
      <w:pPr>
        <w:spacing w:after="0" w:line="122" w:lineRule="exact"/>
        <w:rPr>
          <w:rFonts w:ascii="Arial" w:cs="Arial" w:eastAsia="Arial" w:hAnsi="Arial"/>
          <w:sz w:val="16"/>
          <w:szCs w:val="16"/>
          <w:b w:val="1"/>
          <w:bCs w:val="1"/>
          <w:i w:val="1"/>
          <w:iCs w:val="1"/>
          <w:color w:val="0E1020"/>
        </w:rPr>
      </w:pPr>
    </w:p>
    <w:p>
      <w:pPr>
        <w:ind w:left="313"/>
        <w:spacing w:after="0" w:line="309" w:lineRule="auto"/>
        <w:rPr>
          <w:rFonts w:ascii="Arial" w:cs="Arial" w:eastAsia="Arial" w:hAnsi="Arial"/>
          <w:sz w:val="16"/>
          <w:szCs w:val="16"/>
          <w:b w:val="1"/>
          <w:bCs w:val="1"/>
          <w:i w:val="1"/>
          <w:iCs w:val="1"/>
          <w:color w:val="0E1020"/>
        </w:rPr>
      </w:pPr>
      <w:r>
        <w:rPr>
          <w:rFonts w:ascii="Arial" w:cs="Arial" w:eastAsia="Arial" w:hAnsi="Arial"/>
          <w:sz w:val="16"/>
          <w:szCs w:val="16"/>
          <w:color w:val="0E1020"/>
        </w:rPr>
        <w:t xml:space="preserve">If you participate in the MAP, you will receive a voting instruction form for all shares you may vote under the plan. Under the terms of the MAP, the MAP trustee votes all shares held in the DXC Stock Fund, but each participant in the MAP may direct the trustee how to vote the shares of DXC common stock allocated to his or her account. The MAP trustee will vote all unallocated shares of common stock held by the MAP and all allocated shares for which no timely voting instructions are received in the same proportion as shares for which it has received valid voting instructions. </w:t>
      </w:r>
      <w:r>
        <w:rPr>
          <w:rFonts w:ascii="Arial" w:cs="Arial" w:eastAsia="Arial" w:hAnsi="Arial"/>
          <w:sz w:val="16"/>
          <w:szCs w:val="16"/>
          <w:b w:val="1"/>
          <w:bCs w:val="1"/>
          <w:color w:val="0E1020"/>
        </w:rPr>
        <w:t>Regardless of which voting</w:t>
      </w:r>
      <w:r>
        <w:rPr>
          <w:rFonts w:ascii="Arial" w:cs="Arial" w:eastAsia="Arial" w:hAnsi="Arial"/>
          <w:sz w:val="16"/>
          <w:szCs w:val="16"/>
          <w:color w:val="0E1020"/>
        </w:rPr>
        <w:t xml:space="preserve"> </w:t>
      </w:r>
      <w:r>
        <w:rPr>
          <w:rFonts w:ascii="Arial" w:cs="Arial" w:eastAsia="Arial" w:hAnsi="Arial"/>
          <w:sz w:val="16"/>
          <w:szCs w:val="16"/>
          <w:b w:val="1"/>
          <w:bCs w:val="1"/>
          <w:color w:val="0E1020"/>
        </w:rPr>
        <w:t>method you use, the deadline for returning your voting instructions to the MAP trustee is 11:59 p.m. Eastern Time on July 16, 2026.</w:t>
      </w:r>
    </w:p>
    <w:p>
      <w:pPr>
        <w:spacing w:after="0" w:line="35" w:lineRule="exact"/>
        <w:rPr>
          <w:rFonts w:ascii="Arial" w:cs="Arial" w:eastAsia="Arial" w:hAnsi="Arial"/>
          <w:sz w:val="16"/>
          <w:szCs w:val="16"/>
          <w:b w:val="1"/>
          <w:bCs w:val="1"/>
          <w:i w:val="1"/>
          <w:iCs w:val="1"/>
          <w:color w:val="0E1020"/>
        </w:rPr>
      </w:pPr>
    </w:p>
    <w:p>
      <w:pPr>
        <w:ind w:left="313" w:right="780"/>
        <w:spacing w:after="0" w:line="335" w:lineRule="auto"/>
        <w:rPr>
          <w:rFonts w:ascii="Arial" w:cs="Arial" w:eastAsia="Arial" w:hAnsi="Arial"/>
          <w:sz w:val="16"/>
          <w:szCs w:val="16"/>
          <w:b w:val="1"/>
          <w:bCs w:val="1"/>
          <w:i w:val="1"/>
          <w:iCs w:val="1"/>
          <w:color w:val="0E1020"/>
        </w:rPr>
      </w:pPr>
      <w:r>
        <w:rPr>
          <w:rFonts w:ascii="Arial" w:cs="Arial" w:eastAsia="Arial" w:hAnsi="Arial"/>
          <w:sz w:val="16"/>
          <w:szCs w:val="16"/>
          <w:b w:val="1"/>
          <w:bCs w:val="1"/>
          <w:color w:val="0E1020"/>
        </w:rPr>
        <w:t xml:space="preserve">Confidentiality of voting instructions. </w:t>
      </w:r>
      <w:r>
        <w:rPr>
          <w:rFonts w:ascii="Arial" w:cs="Arial" w:eastAsia="Arial" w:hAnsi="Arial"/>
          <w:sz w:val="16"/>
          <w:szCs w:val="16"/>
          <w:color w:val="0E1020"/>
        </w:rPr>
        <w:t>Your voting instructions to the MAP Trustee will be completely confidential. In no event will your voting</w:t>
      </w:r>
      <w:r>
        <w:rPr>
          <w:rFonts w:ascii="Arial" w:cs="Arial" w:eastAsia="Arial" w:hAnsi="Arial"/>
          <w:sz w:val="16"/>
          <w:szCs w:val="16"/>
          <w:b w:val="1"/>
          <w:bCs w:val="1"/>
          <w:color w:val="0E1020"/>
        </w:rPr>
        <w:t xml:space="preserve"> </w:t>
      </w:r>
      <w:r>
        <w:rPr>
          <w:rFonts w:ascii="Arial" w:cs="Arial" w:eastAsia="Arial" w:hAnsi="Arial"/>
          <w:sz w:val="16"/>
          <w:szCs w:val="16"/>
          <w:color w:val="0E1020"/>
        </w:rPr>
        <w:t>instructions be reported to DXC.</w:t>
      </w:r>
    </w:p>
    <w:p>
      <w:pPr>
        <w:spacing w:after="0" w:line="24" w:lineRule="exact"/>
        <w:rPr>
          <w:rFonts w:ascii="Arial" w:cs="Arial" w:eastAsia="Arial" w:hAnsi="Arial"/>
          <w:sz w:val="16"/>
          <w:szCs w:val="16"/>
          <w:b w:val="1"/>
          <w:bCs w:val="1"/>
          <w:i w:val="1"/>
          <w:iCs w:val="1"/>
          <w:color w:val="0E1020"/>
        </w:rPr>
      </w:pPr>
    </w:p>
    <w:p>
      <w:pPr>
        <w:ind w:left="313" w:hanging="313"/>
        <w:spacing w:after="0"/>
        <w:tabs>
          <w:tab w:leader="none" w:pos="313" w:val="left"/>
        </w:tabs>
        <w:numPr>
          <w:ilvl w:val="0"/>
          <w:numId w:val="112"/>
        </w:numPr>
        <w:rPr>
          <w:rFonts w:ascii="Arial" w:cs="Arial" w:eastAsia="Arial" w:hAnsi="Arial"/>
          <w:sz w:val="16"/>
          <w:szCs w:val="16"/>
          <w:b w:val="1"/>
          <w:bCs w:val="1"/>
          <w:i w:val="1"/>
          <w:iCs w:val="1"/>
          <w:color w:val="0E1020"/>
        </w:rPr>
      </w:pPr>
      <w:r>
        <w:rPr>
          <w:rFonts w:ascii="Arial" w:cs="Arial" w:eastAsia="Arial" w:hAnsi="Arial"/>
          <w:sz w:val="16"/>
          <w:szCs w:val="16"/>
          <w:b w:val="1"/>
          <w:bCs w:val="1"/>
          <w:i w:val="1"/>
          <w:iCs w:val="1"/>
          <w:color w:val="0E1020"/>
        </w:rPr>
        <w:t>Can I change my vote after I voted?</w:t>
      </w:r>
    </w:p>
    <w:p>
      <w:pPr>
        <w:spacing w:after="0" w:line="135" w:lineRule="exact"/>
        <w:rPr>
          <w:rFonts w:ascii="Arial" w:cs="Arial" w:eastAsia="Arial" w:hAnsi="Arial"/>
          <w:sz w:val="16"/>
          <w:szCs w:val="16"/>
          <w:b w:val="1"/>
          <w:bCs w:val="1"/>
          <w:i w:val="1"/>
          <w:iCs w:val="1"/>
          <w:color w:val="0E1020"/>
        </w:rPr>
      </w:pPr>
    </w:p>
    <w:p>
      <w:pPr>
        <w:ind w:left="313" w:right="60"/>
        <w:spacing w:after="0" w:line="301" w:lineRule="auto"/>
        <w:rPr>
          <w:rFonts w:ascii="Arial" w:cs="Arial" w:eastAsia="Arial" w:hAnsi="Arial"/>
          <w:sz w:val="16"/>
          <w:szCs w:val="16"/>
          <w:b w:val="1"/>
          <w:bCs w:val="1"/>
          <w:i w:val="1"/>
          <w:iCs w:val="1"/>
          <w:color w:val="0E1020"/>
        </w:rPr>
      </w:pPr>
      <w:r>
        <w:rPr>
          <w:rFonts w:ascii="Arial" w:cs="Arial" w:eastAsia="Arial" w:hAnsi="Arial"/>
          <w:sz w:val="16"/>
          <w:szCs w:val="16"/>
          <w:color w:val="0E1020"/>
        </w:rPr>
        <w:t>Yes. Even if you voted by telephone or on the Internet or if you requested paper proxy materials and signed the proxy card or voting instruction card in the form accompanying this Proxy Statement, you retain the power to revoke your proxy or change your vote. You can revoke your proxy or change your vote at any time before it is exercised by giving written notice to the Board Secretary of DXC (20408 Bashan Drive, Suite 231, Ashburn, VA 20147), specifying such revocation. You may change your vote by a later-dated vote by telephone or on the Internet or timely delivery of a valid, later-dated proxy or by voting by ballot electronically at the annual meeting. However, please note that if you would like to vote at the annual meeting and you are not the stockholder of record, you must have your 16-digit control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3"/>
        <w:spacing w:after="0"/>
        <w:tabs>
          <w:tab w:leader="none" w:pos="5472" w:val="left"/>
          <w:tab w:leader="none" w:pos="9772"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109</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146050</wp:posOffset>
            </wp:positionV>
            <wp:extent cx="715899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33"/>
          </w:cols>
          <w:pgMar w:left="327" w:top="224" w:right="339" w:bottom="1440" w:gutter="0" w:footer="0" w:header="0"/>
        </w:sectPr>
      </w:pPr>
    </w:p>
    <w:bookmarkStart w:id="117" w:name="page118"/>
    <w:bookmarkEnd w:id="117"/>
    <w:p>
      <w:pPr>
        <w:ind w:left="20"/>
        <w:spacing w:after="0"/>
        <w:tabs>
          <w:tab w:leader="none" w:pos="10100" w:val="left"/>
        </w:tabs>
        <w:rPr>
          <w:sz w:val="20"/>
          <w:szCs w:val="20"/>
          <w:color w:val="auto"/>
        </w:rPr>
      </w:pPr>
      <w:r>
        <w:rPr>
          <w:rFonts w:ascii="Arial" w:cs="Arial" w:eastAsia="Arial" w:hAnsi="Arial"/>
          <w:sz w:val="14"/>
          <w:szCs w:val="14"/>
          <w:color w:val="0E1020"/>
        </w:rPr>
        <w:t>About the Annual Meeting</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E1020"/>
        </w:rPr>
        <w:t>20. What does it mean if I receive more than one notice, proxy or voting instruction card?</w:t>
      </w:r>
    </w:p>
    <w:p>
      <w:pPr>
        <w:spacing w:after="0" w:line="122" w:lineRule="exact"/>
        <w:rPr>
          <w:sz w:val="20"/>
          <w:szCs w:val="20"/>
          <w:color w:val="auto"/>
        </w:rPr>
      </w:pPr>
    </w:p>
    <w:p>
      <w:pPr>
        <w:ind w:left="320" w:right="200"/>
        <w:spacing w:after="0" w:line="335" w:lineRule="auto"/>
        <w:rPr>
          <w:sz w:val="20"/>
          <w:szCs w:val="20"/>
          <w:color w:val="auto"/>
        </w:rPr>
      </w:pPr>
      <w:r>
        <w:rPr>
          <w:rFonts w:ascii="Arial" w:cs="Arial" w:eastAsia="Arial" w:hAnsi="Arial"/>
          <w:sz w:val="16"/>
          <w:szCs w:val="16"/>
          <w:color w:val="0E1020"/>
        </w:rPr>
        <w:t>It generally means your shares are registered differently or are in more than one account. Please provide voting instructions for all notices, proxy cards and voting instruction cards you receive.</w:t>
      </w:r>
    </w:p>
    <w:p>
      <w:pPr>
        <w:spacing w:after="0" w:line="38" w:lineRule="exact"/>
        <w:rPr>
          <w:sz w:val="20"/>
          <w:szCs w:val="20"/>
          <w:color w:val="auto"/>
        </w:rPr>
      </w:pPr>
    </w:p>
    <w:p>
      <w:pPr>
        <w:ind w:left="320" w:hanging="313"/>
        <w:spacing w:after="0"/>
        <w:tabs>
          <w:tab w:leader="none" w:pos="320" w:val="left"/>
        </w:tabs>
        <w:numPr>
          <w:ilvl w:val="0"/>
          <w:numId w:val="113"/>
        </w:numPr>
        <w:rPr>
          <w:rFonts w:ascii="Arial" w:cs="Arial" w:eastAsia="Arial" w:hAnsi="Arial"/>
          <w:sz w:val="16"/>
          <w:szCs w:val="16"/>
          <w:b w:val="1"/>
          <w:bCs w:val="1"/>
          <w:i w:val="1"/>
          <w:iCs w:val="1"/>
          <w:color w:val="0E1020"/>
        </w:rPr>
      </w:pPr>
      <w:r>
        <w:rPr>
          <w:rFonts w:ascii="Arial" w:cs="Arial" w:eastAsia="Arial" w:hAnsi="Arial"/>
          <w:sz w:val="16"/>
          <w:szCs w:val="16"/>
          <w:b w:val="1"/>
          <w:bCs w:val="1"/>
          <w:i w:val="1"/>
          <w:iCs w:val="1"/>
          <w:color w:val="0E1020"/>
        </w:rPr>
        <w:t>Are there other matters to be acted upon at the meeting?</w:t>
      </w:r>
    </w:p>
    <w:p>
      <w:pPr>
        <w:spacing w:after="0" w:line="122" w:lineRule="exact"/>
        <w:rPr>
          <w:rFonts w:ascii="Arial" w:cs="Arial" w:eastAsia="Arial" w:hAnsi="Arial"/>
          <w:sz w:val="16"/>
          <w:szCs w:val="16"/>
          <w:b w:val="1"/>
          <w:bCs w:val="1"/>
          <w:i w:val="1"/>
          <w:iCs w:val="1"/>
          <w:color w:val="0E1020"/>
        </w:rPr>
      </w:pPr>
    </w:p>
    <w:p>
      <w:pPr>
        <w:ind w:left="320" w:right="180"/>
        <w:spacing w:after="0" w:line="316" w:lineRule="auto"/>
        <w:rPr>
          <w:rFonts w:ascii="Arial" w:cs="Arial" w:eastAsia="Arial" w:hAnsi="Arial"/>
          <w:sz w:val="16"/>
          <w:szCs w:val="16"/>
          <w:b w:val="1"/>
          <w:bCs w:val="1"/>
          <w:i w:val="1"/>
          <w:iCs w:val="1"/>
          <w:color w:val="0E1020"/>
        </w:rPr>
      </w:pPr>
      <w:r>
        <w:rPr>
          <w:rFonts w:ascii="Arial" w:cs="Arial" w:eastAsia="Arial" w:hAnsi="Arial"/>
          <w:sz w:val="16"/>
          <w:szCs w:val="16"/>
          <w:color w:val="0E1020"/>
        </w:rPr>
        <w:t>DXC does not know of any matter to be presented at the annual meeting other than those described in this Proxy Statement. If, however, other matters are properly presented for action at the annual meeting, the proxy holders named in the proxy will have the discretion to vote on such matters in accordance with their best judgment.</w:t>
      </w:r>
    </w:p>
    <w:p>
      <w:pPr>
        <w:spacing w:after="0" w:line="39" w:lineRule="exact"/>
        <w:rPr>
          <w:rFonts w:ascii="Arial" w:cs="Arial" w:eastAsia="Arial" w:hAnsi="Arial"/>
          <w:sz w:val="16"/>
          <w:szCs w:val="16"/>
          <w:b w:val="1"/>
          <w:bCs w:val="1"/>
          <w:i w:val="1"/>
          <w:iCs w:val="1"/>
          <w:color w:val="0E1020"/>
        </w:rPr>
      </w:pPr>
    </w:p>
    <w:p>
      <w:pPr>
        <w:ind w:left="300" w:hanging="293"/>
        <w:spacing w:after="0"/>
        <w:tabs>
          <w:tab w:leader="none" w:pos="300" w:val="left"/>
        </w:tabs>
        <w:numPr>
          <w:ilvl w:val="0"/>
          <w:numId w:val="113"/>
        </w:numPr>
        <w:rPr>
          <w:rFonts w:ascii="Arial" w:cs="Arial" w:eastAsia="Arial" w:hAnsi="Arial"/>
          <w:sz w:val="16"/>
          <w:szCs w:val="16"/>
          <w:b w:val="1"/>
          <w:bCs w:val="1"/>
          <w:i w:val="1"/>
          <w:iCs w:val="1"/>
          <w:color w:val="0E1020"/>
        </w:rPr>
      </w:pPr>
      <w:r>
        <w:rPr>
          <w:rFonts w:ascii="Arial" w:cs="Arial" w:eastAsia="Arial" w:hAnsi="Arial"/>
          <w:sz w:val="16"/>
          <w:szCs w:val="16"/>
          <w:b w:val="1"/>
          <w:bCs w:val="1"/>
          <w:i w:val="1"/>
          <w:iCs w:val="1"/>
          <w:color w:val="0E1020"/>
        </w:rPr>
        <w:t>Who is paying for the solicitation of proxies?</w:t>
      </w:r>
    </w:p>
    <w:p>
      <w:pPr>
        <w:spacing w:after="0" w:line="136" w:lineRule="exact"/>
        <w:rPr>
          <w:sz w:val="20"/>
          <w:szCs w:val="20"/>
          <w:color w:val="auto"/>
        </w:rPr>
      </w:pPr>
    </w:p>
    <w:p>
      <w:pPr>
        <w:ind w:left="320" w:right="100"/>
        <w:spacing w:after="0" w:line="301" w:lineRule="auto"/>
        <w:rPr>
          <w:sz w:val="20"/>
          <w:szCs w:val="20"/>
          <w:color w:val="auto"/>
        </w:rPr>
      </w:pPr>
      <w:r>
        <w:rPr>
          <w:rFonts w:ascii="Arial" w:cs="Arial" w:eastAsia="Arial" w:hAnsi="Arial"/>
          <w:sz w:val="16"/>
          <w:szCs w:val="16"/>
          <w:color w:val="0E1020"/>
        </w:rPr>
        <w:t>DXC is making this solicitation and will pay the entire cost of preparing, assembling, printing, mailing and distributing these proxy materials and soliciting votes. Our officers and employees may, without any compensation other than the compensation they receive in their capacities as officers and employees, solicit proxies personally or by telephone, facsimile, email or further mailings. We will, upon request, reimburse brokerage firms and others for their reasonable expense in forwarding proxy materials to beneficial owners of shares of DXC common stock. We have engaged the services of Sodali &amp; Co LLC, 333 Ludlow Street, 5th Floor, South Tower, Stamford, CT 06902, with respect to proxy soliciting matters at an expected cost of approximately $12,500, not including incidental expenses.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E1020"/>
        </w:rPr>
        <w:t>23. What if I have any questions about voting, electronic delivery or Internet voting?</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6"/>
          <w:szCs w:val="16"/>
          <w:color w:val="0E1020"/>
        </w:rPr>
        <w:t xml:space="preserve">Questions regarding voting, electronic delivery or Internet voting should be directed to Investor Relations at email address </w:t>
      </w:r>
      <w:r>
        <w:rPr>
          <w:rFonts w:ascii="Arial" w:cs="Arial" w:eastAsia="Arial" w:hAnsi="Arial"/>
          <w:sz w:val="16"/>
          <w:szCs w:val="16"/>
          <w:b w:val="1"/>
          <w:bCs w:val="1"/>
          <w:color w:val="0E1020"/>
        </w:rPr>
        <w:t>investor.relations@dxc.com</w:t>
      </w:r>
      <w:r>
        <w:rPr>
          <w:rFonts w:ascii="Arial" w:cs="Arial" w:eastAsia="Arial" w:hAnsi="Arial"/>
          <w:sz w:val="16"/>
          <w:szCs w:val="16"/>
          <w:color w:val="0E1020"/>
        </w:rPr>
        <w: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548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110</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118" w:name="page119"/>
    <w:bookmarkEnd w:id="118"/>
    <w:p>
      <w:pPr>
        <w:ind w:left="2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6166485</wp:posOffset>
            </wp:positionH>
            <wp:positionV relativeFrom="page">
              <wp:posOffset>106045</wp:posOffset>
            </wp:positionV>
            <wp:extent cx="1166495" cy="3232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232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39"/>
          <w:szCs w:val="39"/>
          <w:b w:val="1"/>
          <w:bCs w:val="1"/>
          <w:color w:val="0E1020"/>
        </w:rPr>
        <w:t>ADDITIONAL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Business for 2027 Annual Meeting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Stockholder Proposals.</w:t>
      </w:r>
    </w:p>
    <w:p>
      <w:pPr>
        <w:spacing w:after="0" w:line="13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i w:val="1"/>
          <w:iCs w:val="1"/>
          <w:u w:val="single" w:color="auto"/>
          <w:color w:val="0E1020"/>
        </w:rPr>
        <w:t>Stockholder proposals pursuant to SEC Rule 14a-8.</w:t>
      </w:r>
      <w:r>
        <w:rPr>
          <w:rFonts w:ascii="Arial" w:cs="Arial" w:eastAsia="Arial" w:hAnsi="Arial"/>
          <w:sz w:val="16"/>
          <w:szCs w:val="16"/>
          <w:i w:val="1"/>
          <w:iCs w:val="1"/>
          <w:color w:val="0E1020"/>
        </w:rPr>
        <w:t xml:space="preserve"> </w:t>
      </w:r>
      <w:r>
        <w:rPr>
          <w:rFonts w:ascii="Arial" w:cs="Arial" w:eastAsia="Arial" w:hAnsi="Arial"/>
          <w:sz w:val="16"/>
          <w:szCs w:val="16"/>
          <w:color w:val="0E1020"/>
        </w:rPr>
        <w:t>For a stockholder proposal to be considered for inclusion in DXC’s Proxy Statement for the 2027 Annual</w:t>
      </w:r>
      <w:r>
        <w:rPr>
          <w:rFonts w:ascii="Arial" w:cs="Arial" w:eastAsia="Arial" w:hAnsi="Arial"/>
          <w:sz w:val="16"/>
          <w:szCs w:val="16"/>
          <w:i w:val="1"/>
          <w:iCs w:val="1"/>
          <w:color w:val="0E1020"/>
        </w:rPr>
        <w:t xml:space="preserve"> </w:t>
      </w:r>
      <w:r>
        <w:rPr>
          <w:rFonts w:ascii="Arial" w:cs="Arial" w:eastAsia="Arial" w:hAnsi="Arial"/>
          <w:sz w:val="16"/>
          <w:szCs w:val="16"/>
          <w:color w:val="0E1020"/>
        </w:rPr>
        <w:t>Meeting of Stockholders pursuant to SEC Rule 14a-8, the written proposal must be received by DXC’s General Counsel and Secretary at our principal executive offices not later than February 4, 2027. If the date of next year’s annual meeting is moved more than 30 days before or after the anniversary date of this year’s annual meeting, then the deadline for inclusion of a stockholder proposal in DXC’s Proxy Statement is instead a reasonable time before DXC begins to print and mail its proxy materials. The proposal must comply with the requirements of SEC Rule 14a-8 regarding the inclusion of stockholder proposals in company-sponsored proxy materials. Proposals should be addressed to:</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0E1020"/>
        </w:rPr>
        <w:t>General Counsel and Secretary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0E1020"/>
        </w:rPr>
        <w:t>DXC Technology Company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0E1020"/>
        </w:rPr>
        <w:t>20408 Bashan Drive, Suite 231</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0E1020"/>
        </w:rPr>
        <w:t>Ashburn, VA 20147</w:t>
      </w:r>
    </w:p>
    <w:p>
      <w:pPr>
        <w:spacing w:after="0" w:line="12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i w:val="1"/>
          <w:iCs w:val="1"/>
          <w:u w:val="single" w:color="auto"/>
          <w:color w:val="0E1020"/>
        </w:rPr>
        <w:t>Proxy Access</w:t>
      </w:r>
      <w:r>
        <w:rPr>
          <w:rFonts w:ascii="Arial" w:cs="Arial" w:eastAsia="Arial" w:hAnsi="Arial"/>
          <w:sz w:val="16"/>
          <w:szCs w:val="16"/>
          <w:color w:val="0E1020"/>
        </w:rPr>
        <w:t>. A stockholder seeking to include director nominations in DXC's Proxy Statement for the 2027 Annual Meeting of Stockholders must submit</w:t>
      </w:r>
      <w:r>
        <w:rPr>
          <w:rFonts w:ascii="Arial" w:cs="Arial" w:eastAsia="Arial" w:hAnsi="Arial"/>
          <w:sz w:val="16"/>
          <w:szCs w:val="16"/>
          <w:i w:val="1"/>
          <w:iCs w:val="1"/>
          <w:color w:val="0E1020"/>
        </w:rPr>
        <w:t xml:space="preserve"> </w:t>
      </w:r>
      <w:r>
        <w:rPr>
          <w:rFonts w:ascii="Arial" w:cs="Arial" w:eastAsia="Arial" w:hAnsi="Arial"/>
          <w:sz w:val="16"/>
          <w:szCs w:val="16"/>
          <w:color w:val="0E1020"/>
        </w:rPr>
        <w:t>such nominations in accordance with the proxy access provisions of the Company's Bylaws. Such nominations must be received by DXC's General Counsel and Secretary at the address above not less than 120 days nor more than 150 days before the anniversary of the date that DXC released the proxy materials to stockholders in connection with the previous year's annual meeting. For the 2027 Annual Meeting of Stockholders, written notice of any such nomination must be received by the Company no earlier than January 5, 2027 and no later than February 4, 2027.</w:t>
      </w:r>
    </w:p>
    <w:p>
      <w:pPr>
        <w:spacing w:after="0" w:line="47"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i w:val="1"/>
          <w:iCs w:val="1"/>
          <w:u w:val="single" w:color="auto"/>
          <w:color w:val="0E1020"/>
        </w:rPr>
        <w:t>Advance Notice</w:t>
      </w:r>
      <w:r>
        <w:rPr>
          <w:rFonts w:ascii="Arial" w:cs="Arial" w:eastAsia="Arial" w:hAnsi="Arial"/>
          <w:sz w:val="16"/>
          <w:szCs w:val="16"/>
          <w:color w:val="0E1020"/>
        </w:rPr>
        <w:t>. Stockholders seeking to nominate directors or bring other business before the 2027 Annual Meeting of Stockholders outside of DXC's Proxy</w:t>
      </w:r>
      <w:r>
        <w:rPr>
          <w:rFonts w:ascii="Arial" w:cs="Arial" w:eastAsia="Arial" w:hAnsi="Arial"/>
          <w:sz w:val="16"/>
          <w:szCs w:val="16"/>
          <w:i w:val="1"/>
          <w:iCs w:val="1"/>
          <w:color w:val="0E1020"/>
        </w:rPr>
        <w:t xml:space="preserve"> </w:t>
      </w:r>
      <w:r>
        <w:rPr>
          <w:rFonts w:ascii="Arial" w:cs="Arial" w:eastAsia="Arial" w:hAnsi="Arial"/>
          <w:sz w:val="16"/>
          <w:szCs w:val="16"/>
          <w:color w:val="0E1020"/>
        </w:rPr>
        <w:t>Statement must comply with the advance notice deadlines contained in DXC's Bylaws. The Bylaws provide that any such notice must be delivered not later than the close of business on the 90th day and not earlier than the close of business on the 120th day prior to the anniversary date of the preceding year’s annual meeting. In addition, the Bylaws specify that in the event that no annual meeting was held in the previous year or the date of the upcoming annual meeting is more than 30 days before or more than 60 days after the anniversary date of the previous year’s annual meeting, notice by the stockholder to be timely must be received no earlier than the close of business on the 120th day prior to the upcoming annual meeting and not later than the close of business on the later of (1) the 90th day prior to the upcoming annual meeting and (2) the 10th day following the date on which public announcement of the date of such upcoming meeting is first made. For the 2027 Annual Meeting of Stockholders, a stockholder’s notice, to be timely, must be delivered to, or mailed and received at our principal executive offices:</w:t>
      </w:r>
    </w:p>
    <w:p>
      <w:pPr>
        <w:spacing w:after="0" w:line="55" w:lineRule="exact"/>
        <w:rPr>
          <w:sz w:val="20"/>
          <w:szCs w:val="20"/>
          <w:color w:val="auto"/>
        </w:rPr>
      </w:pPr>
    </w:p>
    <w:p>
      <w:pPr>
        <w:ind w:left="300" w:hanging="293"/>
        <w:spacing w:after="0"/>
        <w:tabs>
          <w:tab w:leader="none" w:pos="300" w:val="left"/>
        </w:tabs>
        <w:numPr>
          <w:ilvl w:val="0"/>
          <w:numId w:val="114"/>
        </w:numPr>
        <w:rPr>
          <w:rFonts w:ascii="Arial" w:cs="Arial" w:eastAsia="Arial" w:hAnsi="Arial"/>
          <w:sz w:val="16"/>
          <w:szCs w:val="16"/>
          <w:color w:val="0E1020"/>
        </w:rPr>
      </w:pPr>
      <w:r>
        <w:rPr>
          <w:rFonts w:ascii="Arial" w:cs="Arial" w:eastAsia="Arial" w:hAnsi="Arial"/>
          <w:sz w:val="16"/>
          <w:szCs w:val="16"/>
          <w:color w:val="0E1020"/>
        </w:rPr>
        <w:t>not earlier than the close of business on March 23, 2027; and</w:t>
      </w:r>
    </w:p>
    <w:p>
      <w:pPr>
        <w:spacing w:after="0" w:line="124" w:lineRule="exact"/>
        <w:rPr>
          <w:rFonts w:ascii="Arial" w:cs="Arial" w:eastAsia="Arial" w:hAnsi="Arial"/>
          <w:sz w:val="16"/>
          <w:szCs w:val="16"/>
          <w:color w:val="0E1020"/>
        </w:rPr>
      </w:pPr>
    </w:p>
    <w:p>
      <w:pPr>
        <w:ind w:left="300" w:hanging="293"/>
        <w:spacing w:after="0"/>
        <w:tabs>
          <w:tab w:leader="none" w:pos="300" w:val="left"/>
        </w:tabs>
        <w:numPr>
          <w:ilvl w:val="0"/>
          <w:numId w:val="114"/>
        </w:numPr>
        <w:rPr>
          <w:rFonts w:ascii="Arial" w:cs="Arial" w:eastAsia="Arial" w:hAnsi="Arial"/>
          <w:sz w:val="16"/>
          <w:szCs w:val="16"/>
          <w:color w:val="0E1020"/>
        </w:rPr>
      </w:pPr>
      <w:r>
        <w:rPr>
          <w:rFonts w:ascii="Arial" w:cs="Arial" w:eastAsia="Arial" w:hAnsi="Arial"/>
          <w:sz w:val="16"/>
          <w:szCs w:val="16"/>
          <w:color w:val="0E1020"/>
        </w:rPr>
        <w:t>not later than the close of business on April 22, 2027.</w:t>
      </w:r>
    </w:p>
    <w:p>
      <w:pPr>
        <w:spacing w:after="0" w:line="232" w:lineRule="exact"/>
        <w:rPr>
          <w:sz w:val="20"/>
          <w:szCs w:val="20"/>
          <w:color w:val="auto"/>
        </w:rPr>
      </w:pPr>
    </w:p>
    <w:p>
      <w:pPr>
        <w:ind w:right="80"/>
        <w:spacing w:after="0" w:line="307" w:lineRule="auto"/>
        <w:rPr>
          <w:sz w:val="20"/>
          <w:szCs w:val="20"/>
          <w:color w:val="auto"/>
        </w:rPr>
      </w:pPr>
      <w:r>
        <w:rPr>
          <w:rFonts w:ascii="Arial" w:cs="Arial" w:eastAsia="Arial" w:hAnsi="Arial"/>
          <w:sz w:val="16"/>
          <w:szCs w:val="16"/>
          <w:color w:val="0E1020"/>
        </w:rPr>
        <w:t>For purposes of this section, "public announcement" means disclosure in a press release reported by the Dow Jones News Service, Associated Press, or a comparable national news service, in a document publicly filed by DXC with the SEC, or in a notice pursuant to the applicable rules of an exchange on which the securities of DXC are listed.</w:t>
      </w:r>
    </w:p>
    <w:p>
      <w:pPr>
        <w:spacing w:after="0" w:line="58"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0E1020"/>
        </w:rPr>
        <w:t>In addition to satisfying the foregoing advance notice requirements under DXC’s Bylaws, to comply with the universal proxy rules, stockholders who intend to solicit proxies in support of director nominees other than DXC’s nominees must provide notice to DXC that sets forth the information required by Rule 14a-19 under the Exchange Act. We intend to file a Proxy Statement and WHITE proxy card with the SEC in connection with the solicitation of proxies for our 2027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548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111</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119" w:name="page120"/>
    <w:bookmarkEnd w:id="119"/>
    <w:p>
      <w:pPr>
        <w:ind w:left="20"/>
        <w:spacing w:after="0"/>
        <w:tabs>
          <w:tab w:leader="none" w:pos="10100" w:val="left"/>
        </w:tabs>
        <w:rPr>
          <w:sz w:val="20"/>
          <w:szCs w:val="20"/>
          <w:color w:val="auto"/>
        </w:rPr>
      </w:pPr>
      <w:r>
        <w:rPr>
          <w:rFonts w:ascii="Arial" w:cs="Arial" w:eastAsia="Arial" w:hAnsi="Arial"/>
          <w:sz w:val="14"/>
          <w:szCs w:val="14"/>
          <w:color w:val="auto"/>
        </w:rPr>
        <w:t>Additional Information</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E1020"/>
        </w:rPr>
        <w:t>Householding; Availability of 2026 Annual Report and Proxy Statement</w:t>
      </w:r>
    </w:p>
    <w:p>
      <w:pPr>
        <w:spacing w:after="0" w:line="146" w:lineRule="exact"/>
        <w:rPr>
          <w:sz w:val="20"/>
          <w:szCs w:val="20"/>
          <w:color w:val="auto"/>
        </w:rPr>
      </w:pPr>
    </w:p>
    <w:p>
      <w:pPr>
        <w:spacing w:after="0" w:line="302" w:lineRule="auto"/>
        <w:rPr>
          <w:sz w:val="20"/>
          <w:szCs w:val="20"/>
          <w:color w:val="auto"/>
        </w:rPr>
      </w:pPr>
      <w:r>
        <w:rPr>
          <w:rFonts w:ascii="Arial" w:cs="Arial" w:eastAsia="Arial" w:hAnsi="Arial"/>
          <w:sz w:val="16"/>
          <w:szCs w:val="16"/>
          <w:color w:val="0E1020"/>
        </w:rPr>
        <w:t>The SEC permits DXC to deliver a single copy of proxy materials to an address shared by two or more stockholders. This delivery method, referred to as "householding," can result in significant cost savings for the Company. To take advantage of this opportunity, DXC, and banks and brokerage firms that hold your shares, have delivered only a single copy of proxy materials to multiple stockholders who share an address unless one or more of the stockholders has provided contrary instructions. DXC will deliver promptly, upon written or oral request, a separate copy of proxy materials to a stockholder at a shared address to which a single copy of proxy materials was delivered.</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0E1020"/>
        </w:rPr>
        <w:t>If you would like an additional copy of the proxy materials, these documents are available on the Company’s website, www.dxc.com, under “Financials/SEC</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0E1020"/>
        </w:rPr>
        <w:t>Filings.” These documents are also available without charge to any stockholder upon request by emailing investor.relations@dxc.com or writing to:</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0E1020"/>
        </w:rPr>
        <w:t>Investor Relations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0E1020"/>
        </w:rPr>
        <w:t>DXC Technology Company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0E1020"/>
        </w:rPr>
        <w:t>20408 Bashan Drive, Suite 231</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0E1020"/>
        </w:rPr>
        <w:t>Ashburn, VA 20147</w:t>
      </w:r>
    </w:p>
    <w:p>
      <w:pPr>
        <w:spacing w:after="0" w:line="124" w:lineRule="exact"/>
        <w:rPr>
          <w:sz w:val="20"/>
          <w:szCs w:val="20"/>
          <w:color w:val="auto"/>
        </w:rPr>
      </w:pPr>
    </w:p>
    <w:p>
      <w:pPr>
        <w:jc w:val="both"/>
        <w:ind w:right="280"/>
        <w:spacing w:after="0" w:line="316" w:lineRule="auto"/>
        <w:rPr>
          <w:sz w:val="20"/>
          <w:szCs w:val="20"/>
          <w:color w:val="auto"/>
        </w:rPr>
      </w:pPr>
      <w:r>
        <w:rPr>
          <w:rFonts w:ascii="Arial" w:cs="Arial" w:eastAsia="Arial" w:hAnsi="Arial"/>
          <w:sz w:val="16"/>
          <w:szCs w:val="16"/>
          <w:color w:val="0E1020"/>
        </w:rPr>
        <w:t>If you share the same address with other DXC stockholders and would like to start or stop householding for your account, you can call 1-866-540-7095 or write to: Householding Department, Broadridge Financial Solutions, Inc., 51 Mercedes Way, Edgewood, NY 11717, including your name, the name of your broker or other holder of record and your account number(s).</w:t>
      </w:r>
    </w:p>
    <w:p>
      <w:pPr>
        <w:spacing w:after="0" w:line="37" w:lineRule="exact"/>
        <w:rPr>
          <w:sz w:val="20"/>
          <w:szCs w:val="20"/>
          <w:color w:val="auto"/>
        </w:rPr>
      </w:pPr>
    </w:p>
    <w:p>
      <w:pPr>
        <w:ind w:right="60"/>
        <w:spacing w:after="0" w:line="316" w:lineRule="auto"/>
        <w:rPr>
          <w:sz w:val="20"/>
          <w:szCs w:val="20"/>
          <w:color w:val="auto"/>
        </w:rPr>
      </w:pPr>
      <w:r>
        <w:rPr>
          <w:rFonts w:ascii="Arial" w:cs="Arial" w:eastAsia="Arial" w:hAnsi="Arial"/>
          <w:sz w:val="16"/>
          <w:szCs w:val="16"/>
          <w:color w:val="0E1020"/>
        </w:rPr>
        <w:t>If you and other stockholders at the same shared address receive multiple copies of proxy materials and would like to request householding, you can follow the same process above; once you consent to householding, your election will remain in effect until you revoke it. If you revoke your consent, you will be sent separate copies of documents mailed at least 30 days after receipt of your revocation.</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Cautionary Statement Regarding Forward-Looking Statements</w:t>
      </w:r>
    </w:p>
    <w:p>
      <w:pPr>
        <w:spacing w:after="0" w:line="148" w:lineRule="exact"/>
        <w:rPr>
          <w:sz w:val="20"/>
          <w:szCs w:val="20"/>
          <w:color w:val="auto"/>
        </w:rPr>
      </w:pPr>
    </w:p>
    <w:p>
      <w:pPr>
        <w:spacing w:after="0" w:line="295" w:lineRule="auto"/>
        <w:rPr>
          <w:sz w:val="20"/>
          <w:szCs w:val="20"/>
          <w:color w:val="auto"/>
        </w:rPr>
      </w:pPr>
      <w:r>
        <w:rPr>
          <w:rFonts w:ascii="Arial" w:cs="Arial" w:eastAsia="Arial" w:hAnsi="Arial"/>
          <w:sz w:val="16"/>
          <w:szCs w:val="16"/>
          <w:color w:val="0E1020"/>
        </w:rPr>
        <w:t>All statements in this Proxy Statement that do not directly and exclusively relate to historical facts constitute “forward-looking statements” and are subject to numerous assumptions, risks and uncertainties that could cause actual results to differ materially from those expressed or implied, many of which are outside of our control, and include, but are not limited to: our inability to effectively manage our sales organization, including execution, pipeline, and talent management; our inability to expand service offerings to address emerging business demands, technological trends and competitive pressures; failure to attract and retain key personnel, including sales talent and employees with artificial intelligence (AI) and technical expertise, or maintain partner relationships; risks associated with AI, including adoption, deployment, and governance, reliance on third-party platforms, cybersecurity, privacy, evolving regulations, and competitive displacement; inability to accurately estimate contract costs and timelines, or failure by us or third parties to deliver on commitments; systems failures, catastrophic events, and resulting service interruptions; liability or reputational damage from security breaches, cyber-attacks, or disclosure of confidential or personal data; failure to comply with new or existing laws, regulations, and customer contracts, including those relating to data privacy, economic sanctions, export controls, AI, and environmental, social, and governance (ESG) expectations; failure to maintain our credit rating, manage indebtedness, or raise capital, adversely affecting our liquidity and borrowing costs; risks associated with international operations, including exchange rate fluctuations and geopolitical conflicts (such as in Russia/Ukraine and the Middle East); macroeconomic challenges, including inflation, reduced customer spending, and economic slowdowns affecting deal closures and cost-takeout efforts; inability to compete effectively, maintain customer relationships, collect receivables, or comply with government contracting regulations; failure to succeed in strategic transactions, including acquisitions, divestitures or partnerships; securities price volatility; supply chain disruptions, supplier non-performance, or increased procurement costs due to trade tensions, tariffs, or hostilities; climate change, natural disasters, and increased scrutiny of ESG initiatives; infringement of intellectual property rights, or inability to procure necessary third-party licenses; failure to achieve expected benefits of restructuring plans, workforce reductions, and automation/AI reliance; failure to maintain effective disclosure controls and internal control over financial reporting; asset impairment charges, including but not limited to intangibles and deferred tax assets; inability to pay dividends or repurchase shares; pending investigations, claims, and disputes; changes in tax rates, tax laws, and the timing and outcome of tax examinations; and risks related to completed strategic transactions. For a written description of these factors, see our Annual Report on Form 10-K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tabs>
          <w:tab w:leader="none" w:pos="5480" w:val="left"/>
          <w:tab w:leader="none" w:pos="9480" w:val="left"/>
        </w:tabs>
        <w:rPr>
          <w:sz w:val="20"/>
          <w:szCs w:val="20"/>
          <w:color w:val="auto"/>
        </w:rPr>
      </w:pPr>
      <w:r>
        <w:rPr>
          <w:rFonts w:ascii="Arial" w:cs="Arial" w:eastAsia="Arial" w:hAnsi="Arial"/>
          <w:sz w:val="14"/>
          <w:szCs w:val="14"/>
          <w:color w:val="0E1020"/>
        </w:rPr>
        <w:t>2026 Proxy Statement</w:t>
      </w:r>
      <w:r>
        <w:rPr>
          <w:sz w:val="20"/>
          <w:szCs w:val="20"/>
          <w:color w:val="auto"/>
        </w:rPr>
        <w:tab/>
      </w:r>
      <w:r>
        <w:rPr>
          <w:rFonts w:ascii="Arial" w:cs="Arial" w:eastAsia="Arial" w:hAnsi="Arial"/>
          <w:sz w:val="14"/>
          <w:szCs w:val="14"/>
          <w:color w:val="0E1020"/>
        </w:rPr>
        <w:t>112</w:t>
      </w:r>
      <w:r>
        <w:rPr>
          <w:sz w:val="20"/>
          <w:szCs w:val="20"/>
          <w:color w:val="auto"/>
        </w:rPr>
        <w:tab/>
      </w:r>
      <w:r>
        <w:rPr>
          <w:rFonts w:ascii="Arial" w:cs="Arial" w:eastAsia="Arial" w:hAnsi="Arial"/>
          <w:sz w:val="14"/>
          <w:szCs w:val="14"/>
          <w:color w:val="0E1020"/>
        </w:rPr>
        <w:t>DXC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120" w:name="page121"/>
    <w:bookmarkEnd w:id="120"/>
    <w:p>
      <w:pPr>
        <w:ind w:left="20"/>
        <w:spacing w:after="0"/>
        <w:tabs>
          <w:tab w:leader="none" w:pos="982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0E1020"/>
        </w:rPr>
        <w:t>Additional Information</w:t>
      </w:r>
    </w:p>
    <w:p>
      <w:pPr>
        <w:spacing w:after="0" w:line="200" w:lineRule="exact"/>
        <w:rPr>
          <w:sz w:val="20"/>
          <w:szCs w:val="20"/>
          <w:color w:val="auto"/>
        </w:rPr>
      </w:pPr>
    </w:p>
    <w:p>
      <w:pPr>
        <w:spacing w:after="0" w:line="358" w:lineRule="exact"/>
        <w:rPr>
          <w:sz w:val="20"/>
          <w:szCs w:val="20"/>
          <w:color w:val="auto"/>
        </w:rPr>
      </w:pPr>
    </w:p>
    <w:p>
      <w:pPr>
        <w:ind w:right="140"/>
        <w:spacing w:after="0" w:line="335" w:lineRule="auto"/>
        <w:rPr>
          <w:sz w:val="20"/>
          <w:szCs w:val="20"/>
          <w:color w:val="auto"/>
        </w:rPr>
      </w:pPr>
      <w:r>
        <w:rPr>
          <w:rFonts w:ascii="Arial" w:cs="Arial" w:eastAsia="Arial" w:hAnsi="Arial"/>
          <w:sz w:val="16"/>
          <w:szCs w:val="16"/>
          <w:color w:val="0E1020"/>
        </w:rPr>
        <w:t>the fiscal year ended March 31, 2026, and any updating information in subsequent SEC filings. Any forward-looking statement contained herein speaks only as of the date on which it is made. Except as required by law, we assume no obligation to update or revise any forward-looking statements.</w:t>
      </w:r>
    </w:p>
    <w:p>
      <w:pPr>
        <w:spacing w:after="0" w:line="18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0E1020"/>
        </w:rPr>
        <w:t>Moreover, forward-looking statements are subject to varying risks and uncertainties, including risks and uncertainties relating to alignment with stakeholder expectations, which may cause ultimate results to differ materially. However, our discussion of various items (including ESG information) herein or elsewhere is informed by the interests of various frameworks and stakeholders, and such information may not necessarily be material for purposes of our U.S. securities filings or other regulatory purposes. Our approach to such matters may evolve, particularly as standards, methodologies, and expectations change, but also for other reasons which may be in or out of our control.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tabs>
          <w:tab w:leader="none" w:pos="548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113</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121" w:name="page122"/>
    <w:bookmarkEnd w:id="121"/>
    <w:p>
      <w:pPr>
        <w:ind w:left="2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6166485</wp:posOffset>
            </wp:positionH>
            <wp:positionV relativeFrom="page">
              <wp:posOffset>106045</wp:posOffset>
            </wp:positionV>
            <wp:extent cx="1166495" cy="3232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232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39"/>
          <w:szCs w:val="39"/>
          <w:b w:val="1"/>
          <w:bCs w:val="1"/>
          <w:color w:val="0E1020"/>
        </w:rPr>
        <w:t>APPENDIX A: NON-GAAP FINANCIAL MEASURES</w:t>
      </w:r>
    </w:p>
    <w:p>
      <w:pPr>
        <w:spacing w:after="0" w:line="15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0E1020"/>
        </w:rPr>
        <w:t>Earnings before interest and taxes (EBIT), Adjusted EBIT, Adjusted EBIT Margin, Organic Revenue Growth, Non-GAAP Diluted Earnings per Share, and Free Cash Flow are non-GAAP financial measures. We present these non-GAAP financial measures to provide investors with meaningful supplemental financial information, in addition to the financial information presented on a GAAP basis. These non-GAAP financial measures exclude certain items from GAAP results which DXC management believes are not indicative of core operating performance. DXC management believes these non-GAAP measures provide investors supplemental information about the financial performance of DXC exclusive of the impacts of corporate wide strategic decisions. DXC management believes that adjusting for these items provides investors with additional measures to evaluate the financial performance of our core business operations on a comparable basis from period to period. DXC management believes the non-GAAP measures provided are also considered important measures by financial analysts covering DXC as equity research analysts continue to publish estimates and research notes based on our non-GAAP commentary.</w:t>
      </w:r>
    </w:p>
    <w:p>
      <w:pPr>
        <w:spacing w:after="0" w:line="69" w:lineRule="exact"/>
        <w:rPr>
          <w:sz w:val="20"/>
          <w:szCs w:val="20"/>
          <w:color w:val="auto"/>
        </w:rPr>
      </w:pPr>
    </w:p>
    <w:p>
      <w:pPr>
        <w:spacing w:after="0" w:line="304" w:lineRule="auto"/>
        <w:rPr>
          <w:sz w:val="20"/>
          <w:szCs w:val="20"/>
          <w:color w:val="auto"/>
        </w:rPr>
      </w:pPr>
      <w:r>
        <w:rPr>
          <w:rFonts w:ascii="Arial" w:cs="Arial" w:eastAsia="Arial" w:hAnsi="Arial"/>
          <w:sz w:val="16"/>
          <w:szCs w:val="16"/>
          <w:color w:val="0E1020"/>
        </w:rPr>
        <w:t>The Compensation Committee used certain of these Non-GAAP measures as a performance metric in structuring our annual incentive program. The use of these measures is not intended to replace comparable GAAP measures as set forth in our consolidated financial statements. We believe that these Non-GAAP measures are helpful to management and investors as a measure of operating performance because they exclude various items that do not relate to or are not indicative of operating performance.</w:t>
      </w:r>
    </w:p>
    <w:p>
      <w:pPr>
        <w:spacing w:after="0" w:line="46"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0E1020"/>
        </w:rPr>
        <w:t>There are limitations to the use of the non-GAAP financial measures presented in this Proxy Statement. One of the limitations is that they do not reflect complete financial results. We compensate for this limitation by providing a reconciliation between our non-GAAP financial measures and the respective most directly comparable financial measure calculated and presented in accordance with GAAP. Additionally, other companies, including companies in our industry, may calculate non-GAAP financial measures differently than we do, limiting the usefulness of those measures for comparative purposes between companies.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tabs>
          <w:tab w:leader="none" w:pos="548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A-1</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22" w:name="page123"/>
    <w:bookmarkEnd w:id="122"/>
    <w:p>
      <w:pPr>
        <w:ind w:left="20"/>
        <w:spacing w:after="0"/>
        <w:tabs>
          <w:tab w:leader="none" w:pos="10100" w:val="left"/>
        </w:tabs>
        <w:rPr>
          <w:sz w:val="20"/>
          <w:szCs w:val="20"/>
          <w:color w:val="auto"/>
        </w:rPr>
      </w:pPr>
      <w:r>
        <w:rPr>
          <w:rFonts w:ascii="Arial" w:cs="Arial" w:eastAsia="Arial" w:hAnsi="Arial"/>
          <w:sz w:val="14"/>
          <w:szCs w:val="14"/>
          <w:color w:val="auto"/>
        </w:rPr>
        <w:t>Appendix A – Non-GAAP Financial Measures</w:t>
      </w:r>
      <w:r>
        <w:rPr>
          <w:sz w:val="20"/>
          <w:szCs w:val="20"/>
          <w:color w:val="auto"/>
        </w:rPr>
        <w:tab/>
      </w: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Adjusted EBIT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E1020"/>
        </w:rPr>
        <w:t>A reconciliation of Net Income to Adjusted EBIT is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354"/>
        </w:trPr>
        <w:tc>
          <w:tcPr>
            <w:tcW w:w="6500" w:type="dxa"/>
            <w:vAlign w:val="bottom"/>
            <w:tcBorders>
              <w:bottom w:val="single" w:sz="8" w:color="F6F3F0"/>
            </w:tcBorders>
            <w:shd w:val="clear" w:color="auto" w:fill="F6F3F0"/>
          </w:tcPr>
          <w:p>
            <w:pPr>
              <w:spacing w:after="0"/>
              <w:rPr>
                <w:sz w:val="24"/>
                <w:szCs w:val="24"/>
                <w:color w:val="auto"/>
              </w:rPr>
            </w:pPr>
          </w:p>
        </w:tc>
        <w:tc>
          <w:tcPr>
            <w:tcW w:w="3420" w:type="dxa"/>
            <w:vAlign w:val="bottom"/>
            <w:tcBorders>
              <w:bottom w:val="single" w:sz="8" w:color="F6F3F0"/>
            </w:tcBorders>
            <w:shd w:val="clear" w:color="auto" w:fill="F6F3F0"/>
          </w:tcPr>
          <w:p>
            <w:pPr>
              <w:jc w:val="right"/>
              <w:ind w:right="109"/>
              <w:spacing w:after="0"/>
              <w:rPr>
                <w:sz w:val="20"/>
                <w:szCs w:val="20"/>
                <w:color w:val="auto"/>
              </w:rPr>
            </w:pPr>
            <w:r>
              <w:rPr>
                <w:rFonts w:ascii="Arial" w:cs="Arial" w:eastAsia="Arial" w:hAnsi="Arial"/>
                <w:sz w:val="14"/>
                <w:szCs w:val="14"/>
                <w:b w:val="1"/>
                <w:bCs w:val="1"/>
                <w:color w:val="0E1020"/>
              </w:rPr>
              <w:t>For the Fiscal Years Ended</w:t>
            </w:r>
          </w:p>
        </w:tc>
        <w:tc>
          <w:tcPr>
            <w:tcW w:w="1320" w:type="dxa"/>
            <w:vAlign w:val="bottom"/>
            <w:tcBorders>
              <w:bottom w:val="single" w:sz="8" w:color="F6F3F0"/>
            </w:tcBorders>
            <w:shd w:val="clear" w:color="auto" w:fill="F6F3F0"/>
          </w:tcPr>
          <w:p>
            <w:pPr>
              <w:spacing w:after="0"/>
              <w:rPr>
                <w:sz w:val="24"/>
                <w:szCs w:val="24"/>
                <w:color w:val="auto"/>
              </w:rPr>
            </w:pPr>
          </w:p>
        </w:tc>
      </w:tr>
      <w:tr>
        <w:trPr>
          <w:trHeight w:val="206"/>
        </w:trPr>
        <w:tc>
          <w:tcPr>
            <w:tcW w:w="6500" w:type="dxa"/>
            <w:vAlign w:val="bottom"/>
            <w:tcBorders>
              <w:top w:val="single" w:sz="8" w:color="F6F3F0"/>
            </w:tcBorders>
            <w:shd w:val="clear" w:color="auto" w:fill="F6F3F0"/>
          </w:tcPr>
          <w:p>
            <w:pPr>
              <w:ind w:left="100"/>
              <w:spacing w:after="0"/>
              <w:rPr>
                <w:sz w:val="20"/>
                <w:szCs w:val="20"/>
                <w:color w:val="auto"/>
              </w:rPr>
            </w:pPr>
            <w:r>
              <w:rPr>
                <w:rFonts w:ascii="Arial" w:cs="Arial" w:eastAsia="Arial" w:hAnsi="Arial"/>
                <w:sz w:val="14"/>
                <w:szCs w:val="14"/>
                <w:b w:val="1"/>
                <w:bCs w:val="1"/>
                <w:color w:val="0E1020"/>
              </w:rPr>
              <w:t>(in millions)</w:t>
            </w:r>
          </w:p>
        </w:tc>
        <w:tc>
          <w:tcPr>
            <w:tcW w:w="3420" w:type="dxa"/>
            <w:vAlign w:val="bottom"/>
            <w:tcBorders>
              <w:top w:val="single" w:sz="8" w:color="CFCFD2"/>
            </w:tcBorders>
            <w:shd w:val="clear" w:color="auto" w:fill="F6F3F0"/>
          </w:tcPr>
          <w:p>
            <w:pPr>
              <w:jc w:val="right"/>
              <w:ind w:right="1029"/>
              <w:spacing w:after="0"/>
              <w:rPr>
                <w:sz w:val="20"/>
                <w:szCs w:val="20"/>
                <w:color w:val="auto"/>
              </w:rPr>
            </w:pPr>
            <w:r>
              <w:rPr>
                <w:rFonts w:ascii="Arial" w:cs="Arial" w:eastAsia="Arial" w:hAnsi="Arial"/>
                <w:sz w:val="14"/>
                <w:szCs w:val="14"/>
                <w:b w:val="1"/>
                <w:bCs w:val="1"/>
                <w:color w:val="0E1020"/>
              </w:rPr>
              <w:t>March 31, 2026</w:t>
            </w:r>
          </w:p>
        </w:tc>
        <w:tc>
          <w:tcPr>
            <w:tcW w:w="1320" w:type="dxa"/>
            <w:vAlign w:val="bottom"/>
            <w:tcBorders>
              <w:top w:val="single" w:sz="8" w:color="CFCFD2"/>
            </w:tcBorders>
            <w:shd w:val="clear" w:color="auto" w:fill="F6F3F0"/>
          </w:tcPr>
          <w:p>
            <w:pPr>
              <w:jc w:val="right"/>
              <w:ind w:right="49"/>
              <w:spacing w:after="0"/>
              <w:rPr>
                <w:sz w:val="20"/>
                <w:szCs w:val="20"/>
                <w:color w:val="auto"/>
              </w:rPr>
            </w:pPr>
            <w:r>
              <w:rPr>
                <w:rFonts w:ascii="Arial" w:cs="Arial" w:eastAsia="Arial" w:hAnsi="Arial"/>
                <w:sz w:val="14"/>
                <w:szCs w:val="14"/>
                <w:b w:val="1"/>
                <w:bCs w:val="1"/>
                <w:color w:val="0E1020"/>
              </w:rPr>
              <w:t>March 31, 2025</w:t>
            </w:r>
          </w:p>
        </w:tc>
      </w:tr>
      <w:tr>
        <w:trPr>
          <w:trHeight w:val="109"/>
        </w:trPr>
        <w:tc>
          <w:tcPr>
            <w:tcW w:w="6500" w:type="dxa"/>
            <w:vAlign w:val="bottom"/>
            <w:tcBorders>
              <w:bottom w:val="single" w:sz="8" w:color="CFCFD2"/>
            </w:tcBorders>
            <w:shd w:val="clear" w:color="auto" w:fill="F6F3F0"/>
          </w:tcPr>
          <w:p>
            <w:pPr>
              <w:spacing w:after="0"/>
              <w:rPr>
                <w:sz w:val="9"/>
                <w:szCs w:val="9"/>
                <w:color w:val="auto"/>
              </w:rPr>
            </w:pPr>
          </w:p>
        </w:tc>
        <w:tc>
          <w:tcPr>
            <w:tcW w:w="3420" w:type="dxa"/>
            <w:vAlign w:val="bottom"/>
            <w:tcBorders>
              <w:bottom w:val="single" w:sz="8" w:color="CFCFD2"/>
            </w:tcBorders>
            <w:shd w:val="clear" w:color="auto" w:fill="F6F3F0"/>
          </w:tcPr>
          <w:p>
            <w:pPr>
              <w:spacing w:after="0"/>
              <w:rPr>
                <w:sz w:val="9"/>
                <w:szCs w:val="9"/>
                <w:color w:val="auto"/>
              </w:rPr>
            </w:pPr>
          </w:p>
        </w:tc>
        <w:tc>
          <w:tcPr>
            <w:tcW w:w="1320" w:type="dxa"/>
            <w:vAlign w:val="bottom"/>
            <w:tcBorders>
              <w:bottom w:val="single" w:sz="8" w:color="CFCFD2"/>
            </w:tcBorders>
            <w:shd w:val="clear" w:color="auto" w:fill="F6F3F0"/>
          </w:tcPr>
          <w:p>
            <w:pPr>
              <w:spacing w:after="0"/>
              <w:rPr>
                <w:sz w:val="9"/>
                <w:szCs w:val="9"/>
                <w:color w:val="auto"/>
              </w:rPr>
            </w:pPr>
          </w:p>
        </w:tc>
      </w:tr>
      <w:tr>
        <w:trPr>
          <w:trHeight w:val="200"/>
        </w:trPr>
        <w:tc>
          <w:tcPr>
            <w:tcW w:w="6500" w:type="dxa"/>
            <w:vAlign w:val="bottom"/>
          </w:tcPr>
          <w:p>
            <w:pPr>
              <w:ind w:left="100"/>
              <w:spacing w:after="0"/>
              <w:rPr>
                <w:sz w:val="20"/>
                <w:szCs w:val="20"/>
                <w:color w:val="auto"/>
              </w:rPr>
            </w:pPr>
            <w:r>
              <w:rPr>
                <w:rFonts w:ascii="Arial" w:cs="Arial" w:eastAsia="Arial" w:hAnsi="Arial"/>
                <w:sz w:val="14"/>
                <w:szCs w:val="14"/>
                <w:color w:val="0E1020"/>
              </w:rPr>
              <w:t>Net income</w:t>
            </w:r>
          </w:p>
        </w:tc>
        <w:tc>
          <w:tcPr>
            <w:tcW w:w="3420" w:type="dxa"/>
            <w:vAlign w:val="bottom"/>
          </w:tcPr>
          <w:p>
            <w:pPr>
              <w:jc w:val="right"/>
              <w:ind w:right="1029"/>
              <w:spacing w:after="0"/>
              <w:rPr>
                <w:sz w:val="20"/>
                <w:szCs w:val="20"/>
                <w:color w:val="auto"/>
              </w:rPr>
            </w:pPr>
            <w:r>
              <w:rPr>
                <w:rFonts w:ascii="Arial" w:cs="Arial" w:eastAsia="Arial" w:hAnsi="Arial"/>
                <w:sz w:val="14"/>
                <w:szCs w:val="14"/>
                <w:color w:val="0E1020"/>
              </w:rPr>
              <w:t>$28</w:t>
            </w:r>
          </w:p>
        </w:tc>
        <w:tc>
          <w:tcPr>
            <w:tcW w:w="1320" w:type="dxa"/>
            <w:vAlign w:val="bottom"/>
          </w:tcPr>
          <w:p>
            <w:pPr>
              <w:jc w:val="right"/>
              <w:ind w:right="49"/>
              <w:spacing w:after="0"/>
              <w:rPr>
                <w:sz w:val="20"/>
                <w:szCs w:val="20"/>
                <w:color w:val="auto"/>
              </w:rPr>
            </w:pPr>
            <w:r>
              <w:rPr>
                <w:rFonts w:ascii="Arial" w:cs="Arial" w:eastAsia="Arial" w:hAnsi="Arial"/>
                <w:sz w:val="14"/>
                <w:szCs w:val="14"/>
                <w:color w:val="0E1020"/>
              </w:rPr>
              <w:t>$396</w:t>
            </w:r>
          </w:p>
        </w:tc>
      </w:tr>
      <w:tr>
        <w:trPr>
          <w:trHeight w:val="21"/>
        </w:trPr>
        <w:tc>
          <w:tcPr>
            <w:tcW w:w="6500" w:type="dxa"/>
            <w:vAlign w:val="bottom"/>
            <w:tcBorders>
              <w:bottom w:val="single" w:sz="8" w:color="CFCFD2"/>
            </w:tcBorders>
          </w:tcPr>
          <w:p>
            <w:pPr>
              <w:spacing w:after="0" w:line="20" w:lineRule="exact"/>
              <w:rPr>
                <w:sz w:val="1"/>
                <w:szCs w:val="1"/>
                <w:color w:val="auto"/>
              </w:rPr>
            </w:pPr>
          </w:p>
        </w:tc>
        <w:tc>
          <w:tcPr>
            <w:tcW w:w="3420" w:type="dxa"/>
            <w:vAlign w:val="bottom"/>
            <w:tcBorders>
              <w:bottom w:val="single" w:sz="8" w:color="CFCFD2"/>
            </w:tcBorders>
          </w:tcPr>
          <w:p>
            <w:pPr>
              <w:spacing w:after="0" w:line="20" w:lineRule="exact"/>
              <w:rPr>
                <w:sz w:val="1"/>
                <w:szCs w:val="1"/>
                <w:color w:val="auto"/>
              </w:rPr>
            </w:pPr>
          </w:p>
        </w:tc>
        <w:tc>
          <w:tcPr>
            <w:tcW w:w="1320" w:type="dxa"/>
            <w:vAlign w:val="bottom"/>
            <w:tcBorders>
              <w:bottom w:val="single" w:sz="8" w:color="CFCFD2"/>
            </w:tcBorders>
          </w:tcPr>
          <w:p>
            <w:pPr>
              <w:spacing w:after="0" w:line="20" w:lineRule="exact"/>
              <w:rPr>
                <w:sz w:val="1"/>
                <w:szCs w:val="1"/>
                <w:color w:val="auto"/>
              </w:rPr>
            </w:pPr>
          </w:p>
        </w:tc>
      </w:tr>
      <w:tr>
        <w:trPr>
          <w:trHeight w:val="200"/>
        </w:trPr>
        <w:tc>
          <w:tcPr>
            <w:tcW w:w="6500" w:type="dxa"/>
            <w:vAlign w:val="bottom"/>
          </w:tcPr>
          <w:p>
            <w:pPr>
              <w:ind w:left="100"/>
              <w:spacing w:after="0"/>
              <w:rPr>
                <w:sz w:val="20"/>
                <w:szCs w:val="20"/>
                <w:color w:val="auto"/>
              </w:rPr>
            </w:pPr>
            <w:r>
              <w:rPr>
                <w:rFonts w:ascii="Arial" w:cs="Arial" w:eastAsia="Arial" w:hAnsi="Arial"/>
                <w:sz w:val="14"/>
                <w:szCs w:val="14"/>
                <w:color w:val="0E1020"/>
              </w:rPr>
              <w:t>Income tax expense</w:t>
            </w:r>
          </w:p>
        </w:tc>
        <w:tc>
          <w:tcPr>
            <w:tcW w:w="3420" w:type="dxa"/>
            <w:vAlign w:val="bottom"/>
          </w:tcPr>
          <w:p>
            <w:pPr>
              <w:jc w:val="right"/>
              <w:ind w:right="1029"/>
              <w:spacing w:after="0"/>
              <w:rPr>
                <w:sz w:val="20"/>
                <w:szCs w:val="20"/>
                <w:color w:val="auto"/>
              </w:rPr>
            </w:pPr>
            <w:r>
              <w:rPr>
                <w:rFonts w:ascii="Arial" w:cs="Arial" w:eastAsia="Arial" w:hAnsi="Arial"/>
                <w:sz w:val="14"/>
                <w:szCs w:val="14"/>
                <w:color w:val="0E1020"/>
              </w:rPr>
              <w:t>290</w:t>
            </w:r>
          </w:p>
        </w:tc>
        <w:tc>
          <w:tcPr>
            <w:tcW w:w="1320" w:type="dxa"/>
            <w:vAlign w:val="bottom"/>
          </w:tcPr>
          <w:p>
            <w:pPr>
              <w:jc w:val="right"/>
              <w:ind w:right="49"/>
              <w:spacing w:after="0"/>
              <w:rPr>
                <w:sz w:val="20"/>
                <w:szCs w:val="20"/>
                <w:color w:val="auto"/>
              </w:rPr>
            </w:pPr>
            <w:r>
              <w:rPr>
                <w:rFonts w:ascii="Arial" w:cs="Arial" w:eastAsia="Arial" w:hAnsi="Arial"/>
                <w:sz w:val="14"/>
                <w:szCs w:val="14"/>
                <w:color w:val="0E1020"/>
              </w:rPr>
              <w:t>234</w:t>
            </w:r>
          </w:p>
        </w:tc>
      </w:tr>
      <w:tr>
        <w:trPr>
          <w:trHeight w:val="21"/>
        </w:trPr>
        <w:tc>
          <w:tcPr>
            <w:tcW w:w="6500" w:type="dxa"/>
            <w:vAlign w:val="bottom"/>
            <w:tcBorders>
              <w:bottom w:val="single" w:sz="8" w:color="CFCFD2"/>
            </w:tcBorders>
          </w:tcPr>
          <w:p>
            <w:pPr>
              <w:spacing w:after="0" w:line="20" w:lineRule="exact"/>
              <w:rPr>
                <w:sz w:val="1"/>
                <w:szCs w:val="1"/>
                <w:color w:val="auto"/>
              </w:rPr>
            </w:pPr>
          </w:p>
        </w:tc>
        <w:tc>
          <w:tcPr>
            <w:tcW w:w="3420" w:type="dxa"/>
            <w:vAlign w:val="bottom"/>
            <w:tcBorders>
              <w:bottom w:val="single" w:sz="8" w:color="CFCFD2"/>
            </w:tcBorders>
          </w:tcPr>
          <w:p>
            <w:pPr>
              <w:spacing w:after="0" w:line="20" w:lineRule="exact"/>
              <w:rPr>
                <w:sz w:val="1"/>
                <w:szCs w:val="1"/>
                <w:color w:val="auto"/>
              </w:rPr>
            </w:pPr>
          </w:p>
        </w:tc>
        <w:tc>
          <w:tcPr>
            <w:tcW w:w="1320" w:type="dxa"/>
            <w:vAlign w:val="bottom"/>
            <w:tcBorders>
              <w:bottom w:val="single" w:sz="8" w:color="CFCFD2"/>
            </w:tcBorders>
          </w:tcPr>
          <w:p>
            <w:pPr>
              <w:spacing w:after="0" w:line="20" w:lineRule="exact"/>
              <w:rPr>
                <w:sz w:val="1"/>
                <w:szCs w:val="1"/>
                <w:color w:val="auto"/>
              </w:rPr>
            </w:pPr>
          </w:p>
        </w:tc>
      </w:tr>
      <w:tr>
        <w:trPr>
          <w:trHeight w:val="200"/>
        </w:trPr>
        <w:tc>
          <w:tcPr>
            <w:tcW w:w="6500" w:type="dxa"/>
            <w:vAlign w:val="bottom"/>
          </w:tcPr>
          <w:p>
            <w:pPr>
              <w:ind w:left="100"/>
              <w:spacing w:after="0"/>
              <w:rPr>
                <w:sz w:val="20"/>
                <w:szCs w:val="20"/>
                <w:color w:val="auto"/>
              </w:rPr>
            </w:pPr>
            <w:r>
              <w:rPr>
                <w:rFonts w:ascii="Arial" w:cs="Arial" w:eastAsia="Arial" w:hAnsi="Arial"/>
                <w:sz w:val="14"/>
                <w:szCs w:val="14"/>
                <w:color w:val="0E1020"/>
              </w:rPr>
              <w:t>Interest income</w:t>
            </w:r>
          </w:p>
        </w:tc>
        <w:tc>
          <w:tcPr>
            <w:tcW w:w="3420" w:type="dxa"/>
            <w:vAlign w:val="bottom"/>
          </w:tcPr>
          <w:p>
            <w:pPr>
              <w:jc w:val="right"/>
              <w:ind w:right="1029"/>
              <w:spacing w:after="0"/>
              <w:rPr>
                <w:sz w:val="20"/>
                <w:szCs w:val="20"/>
                <w:color w:val="auto"/>
              </w:rPr>
            </w:pPr>
            <w:r>
              <w:rPr>
                <w:rFonts w:ascii="Arial" w:cs="Arial" w:eastAsia="Arial" w:hAnsi="Arial"/>
                <w:sz w:val="14"/>
                <w:szCs w:val="14"/>
                <w:color w:val="0E1020"/>
              </w:rPr>
              <w:t>(181)</w:t>
            </w:r>
          </w:p>
        </w:tc>
        <w:tc>
          <w:tcPr>
            <w:tcW w:w="1320" w:type="dxa"/>
            <w:vAlign w:val="bottom"/>
          </w:tcPr>
          <w:p>
            <w:pPr>
              <w:jc w:val="right"/>
              <w:ind w:right="49"/>
              <w:spacing w:after="0"/>
              <w:rPr>
                <w:sz w:val="20"/>
                <w:szCs w:val="20"/>
                <w:color w:val="auto"/>
              </w:rPr>
            </w:pPr>
            <w:r>
              <w:rPr>
                <w:rFonts w:ascii="Arial" w:cs="Arial" w:eastAsia="Arial" w:hAnsi="Arial"/>
                <w:sz w:val="14"/>
                <w:szCs w:val="14"/>
                <w:color w:val="0E1020"/>
              </w:rPr>
              <w:t>(199)</w:t>
            </w:r>
          </w:p>
        </w:tc>
      </w:tr>
      <w:tr>
        <w:trPr>
          <w:trHeight w:val="21"/>
        </w:trPr>
        <w:tc>
          <w:tcPr>
            <w:tcW w:w="6500" w:type="dxa"/>
            <w:vAlign w:val="bottom"/>
            <w:tcBorders>
              <w:bottom w:val="single" w:sz="8" w:color="CFCFD2"/>
            </w:tcBorders>
          </w:tcPr>
          <w:p>
            <w:pPr>
              <w:spacing w:after="0" w:line="20" w:lineRule="exact"/>
              <w:rPr>
                <w:sz w:val="1"/>
                <w:szCs w:val="1"/>
                <w:color w:val="auto"/>
              </w:rPr>
            </w:pPr>
          </w:p>
        </w:tc>
        <w:tc>
          <w:tcPr>
            <w:tcW w:w="3420" w:type="dxa"/>
            <w:vAlign w:val="bottom"/>
            <w:tcBorders>
              <w:bottom w:val="single" w:sz="8" w:color="CFCFD2"/>
            </w:tcBorders>
          </w:tcPr>
          <w:p>
            <w:pPr>
              <w:spacing w:after="0" w:line="20" w:lineRule="exact"/>
              <w:rPr>
                <w:sz w:val="1"/>
                <w:szCs w:val="1"/>
                <w:color w:val="auto"/>
              </w:rPr>
            </w:pPr>
          </w:p>
        </w:tc>
        <w:tc>
          <w:tcPr>
            <w:tcW w:w="1320" w:type="dxa"/>
            <w:vAlign w:val="bottom"/>
            <w:tcBorders>
              <w:bottom w:val="single" w:sz="8" w:color="CFCFD2"/>
            </w:tcBorders>
          </w:tcPr>
          <w:p>
            <w:pPr>
              <w:spacing w:after="0" w:line="20" w:lineRule="exact"/>
              <w:rPr>
                <w:sz w:val="1"/>
                <w:szCs w:val="1"/>
                <w:color w:val="auto"/>
              </w:rPr>
            </w:pPr>
          </w:p>
        </w:tc>
      </w:tr>
      <w:tr>
        <w:trPr>
          <w:trHeight w:val="200"/>
        </w:trPr>
        <w:tc>
          <w:tcPr>
            <w:tcW w:w="6500" w:type="dxa"/>
            <w:vAlign w:val="bottom"/>
          </w:tcPr>
          <w:p>
            <w:pPr>
              <w:ind w:left="100"/>
              <w:spacing w:after="0"/>
              <w:rPr>
                <w:sz w:val="20"/>
                <w:szCs w:val="20"/>
                <w:color w:val="auto"/>
              </w:rPr>
            </w:pPr>
            <w:r>
              <w:rPr>
                <w:rFonts w:ascii="Arial" w:cs="Arial" w:eastAsia="Arial" w:hAnsi="Arial"/>
                <w:sz w:val="14"/>
                <w:szCs w:val="14"/>
                <w:color w:val="0E1020"/>
              </w:rPr>
              <w:t>Interest expense</w:t>
            </w:r>
          </w:p>
        </w:tc>
        <w:tc>
          <w:tcPr>
            <w:tcW w:w="3420" w:type="dxa"/>
            <w:vAlign w:val="bottom"/>
          </w:tcPr>
          <w:p>
            <w:pPr>
              <w:jc w:val="right"/>
              <w:ind w:right="1029"/>
              <w:spacing w:after="0"/>
              <w:rPr>
                <w:sz w:val="20"/>
                <w:szCs w:val="20"/>
                <w:color w:val="auto"/>
              </w:rPr>
            </w:pPr>
            <w:r>
              <w:rPr>
                <w:rFonts w:ascii="Arial" w:cs="Arial" w:eastAsia="Arial" w:hAnsi="Arial"/>
                <w:sz w:val="14"/>
                <w:szCs w:val="14"/>
                <w:color w:val="0E1020"/>
              </w:rPr>
              <w:t>216</w:t>
            </w:r>
          </w:p>
        </w:tc>
        <w:tc>
          <w:tcPr>
            <w:tcW w:w="1320" w:type="dxa"/>
            <w:vAlign w:val="bottom"/>
          </w:tcPr>
          <w:p>
            <w:pPr>
              <w:jc w:val="right"/>
              <w:ind w:right="49"/>
              <w:spacing w:after="0"/>
              <w:rPr>
                <w:sz w:val="20"/>
                <w:szCs w:val="20"/>
                <w:color w:val="auto"/>
              </w:rPr>
            </w:pPr>
            <w:r>
              <w:rPr>
                <w:rFonts w:ascii="Arial" w:cs="Arial" w:eastAsia="Arial" w:hAnsi="Arial"/>
                <w:sz w:val="14"/>
                <w:szCs w:val="14"/>
                <w:color w:val="0E1020"/>
              </w:rPr>
              <w:t>265</w:t>
            </w:r>
          </w:p>
        </w:tc>
      </w:tr>
      <w:tr>
        <w:trPr>
          <w:trHeight w:val="21"/>
        </w:trPr>
        <w:tc>
          <w:tcPr>
            <w:tcW w:w="6500" w:type="dxa"/>
            <w:vAlign w:val="bottom"/>
            <w:tcBorders>
              <w:bottom w:val="single" w:sz="8" w:color="CFCFD2"/>
            </w:tcBorders>
          </w:tcPr>
          <w:p>
            <w:pPr>
              <w:spacing w:after="0" w:line="20" w:lineRule="exact"/>
              <w:rPr>
                <w:sz w:val="1"/>
                <w:szCs w:val="1"/>
                <w:color w:val="auto"/>
              </w:rPr>
            </w:pPr>
          </w:p>
        </w:tc>
        <w:tc>
          <w:tcPr>
            <w:tcW w:w="3420" w:type="dxa"/>
            <w:vAlign w:val="bottom"/>
            <w:tcBorders>
              <w:bottom w:val="single" w:sz="8" w:color="CFCFD2"/>
            </w:tcBorders>
          </w:tcPr>
          <w:p>
            <w:pPr>
              <w:spacing w:after="0" w:line="20" w:lineRule="exact"/>
              <w:rPr>
                <w:sz w:val="1"/>
                <w:szCs w:val="1"/>
                <w:color w:val="auto"/>
              </w:rPr>
            </w:pPr>
          </w:p>
        </w:tc>
        <w:tc>
          <w:tcPr>
            <w:tcW w:w="1320" w:type="dxa"/>
            <w:vAlign w:val="bottom"/>
            <w:tcBorders>
              <w:bottom w:val="single" w:sz="8" w:color="CFCFD2"/>
            </w:tcBorders>
          </w:tcPr>
          <w:p>
            <w:pPr>
              <w:spacing w:after="0" w:line="20" w:lineRule="exact"/>
              <w:rPr>
                <w:sz w:val="1"/>
                <w:szCs w:val="1"/>
                <w:color w:val="auto"/>
              </w:rPr>
            </w:pPr>
          </w:p>
        </w:tc>
      </w:tr>
      <w:tr>
        <w:trPr>
          <w:trHeight w:val="215"/>
        </w:trPr>
        <w:tc>
          <w:tcPr>
            <w:tcW w:w="6500" w:type="dxa"/>
            <w:vAlign w:val="bottom"/>
            <w:tcBorders>
              <w:bottom w:val="single" w:sz="8" w:color="CFCFD2"/>
            </w:tcBorders>
            <w:shd w:val="clear" w:color="auto" w:fill="F6F3F0"/>
          </w:tcPr>
          <w:p>
            <w:pPr>
              <w:ind w:left="100"/>
              <w:spacing w:after="0"/>
              <w:rPr>
                <w:sz w:val="20"/>
                <w:szCs w:val="20"/>
                <w:color w:val="auto"/>
              </w:rPr>
            </w:pPr>
            <w:r>
              <w:rPr>
                <w:rFonts w:ascii="Arial" w:cs="Arial" w:eastAsia="Arial" w:hAnsi="Arial"/>
                <w:sz w:val="14"/>
                <w:szCs w:val="14"/>
                <w:b w:val="1"/>
                <w:bCs w:val="1"/>
                <w:color w:val="0E1020"/>
              </w:rPr>
              <w:t>EBIT</w:t>
            </w:r>
          </w:p>
        </w:tc>
        <w:tc>
          <w:tcPr>
            <w:tcW w:w="3420" w:type="dxa"/>
            <w:vAlign w:val="bottom"/>
            <w:tcBorders>
              <w:bottom w:val="single" w:sz="8" w:color="CFCFD2"/>
            </w:tcBorders>
            <w:shd w:val="clear" w:color="auto" w:fill="F6F3F0"/>
          </w:tcPr>
          <w:p>
            <w:pPr>
              <w:jc w:val="right"/>
              <w:ind w:right="1029"/>
              <w:spacing w:after="0"/>
              <w:rPr>
                <w:sz w:val="20"/>
                <w:szCs w:val="20"/>
                <w:color w:val="auto"/>
              </w:rPr>
            </w:pPr>
            <w:r>
              <w:rPr>
                <w:rFonts w:ascii="Arial" w:cs="Arial" w:eastAsia="Arial" w:hAnsi="Arial"/>
                <w:sz w:val="14"/>
                <w:szCs w:val="14"/>
                <w:b w:val="1"/>
                <w:bCs w:val="1"/>
                <w:color w:val="0E1020"/>
              </w:rPr>
              <w:t>353</w:t>
            </w:r>
          </w:p>
        </w:tc>
        <w:tc>
          <w:tcPr>
            <w:tcW w:w="1320" w:type="dxa"/>
            <w:vAlign w:val="bottom"/>
            <w:tcBorders>
              <w:bottom w:val="single" w:sz="8" w:color="CFCFD2"/>
            </w:tcBorders>
            <w:shd w:val="clear" w:color="auto" w:fill="F6F3F0"/>
          </w:tcPr>
          <w:p>
            <w:pPr>
              <w:jc w:val="right"/>
              <w:ind w:right="49"/>
              <w:spacing w:after="0"/>
              <w:rPr>
                <w:sz w:val="20"/>
                <w:szCs w:val="20"/>
                <w:color w:val="auto"/>
              </w:rPr>
            </w:pPr>
            <w:r>
              <w:rPr>
                <w:rFonts w:ascii="Arial" w:cs="Arial" w:eastAsia="Arial" w:hAnsi="Arial"/>
                <w:sz w:val="14"/>
                <w:szCs w:val="14"/>
                <w:b w:val="1"/>
                <w:bCs w:val="1"/>
                <w:color w:val="0E1020"/>
              </w:rPr>
              <w:t>696</w:t>
            </w:r>
          </w:p>
        </w:tc>
      </w:tr>
      <w:tr>
        <w:trPr>
          <w:trHeight w:val="207"/>
        </w:trPr>
        <w:tc>
          <w:tcPr>
            <w:tcW w:w="6500" w:type="dxa"/>
            <w:vAlign w:val="bottom"/>
          </w:tcPr>
          <w:p>
            <w:pPr>
              <w:ind w:left="100"/>
              <w:spacing w:after="0"/>
              <w:rPr>
                <w:sz w:val="20"/>
                <w:szCs w:val="20"/>
                <w:color w:val="auto"/>
              </w:rPr>
            </w:pPr>
            <w:r>
              <w:rPr>
                <w:rFonts w:ascii="Arial" w:cs="Arial" w:eastAsia="Arial" w:hAnsi="Arial"/>
                <w:sz w:val="14"/>
                <w:szCs w:val="14"/>
                <w:color w:val="0E1020"/>
              </w:rPr>
              <w:t>Restructuring costs</w:t>
            </w:r>
          </w:p>
        </w:tc>
        <w:tc>
          <w:tcPr>
            <w:tcW w:w="3420" w:type="dxa"/>
            <w:vAlign w:val="bottom"/>
          </w:tcPr>
          <w:p>
            <w:pPr>
              <w:jc w:val="right"/>
              <w:ind w:right="1029"/>
              <w:spacing w:after="0"/>
              <w:rPr>
                <w:sz w:val="20"/>
                <w:szCs w:val="20"/>
                <w:color w:val="auto"/>
              </w:rPr>
            </w:pPr>
            <w:r>
              <w:rPr>
                <w:rFonts w:ascii="Arial" w:cs="Arial" w:eastAsia="Arial" w:hAnsi="Arial"/>
                <w:sz w:val="14"/>
                <w:szCs w:val="14"/>
                <w:color w:val="0E1020"/>
              </w:rPr>
              <w:t>115</w:t>
            </w:r>
          </w:p>
        </w:tc>
        <w:tc>
          <w:tcPr>
            <w:tcW w:w="1320" w:type="dxa"/>
            <w:vAlign w:val="bottom"/>
          </w:tcPr>
          <w:p>
            <w:pPr>
              <w:jc w:val="right"/>
              <w:ind w:right="49"/>
              <w:spacing w:after="0"/>
              <w:rPr>
                <w:sz w:val="20"/>
                <w:szCs w:val="20"/>
                <w:color w:val="auto"/>
              </w:rPr>
            </w:pPr>
            <w:r>
              <w:rPr>
                <w:rFonts w:ascii="Arial" w:cs="Arial" w:eastAsia="Arial" w:hAnsi="Arial"/>
                <w:sz w:val="14"/>
                <w:szCs w:val="14"/>
                <w:color w:val="0E1020"/>
              </w:rPr>
              <w:t>153</w:t>
            </w:r>
          </w:p>
        </w:tc>
      </w:tr>
      <w:tr>
        <w:trPr>
          <w:trHeight w:val="21"/>
        </w:trPr>
        <w:tc>
          <w:tcPr>
            <w:tcW w:w="6500" w:type="dxa"/>
            <w:vAlign w:val="bottom"/>
            <w:tcBorders>
              <w:bottom w:val="single" w:sz="8" w:color="CFCFD2"/>
            </w:tcBorders>
          </w:tcPr>
          <w:p>
            <w:pPr>
              <w:spacing w:after="0" w:line="20" w:lineRule="exact"/>
              <w:rPr>
                <w:sz w:val="1"/>
                <w:szCs w:val="1"/>
                <w:color w:val="auto"/>
              </w:rPr>
            </w:pPr>
          </w:p>
        </w:tc>
        <w:tc>
          <w:tcPr>
            <w:tcW w:w="3420" w:type="dxa"/>
            <w:vAlign w:val="bottom"/>
            <w:tcBorders>
              <w:bottom w:val="single" w:sz="8" w:color="CFCFD2"/>
            </w:tcBorders>
          </w:tcPr>
          <w:p>
            <w:pPr>
              <w:spacing w:after="0" w:line="20" w:lineRule="exact"/>
              <w:rPr>
                <w:sz w:val="1"/>
                <w:szCs w:val="1"/>
                <w:color w:val="auto"/>
              </w:rPr>
            </w:pPr>
          </w:p>
        </w:tc>
        <w:tc>
          <w:tcPr>
            <w:tcW w:w="1320" w:type="dxa"/>
            <w:vAlign w:val="bottom"/>
            <w:tcBorders>
              <w:bottom w:val="single" w:sz="8" w:color="CFCFD2"/>
            </w:tcBorders>
          </w:tcPr>
          <w:p>
            <w:pPr>
              <w:spacing w:after="0" w:line="20" w:lineRule="exact"/>
              <w:rPr>
                <w:sz w:val="1"/>
                <w:szCs w:val="1"/>
                <w:color w:val="auto"/>
              </w:rPr>
            </w:pPr>
          </w:p>
        </w:tc>
      </w:tr>
      <w:tr>
        <w:trPr>
          <w:trHeight w:val="200"/>
        </w:trPr>
        <w:tc>
          <w:tcPr>
            <w:tcW w:w="6500" w:type="dxa"/>
            <w:vAlign w:val="bottom"/>
          </w:tcPr>
          <w:p>
            <w:pPr>
              <w:ind w:left="100"/>
              <w:spacing w:after="0"/>
              <w:rPr>
                <w:sz w:val="20"/>
                <w:szCs w:val="20"/>
                <w:color w:val="auto"/>
              </w:rPr>
            </w:pPr>
            <w:r>
              <w:rPr>
                <w:rFonts w:ascii="Arial" w:cs="Arial" w:eastAsia="Arial" w:hAnsi="Arial"/>
                <w:sz w:val="14"/>
                <w:szCs w:val="14"/>
                <w:color w:val="0E1020"/>
              </w:rPr>
              <w:t>Transaction, separation, and integration-related costs</w:t>
            </w:r>
          </w:p>
        </w:tc>
        <w:tc>
          <w:tcPr>
            <w:tcW w:w="3420" w:type="dxa"/>
            <w:vAlign w:val="bottom"/>
          </w:tcPr>
          <w:p>
            <w:pPr>
              <w:jc w:val="right"/>
              <w:ind w:right="1029"/>
              <w:spacing w:after="0"/>
              <w:rPr>
                <w:sz w:val="20"/>
                <w:szCs w:val="20"/>
                <w:color w:val="auto"/>
              </w:rPr>
            </w:pPr>
            <w:r>
              <w:rPr>
                <w:rFonts w:ascii="Arial" w:cs="Arial" w:eastAsia="Arial" w:hAnsi="Arial"/>
                <w:sz w:val="14"/>
                <w:szCs w:val="14"/>
                <w:color w:val="0E1020"/>
              </w:rPr>
              <w:t>3</w:t>
            </w:r>
          </w:p>
        </w:tc>
        <w:tc>
          <w:tcPr>
            <w:tcW w:w="1320" w:type="dxa"/>
            <w:vAlign w:val="bottom"/>
          </w:tcPr>
          <w:p>
            <w:pPr>
              <w:jc w:val="right"/>
              <w:ind w:right="49"/>
              <w:spacing w:after="0"/>
              <w:rPr>
                <w:sz w:val="20"/>
                <w:szCs w:val="20"/>
                <w:color w:val="auto"/>
              </w:rPr>
            </w:pPr>
            <w:r>
              <w:rPr>
                <w:rFonts w:ascii="Arial" w:cs="Arial" w:eastAsia="Arial" w:hAnsi="Arial"/>
                <w:sz w:val="14"/>
                <w:szCs w:val="14"/>
                <w:color w:val="0E1020"/>
              </w:rPr>
              <w:t>25</w:t>
            </w:r>
          </w:p>
        </w:tc>
      </w:tr>
      <w:tr>
        <w:trPr>
          <w:trHeight w:val="21"/>
        </w:trPr>
        <w:tc>
          <w:tcPr>
            <w:tcW w:w="6500" w:type="dxa"/>
            <w:vAlign w:val="bottom"/>
            <w:tcBorders>
              <w:bottom w:val="single" w:sz="8" w:color="CFCFD2"/>
            </w:tcBorders>
          </w:tcPr>
          <w:p>
            <w:pPr>
              <w:spacing w:after="0" w:line="20" w:lineRule="exact"/>
              <w:rPr>
                <w:sz w:val="1"/>
                <w:szCs w:val="1"/>
                <w:color w:val="auto"/>
              </w:rPr>
            </w:pPr>
          </w:p>
        </w:tc>
        <w:tc>
          <w:tcPr>
            <w:tcW w:w="3420" w:type="dxa"/>
            <w:vAlign w:val="bottom"/>
            <w:tcBorders>
              <w:bottom w:val="single" w:sz="8" w:color="CFCFD2"/>
            </w:tcBorders>
          </w:tcPr>
          <w:p>
            <w:pPr>
              <w:spacing w:after="0" w:line="20" w:lineRule="exact"/>
              <w:rPr>
                <w:sz w:val="1"/>
                <w:szCs w:val="1"/>
                <w:color w:val="auto"/>
              </w:rPr>
            </w:pPr>
          </w:p>
        </w:tc>
        <w:tc>
          <w:tcPr>
            <w:tcW w:w="1320" w:type="dxa"/>
            <w:vAlign w:val="bottom"/>
            <w:tcBorders>
              <w:bottom w:val="single" w:sz="8" w:color="CFCFD2"/>
            </w:tcBorders>
          </w:tcPr>
          <w:p>
            <w:pPr>
              <w:spacing w:after="0" w:line="20" w:lineRule="exact"/>
              <w:rPr>
                <w:sz w:val="1"/>
                <w:szCs w:val="1"/>
                <w:color w:val="auto"/>
              </w:rPr>
            </w:pPr>
          </w:p>
        </w:tc>
      </w:tr>
      <w:tr>
        <w:trPr>
          <w:trHeight w:val="200"/>
        </w:trPr>
        <w:tc>
          <w:tcPr>
            <w:tcW w:w="6500" w:type="dxa"/>
            <w:vAlign w:val="bottom"/>
          </w:tcPr>
          <w:p>
            <w:pPr>
              <w:ind w:left="100"/>
              <w:spacing w:after="0"/>
              <w:rPr>
                <w:sz w:val="20"/>
                <w:szCs w:val="20"/>
                <w:color w:val="auto"/>
              </w:rPr>
            </w:pPr>
            <w:r>
              <w:rPr>
                <w:rFonts w:ascii="Arial" w:cs="Arial" w:eastAsia="Arial" w:hAnsi="Arial"/>
                <w:sz w:val="14"/>
                <w:szCs w:val="14"/>
                <w:color w:val="0E1020"/>
              </w:rPr>
              <w:t>Amortization of acquired intangible assets</w:t>
            </w:r>
          </w:p>
        </w:tc>
        <w:tc>
          <w:tcPr>
            <w:tcW w:w="3420" w:type="dxa"/>
            <w:vAlign w:val="bottom"/>
          </w:tcPr>
          <w:p>
            <w:pPr>
              <w:jc w:val="right"/>
              <w:ind w:right="1029"/>
              <w:spacing w:after="0"/>
              <w:rPr>
                <w:sz w:val="20"/>
                <w:szCs w:val="20"/>
                <w:color w:val="auto"/>
              </w:rPr>
            </w:pPr>
            <w:r>
              <w:rPr>
                <w:rFonts w:ascii="Arial" w:cs="Arial" w:eastAsia="Arial" w:hAnsi="Arial"/>
                <w:sz w:val="14"/>
                <w:szCs w:val="14"/>
                <w:color w:val="0E1020"/>
              </w:rPr>
              <w:t>349</w:t>
            </w:r>
          </w:p>
        </w:tc>
        <w:tc>
          <w:tcPr>
            <w:tcW w:w="1320" w:type="dxa"/>
            <w:vAlign w:val="bottom"/>
          </w:tcPr>
          <w:p>
            <w:pPr>
              <w:jc w:val="right"/>
              <w:ind w:right="49"/>
              <w:spacing w:after="0"/>
              <w:rPr>
                <w:sz w:val="20"/>
                <w:szCs w:val="20"/>
                <w:color w:val="auto"/>
              </w:rPr>
            </w:pPr>
            <w:r>
              <w:rPr>
                <w:rFonts w:ascii="Arial" w:cs="Arial" w:eastAsia="Arial" w:hAnsi="Arial"/>
                <w:sz w:val="14"/>
                <w:szCs w:val="14"/>
                <w:color w:val="0E1020"/>
              </w:rPr>
              <w:t>348</w:t>
            </w:r>
          </w:p>
        </w:tc>
      </w:tr>
      <w:tr>
        <w:trPr>
          <w:trHeight w:val="21"/>
        </w:trPr>
        <w:tc>
          <w:tcPr>
            <w:tcW w:w="6500" w:type="dxa"/>
            <w:vAlign w:val="bottom"/>
            <w:tcBorders>
              <w:bottom w:val="single" w:sz="8" w:color="CFCFD2"/>
            </w:tcBorders>
          </w:tcPr>
          <w:p>
            <w:pPr>
              <w:spacing w:after="0" w:line="20" w:lineRule="exact"/>
              <w:rPr>
                <w:sz w:val="1"/>
                <w:szCs w:val="1"/>
                <w:color w:val="auto"/>
              </w:rPr>
            </w:pPr>
          </w:p>
        </w:tc>
        <w:tc>
          <w:tcPr>
            <w:tcW w:w="3420" w:type="dxa"/>
            <w:vAlign w:val="bottom"/>
            <w:tcBorders>
              <w:bottom w:val="single" w:sz="8" w:color="CFCFD2"/>
            </w:tcBorders>
          </w:tcPr>
          <w:p>
            <w:pPr>
              <w:spacing w:after="0" w:line="20" w:lineRule="exact"/>
              <w:rPr>
                <w:sz w:val="1"/>
                <w:szCs w:val="1"/>
                <w:color w:val="auto"/>
              </w:rPr>
            </w:pPr>
          </w:p>
        </w:tc>
        <w:tc>
          <w:tcPr>
            <w:tcW w:w="1320" w:type="dxa"/>
            <w:vAlign w:val="bottom"/>
            <w:tcBorders>
              <w:bottom w:val="single" w:sz="8" w:color="CFCFD2"/>
            </w:tcBorders>
          </w:tcPr>
          <w:p>
            <w:pPr>
              <w:spacing w:after="0" w:line="20" w:lineRule="exact"/>
              <w:rPr>
                <w:sz w:val="1"/>
                <w:szCs w:val="1"/>
                <w:color w:val="auto"/>
              </w:rPr>
            </w:pPr>
          </w:p>
        </w:tc>
      </w:tr>
      <w:tr>
        <w:trPr>
          <w:trHeight w:val="200"/>
        </w:trPr>
        <w:tc>
          <w:tcPr>
            <w:tcW w:w="6500" w:type="dxa"/>
            <w:vAlign w:val="bottom"/>
          </w:tcPr>
          <w:p>
            <w:pPr>
              <w:ind w:left="100"/>
              <w:spacing w:after="0"/>
              <w:rPr>
                <w:sz w:val="20"/>
                <w:szCs w:val="20"/>
                <w:color w:val="auto"/>
              </w:rPr>
            </w:pPr>
            <w:r>
              <w:rPr>
                <w:rFonts w:ascii="Arial" w:cs="Arial" w:eastAsia="Arial" w:hAnsi="Arial"/>
                <w:sz w:val="14"/>
                <w:szCs w:val="14"/>
                <w:color w:val="0E1020"/>
              </w:rPr>
              <w:t>Merger related indemnification</w:t>
            </w:r>
          </w:p>
        </w:tc>
        <w:tc>
          <w:tcPr>
            <w:tcW w:w="3420" w:type="dxa"/>
            <w:vAlign w:val="bottom"/>
          </w:tcPr>
          <w:p>
            <w:pPr>
              <w:jc w:val="right"/>
              <w:ind w:right="1029"/>
              <w:spacing w:after="0"/>
              <w:rPr>
                <w:sz w:val="20"/>
                <w:szCs w:val="20"/>
                <w:color w:val="auto"/>
              </w:rPr>
            </w:pPr>
            <w:r>
              <w:rPr>
                <w:rFonts w:ascii="Arial" w:cs="Arial" w:eastAsia="Arial" w:hAnsi="Arial"/>
                <w:sz w:val="14"/>
                <w:szCs w:val="14"/>
                <w:color w:val="0E1020"/>
              </w:rPr>
              <w:t>(35)</w:t>
            </w:r>
          </w:p>
        </w:tc>
        <w:tc>
          <w:tcPr>
            <w:tcW w:w="1320" w:type="dxa"/>
            <w:vAlign w:val="bottom"/>
          </w:tcPr>
          <w:p>
            <w:pPr>
              <w:jc w:val="right"/>
              <w:ind w:right="49"/>
              <w:spacing w:after="0"/>
              <w:rPr>
                <w:sz w:val="20"/>
                <w:szCs w:val="20"/>
                <w:color w:val="auto"/>
              </w:rPr>
            </w:pPr>
            <w:r>
              <w:rPr>
                <w:rFonts w:ascii="Arial" w:cs="Arial" w:eastAsia="Arial" w:hAnsi="Arial"/>
                <w:sz w:val="14"/>
                <w:szCs w:val="14"/>
                <w:color w:val="0E1020"/>
              </w:rPr>
              <w:t>2</w:t>
            </w:r>
          </w:p>
        </w:tc>
      </w:tr>
      <w:tr>
        <w:trPr>
          <w:trHeight w:val="21"/>
        </w:trPr>
        <w:tc>
          <w:tcPr>
            <w:tcW w:w="6500" w:type="dxa"/>
            <w:vAlign w:val="bottom"/>
            <w:tcBorders>
              <w:bottom w:val="single" w:sz="8" w:color="CFCFD2"/>
            </w:tcBorders>
          </w:tcPr>
          <w:p>
            <w:pPr>
              <w:spacing w:after="0" w:line="20" w:lineRule="exact"/>
              <w:rPr>
                <w:sz w:val="1"/>
                <w:szCs w:val="1"/>
                <w:color w:val="auto"/>
              </w:rPr>
            </w:pPr>
          </w:p>
        </w:tc>
        <w:tc>
          <w:tcPr>
            <w:tcW w:w="3420" w:type="dxa"/>
            <w:vAlign w:val="bottom"/>
            <w:tcBorders>
              <w:bottom w:val="single" w:sz="8" w:color="CFCFD2"/>
            </w:tcBorders>
          </w:tcPr>
          <w:p>
            <w:pPr>
              <w:spacing w:after="0" w:line="20" w:lineRule="exact"/>
              <w:rPr>
                <w:sz w:val="1"/>
                <w:szCs w:val="1"/>
                <w:color w:val="auto"/>
              </w:rPr>
            </w:pPr>
          </w:p>
        </w:tc>
        <w:tc>
          <w:tcPr>
            <w:tcW w:w="1320" w:type="dxa"/>
            <w:vAlign w:val="bottom"/>
            <w:tcBorders>
              <w:bottom w:val="single" w:sz="8" w:color="CFCFD2"/>
            </w:tcBorders>
          </w:tcPr>
          <w:p>
            <w:pPr>
              <w:spacing w:after="0" w:line="20" w:lineRule="exact"/>
              <w:rPr>
                <w:sz w:val="1"/>
                <w:szCs w:val="1"/>
                <w:color w:val="auto"/>
              </w:rPr>
            </w:pPr>
          </w:p>
        </w:tc>
      </w:tr>
      <w:tr>
        <w:trPr>
          <w:trHeight w:val="200"/>
        </w:trPr>
        <w:tc>
          <w:tcPr>
            <w:tcW w:w="6500" w:type="dxa"/>
            <w:vAlign w:val="bottom"/>
          </w:tcPr>
          <w:p>
            <w:pPr>
              <w:ind w:left="100"/>
              <w:spacing w:after="0"/>
              <w:rPr>
                <w:sz w:val="20"/>
                <w:szCs w:val="20"/>
                <w:color w:val="auto"/>
              </w:rPr>
            </w:pPr>
            <w:r>
              <w:rPr>
                <w:rFonts w:ascii="Arial" w:cs="Arial" w:eastAsia="Arial" w:hAnsi="Arial"/>
                <w:sz w:val="14"/>
                <w:szCs w:val="14"/>
                <w:color w:val="0E1020"/>
              </w:rPr>
              <w:t>Gains on dispositions</w:t>
            </w:r>
          </w:p>
        </w:tc>
        <w:tc>
          <w:tcPr>
            <w:tcW w:w="3420" w:type="dxa"/>
            <w:vAlign w:val="bottom"/>
          </w:tcPr>
          <w:p>
            <w:pPr>
              <w:jc w:val="right"/>
              <w:ind w:right="1029"/>
              <w:spacing w:after="0"/>
              <w:rPr>
                <w:sz w:val="20"/>
                <w:szCs w:val="20"/>
                <w:color w:val="auto"/>
              </w:rPr>
            </w:pPr>
            <w:r>
              <w:rPr>
                <w:rFonts w:ascii="Arial" w:cs="Arial" w:eastAsia="Arial" w:hAnsi="Arial"/>
                <w:sz w:val="14"/>
                <w:szCs w:val="14"/>
                <w:color w:val="0E1020"/>
              </w:rPr>
              <w:t>(1)</w:t>
            </w:r>
          </w:p>
        </w:tc>
        <w:tc>
          <w:tcPr>
            <w:tcW w:w="1320" w:type="dxa"/>
            <w:vAlign w:val="bottom"/>
          </w:tcPr>
          <w:p>
            <w:pPr>
              <w:jc w:val="right"/>
              <w:ind w:right="49"/>
              <w:spacing w:after="0"/>
              <w:rPr>
                <w:sz w:val="20"/>
                <w:szCs w:val="20"/>
                <w:color w:val="auto"/>
              </w:rPr>
            </w:pPr>
            <w:r>
              <w:rPr>
                <w:rFonts w:ascii="Arial" w:cs="Arial" w:eastAsia="Arial" w:hAnsi="Arial"/>
                <w:sz w:val="14"/>
                <w:szCs w:val="14"/>
                <w:color w:val="0E1020"/>
              </w:rPr>
              <w:t>(13)</w:t>
            </w:r>
          </w:p>
        </w:tc>
      </w:tr>
      <w:tr>
        <w:trPr>
          <w:trHeight w:val="21"/>
        </w:trPr>
        <w:tc>
          <w:tcPr>
            <w:tcW w:w="6500" w:type="dxa"/>
            <w:vAlign w:val="bottom"/>
            <w:tcBorders>
              <w:bottom w:val="single" w:sz="8" w:color="CFCFD2"/>
            </w:tcBorders>
          </w:tcPr>
          <w:p>
            <w:pPr>
              <w:spacing w:after="0" w:line="20" w:lineRule="exact"/>
              <w:rPr>
                <w:sz w:val="1"/>
                <w:szCs w:val="1"/>
                <w:color w:val="auto"/>
              </w:rPr>
            </w:pPr>
          </w:p>
        </w:tc>
        <w:tc>
          <w:tcPr>
            <w:tcW w:w="3420" w:type="dxa"/>
            <w:vAlign w:val="bottom"/>
            <w:tcBorders>
              <w:bottom w:val="single" w:sz="8" w:color="CFCFD2"/>
            </w:tcBorders>
          </w:tcPr>
          <w:p>
            <w:pPr>
              <w:spacing w:after="0" w:line="20" w:lineRule="exact"/>
              <w:rPr>
                <w:sz w:val="1"/>
                <w:szCs w:val="1"/>
                <w:color w:val="auto"/>
              </w:rPr>
            </w:pPr>
          </w:p>
        </w:tc>
        <w:tc>
          <w:tcPr>
            <w:tcW w:w="1320" w:type="dxa"/>
            <w:vAlign w:val="bottom"/>
            <w:tcBorders>
              <w:bottom w:val="single" w:sz="8" w:color="CFCFD2"/>
            </w:tcBorders>
          </w:tcPr>
          <w:p>
            <w:pPr>
              <w:spacing w:after="0" w:line="20" w:lineRule="exact"/>
              <w:rPr>
                <w:sz w:val="1"/>
                <w:szCs w:val="1"/>
                <w:color w:val="auto"/>
              </w:rPr>
            </w:pPr>
          </w:p>
        </w:tc>
      </w:tr>
      <w:tr>
        <w:trPr>
          <w:trHeight w:val="200"/>
        </w:trPr>
        <w:tc>
          <w:tcPr>
            <w:tcW w:w="6500" w:type="dxa"/>
            <w:vAlign w:val="bottom"/>
          </w:tcPr>
          <w:p>
            <w:pPr>
              <w:ind w:left="100"/>
              <w:spacing w:after="0"/>
              <w:rPr>
                <w:sz w:val="20"/>
                <w:szCs w:val="20"/>
                <w:color w:val="auto"/>
              </w:rPr>
            </w:pPr>
            <w:r>
              <w:rPr>
                <w:rFonts w:ascii="Arial" w:cs="Arial" w:eastAsia="Arial" w:hAnsi="Arial"/>
                <w:sz w:val="14"/>
                <w:szCs w:val="14"/>
                <w:color w:val="0E1020"/>
              </w:rPr>
              <w:t>Losses on real estate and facility sales</w:t>
            </w:r>
          </w:p>
        </w:tc>
        <w:tc>
          <w:tcPr>
            <w:tcW w:w="3420" w:type="dxa"/>
            <w:vAlign w:val="bottom"/>
          </w:tcPr>
          <w:p>
            <w:pPr>
              <w:jc w:val="right"/>
              <w:ind w:right="1029"/>
              <w:spacing w:after="0"/>
              <w:rPr>
                <w:sz w:val="20"/>
                <w:szCs w:val="20"/>
                <w:color w:val="auto"/>
              </w:rPr>
            </w:pPr>
            <w:r>
              <w:rPr>
                <w:rFonts w:ascii="Arial" w:cs="Arial" w:eastAsia="Arial" w:hAnsi="Arial"/>
                <w:sz w:val="14"/>
                <w:szCs w:val="14"/>
                <w:color w:val="0E1020"/>
              </w:rPr>
              <w:t>0</w:t>
            </w:r>
          </w:p>
        </w:tc>
        <w:tc>
          <w:tcPr>
            <w:tcW w:w="1320" w:type="dxa"/>
            <w:vAlign w:val="bottom"/>
          </w:tcPr>
          <w:p>
            <w:pPr>
              <w:jc w:val="right"/>
              <w:ind w:right="49"/>
              <w:spacing w:after="0"/>
              <w:rPr>
                <w:sz w:val="20"/>
                <w:szCs w:val="20"/>
                <w:color w:val="auto"/>
              </w:rPr>
            </w:pPr>
            <w:r>
              <w:rPr>
                <w:rFonts w:ascii="Arial" w:cs="Arial" w:eastAsia="Arial" w:hAnsi="Arial"/>
                <w:sz w:val="14"/>
                <w:szCs w:val="14"/>
                <w:color w:val="0E1020"/>
              </w:rPr>
              <w:t>23</w:t>
            </w:r>
          </w:p>
        </w:tc>
      </w:tr>
      <w:tr>
        <w:trPr>
          <w:trHeight w:val="21"/>
        </w:trPr>
        <w:tc>
          <w:tcPr>
            <w:tcW w:w="6500" w:type="dxa"/>
            <w:vAlign w:val="bottom"/>
            <w:tcBorders>
              <w:bottom w:val="single" w:sz="8" w:color="CFCFD2"/>
            </w:tcBorders>
          </w:tcPr>
          <w:p>
            <w:pPr>
              <w:spacing w:after="0" w:line="20" w:lineRule="exact"/>
              <w:rPr>
                <w:sz w:val="1"/>
                <w:szCs w:val="1"/>
                <w:color w:val="auto"/>
              </w:rPr>
            </w:pPr>
          </w:p>
        </w:tc>
        <w:tc>
          <w:tcPr>
            <w:tcW w:w="3420" w:type="dxa"/>
            <w:vAlign w:val="bottom"/>
            <w:tcBorders>
              <w:bottom w:val="single" w:sz="8" w:color="CFCFD2"/>
            </w:tcBorders>
          </w:tcPr>
          <w:p>
            <w:pPr>
              <w:spacing w:after="0" w:line="20" w:lineRule="exact"/>
              <w:rPr>
                <w:sz w:val="1"/>
                <w:szCs w:val="1"/>
                <w:color w:val="auto"/>
              </w:rPr>
            </w:pPr>
          </w:p>
        </w:tc>
        <w:tc>
          <w:tcPr>
            <w:tcW w:w="1320" w:type="dxa"/>
            <w:vAlign w:val="bottom"/>
            <w:tcBorders>
              <w:bottom w:val="single" w:sz="8" w:color="CFCFD2"/>
            </w:tcBorders>
          </w:tcPr>
          <w:p>
            <w:pPr>
              <w:spacing w:after="0" w:line="20" w:lineRule="exact"/>
              <w:rPr>
                <w:sz w:val="1"/>
                <w:szCs w:val="1"/>
                <w:color w:val="auto"/>
              </w:rPr>
            </w:pPr>
          </w:p>
        </w:tc>
      </w:tr>
      <w:tr>
        <w:trPr>
          <w:trHeight w:val="200"/>
        </w:trPr>
        <w:tc>
          <w:tcPr>
            <w:tcW w:w="6500" w:type="dxa"/>
            <w:vAlign w:val="bottom"/>
          </w:tcPr>
          <w:p>
            <w:pPr>
              <w:ind w:left="100"/>
              <w:spacing w:after="0"/>
              <w:rPr>
                <w:sz w:val="20"/>
                <w:szCs w:val="20"/>
                <w:color w:val="auto"/>
              </w:rPr>
            </w:pPr>
            <w:r>
              <w:rPr>
                <w:rFonts w:ascii="Arial" w:cs="Arial" w:eastAsia="Arial" w:hAnsi="Arial"/>
                <w:sz w:val="14"/>
                <w:szCs w:val="14"/>
                <w:color w:val="0E1020"/>
              </w:rPr>
              <w:t>Pension and OPEB actuarial and settlement losses (gains)</w:t>
            </w:r>
          </w:p>
        </w:tc>
        <w:tc>
          <w:tcPr>
            <w:tcW w:w="3420" w:type="dxa"/>
            <w:vAlign w:val="bottom"/>
          </w:tcPr>
          <w:p>
            <w:pPr>
              <w:jc w:val="right"/>
              <w:ind w:right="1029"/>
              <w:spacing w:after="0"/>
              <w:rPr>
                <w:sz w:val="20"/>
                <w:szCs w:val="20"/>
                <w:color w:val="auto"/>
              </w:rPr>
            </w:pPr>
            <w:r>
              <w:rPr>
                <w:rFonts w:ascii="Arial" w:cs="Arial" w:eastAsia="Arial" w:hAnsi="Arial"/>
                <w:sz w:val="14"/>
                <w:szCs w:val="14"/>
                <w:color w:val="0E1020"/>
              </w:rPr>
              <w:t>169</w:t>
            </w:r>
          </w:p>
        </w:tc>
        <w:tc>
          <w:tcPr>
            <w:tcW w:w="1320" w:type="dxa"/>
            <w:vAlign w:val="bottom"/>
          </w:tcPr>
          <w:p>
            <w:pPr>
              <w:jc w:val="right"/>
              <w:ind w:right="49"/>
              <w:spacing w:after="0"/>
              <w:rPr>
                <w:sz w:val="20"/>
                <w:szCs w:val="20"/>
                <w:color w:val="auto"/>
              </w:rPr>
            </w:pPr>
            <w:r>
              <w:rPr>
                <w:rFonts w:ascii="Arial" w:cs="Arial" w:eastAsia="Arial" w:hAnsi="Arial"/>
                <w:sz w:val="14"/>
                <w:szCs w:val="14"/>
                <w:color w:val="0E1020"/>
              </w:rPr>
              <w:t>(232)</w:t>
            </w:r>
          </w:p>
        </w:tc>
      </w:tr>
      <w:tr>
        <w:trPr>
          <w:trHeight w:val="21"/>
        </w:trPr>
        <w:tc>
          <w:tcPr>
            <w:tcW w:w="6500" w:type="dxa"/>
            <w:vAlign w:val="bottom"/>
            <w:tcBorders>
              <w:bottom w:val="single" w:sz="8" w:color="CFCFD2"/>
            </w:tcBorders>
          </w:tcPr>
          <w:p>
            <w:pPr>
              <w:spacing w:after="0" w:line="20" w:lineRule="exact"/>
              <w:rPr>
                <w:sz w:val="1"/>
                <w:szCs w:val="1"/>
                <w:color w:val="auto"/>
              </w:rPr>
            </w:pPr>
          </w:p>
        </w:tc>
        <w:tc>
          <w:tcPr>
            <w:tcW w:w="3420" w:type="dxa"/>
            <w:vAlign w:val="bottom"/>
            <w:tcBorders>
              <w:bottom w:val="single" w:sz="8" w:color="CFCFD2"/>
            </w:tcBorders>
          </w:tcPr>
          <w:p>
            <w:pPr>
              <w:spacing w:after="0" w:line="20" w:lineRule="exact"/>
              <w:rPr>
                <w:sz w:val="1"/>
                <w:szCs w:val="1"/>
                <w:color w:val="auto"/>
              </w:rPr>
            </w:pPr>
          </w:p>
        </w:tc>
        <w:tc>
          <w:tcPr>
            <w:tcW w:w="1320" w:type="dxa"/>
            <w:vAlign w:val="bottom"/>
            <w:tcBorders>
              <w:bottom w:val="single" w:sz="8" w:color="CFCFD2"/>
            </w:tcBorders>
          </w:tcPr>
          <w:p>
            <w:pPr>
              <w:spacing w:after="0" w:line="20" w:lineRule="exact"/>
              <w:rPr>
                <w:sz w:val="1"/>
                <w:szCs w:val="1"/>
                <w:color w:val="auto"/>
              </w:rPr>
            </w:pPr>
          </w:p>
        </w:tc>
      </w:tr>
      <w:tr>
        <w:trPr>
          <w:trHeight w:val="200"/>
        </w:trPr>
        <w:tc>
          <w:tcPr>
            <w:tcW w:w="6500" w:type="dxa"/>
            <w:vAlign w:val="bottom"/>
          </w:tcPr>
          <w:p>
            <w:pPr>
              <w:ind w:left="100"/>
              <w:spacing w:after="0"/>
              <w:rPr>
                <w:sz w:val="20"/>
                <w:szCs w:val="20"/>
                <w:color w:val="auto"/>
              </w:rPr>
            </w:pPr>
            <w:r>
              <w:rPr>
                <w:rFonts w:ascii="Arial" w:cs="Arial" w:eastAsia="Arial" w:hAnsi="Arial"/>
                <w:sz w:val="14"/>
                <w:szCs w:val="14"/>
                <w:color w:val="0E1020"/>
              </w:rPr>
              <w:t>Impairment losses</w:t>
            </w:r>
          </w:p>
        </w:tc>
        <w:tc>
          <w:tcPr>
            <w:tcW w:w="3420" w:type="dxa"/>
            <w:vAlign w:val="bottom"/>
          </w:tcPr>
          <w:p>
            <w:pPr>
              <w:jc w:val="right"/>
              <w:ind w:right="1029"/>
              <w:spacing w:after="0"/>
              <w:rPr>
                <w:sz w:val="20"/>
                <w:szCs w:val="20"/>
                <w:color w:val="auto"/>
              </w:rPr>
            </w:pPr>
            <w:r>
              <w:rPr>
                <w:rFonts w:ascii="Arial" w:cs="Arial" w:eastAsia="Arial" w:hAnsi="Arial"/>
                <w:sz w:val="14"/>
                <w:szCs w:val="14"/>
                <w:color w:val="0E1020"/>
              </w:rPr>
              <w:t>17</w:t>
            </w:r>
          </w:p>
        </w:tc>
        <w:tc>
          <w:tcPr>
            <w:tcW w:w="1320" w:type="dxa"/>
            <w:vAlign w:val="bottom"/>
          </w:tcPr>
          <w:p>
            <w:pPr>
              <w:jc w:val="right"/>
              <w:ind w:right="49"/>
              <w:spacing w:after="0"/>
              <w:rPr>
                <w:sz w:val="20"/>
                <w:szCs w:val="20"/>
                <w:color w:val="auto"/>
              </w:rPr>
            </w:pPr>
            <w:r>
              <w:rPr>
                <w:rFonts w:ascii="Arial" w:cs="Arial" w:eastAsia="Arial" w:hAnsi="Arial"/>
                <w:sz w:val="14"/>
                <w:szCs w:val="14"/>
                <w:color w:val="0E1020"/>
              </w:rPr>
              <w:t>17</w:t>
            </w:r>
          </w:p>
        </w:tc>
      </w:tr>
      <w:tr>
        <w:trPr>
          <w:trHeight w:val="21"/>
        </w:trPr>
        <w:tc>
          <w:tcPr>
            <w:tcW w:w="6500" w:type="dxa"/>
            <w:vAlign w:val="bottom"/>
            <w:tcBorders>
              <w:bottom w:val="single" w:sz="8" w:color="CFCFD2"/>
            </w:tcBorders>
          </w:tcPr>
          <w:p>
            <w:pPr>
              <w:spacing w:after="0" w:line="20" w:lineRule="exact"/>
              <w:rPr>
                <w:sz w:val="1"/>
                <w:szCs w:val="1"/>
                <w:color w:val="auto"/>
              </w:rPr>
            </w:pPr>
          </w:p>
        </w:tc>
        <w:tc>
          <w:tcPr>
            <w:tcW w:w="3420" w:type="dxa"/>
            <w:vAlign w:val="bottom"/>
            <w:tcBorders>
              <w:bottom w:val="single" w:sz="8" w:color="CFCFD2"/>
            </w:tcBorders>
          </w:tcPr>
          <w:p>
            <w:pPr>
              <w:spacing w:after="0" w:line="20" w:lineRule="exact"/>
              <w:rPr>
                <w:sz w:val="1"/>
                <w:szCs w:val="1"/>
                <w:color w:val="auto"/>
              </w:rPr>
            </w:pPr>
          </w:p>
        </w:tc>
        <w:tc>
          <w:tcPr>
            <w:tcW w:w="1320" w:type="dxa"/>
            <w:vAlign w:val="bottom"/>
            <w:tcBorders>
              <w:bottom w:val="single" w:sz="8" w:color="CFCFD2"/>
            </w:tcBorders>
          </w:tcPr>
          <w:p>
            <w:pPr>
              <w:spacing w:after="0" w:line="20" w:lineRule="exact"/>
              <w:rPr>
                <w:sz w:val="1"/>
                <w:szCs w:val="1"/>
                <w:color w:val="auto"/>
              </w:rPr>
            </w:pPr>
          </w:p>
        </w:tc>
      </w:tr>
      <w:tr>
        <w:trPr>
          <w:trHeight w:val="215"/>
        </w:trPr>
        <w:tc>
          <w:tcPr>
            <w:tcW w:w="6500" w:type="dxa"/>
            <w:vAlign w:val="bottom"/>
            <w:tcBorders>
              <w:bottom w:val="single" w:sz="8" w:color="CFCFD2"/>
            </w:tcBorders>
            <w:shd w:val="clear" w:color="auto" w:fill="F6F3F0"/>
          </w:tcPr>
          <w:p>
            <w:pPr>
              <w:ind w:left="100"/>
              <w:spacing w:after="0"/>
              <w:rPr>
                <w:sz w:val="20"/>
                <w:szCs w:val="20"/>
                <w:color w:val="auto"/>
              </w:rPr>
            </w:pPr>
            <w:r>
              <w:rPr>
                <w:rFonts w:ascii="Arial" w:cs="Arial" w:eastAsia="Arial" w:hAnsi="Arial"/>
                <w:sz w:val="14"/>
                <w:szCs w:val="14"/>
                <w:b w:val="1"/>
                <w:bCs w:val="1"/>
                <w:color w:val="0E1020"/>
              </w:rPr>
              <w:t>Adjusted EBIT</w:t>
            </w:r>
          </w:p>
        </w:tc>
        <w:tc>
          <w:tcPr>
            <w:tcW w:w="3420" w:type="dxa"/>
            <w:vAlign w:val="bottom"/>
            <w:tcBorders>
              <w:bottom w:val="single" w:sz="8" w:color="CFCFD2"/>
            </w:tcBorders>
            <w:shd w:val="clear" w:color="auto" w:fill="F6F3F0"/>
          </w:tcPr>
          <w:p>
            <w:pPr>
              <w:jc w:val="right"/>
              <w:ind w:right="1029"/>
              <w:spacing w:after="0"/>
              <w:rPr>
                <w:sz w:val="20"/>
                <w:szCs w:val="20"/>
                <w:color w:val="auto"/>
              </w:rPr>
            </w:pPr>
            <w:r>
              <w:rPr>
                <w:rFonts w:ascii="Arial" w:cs="Arial" w:eastAsia="Arial" w:hAnsi="Arial"/>
                <w:sz w:val="14"/>
                <w:szCs w:val="14"/>
                <w:b w:val="1"/>
                <w:bCs w:val="1"/>
                <w:color w:val="0E1020"/>
              </w:rPr>
              <w:t>970</w:t>
            </w:r>
          </w:p>
        </w:tc>
        <w:tc>
          <w:tcPr>
            <w:tcW w:w="1320" w:type="dxa"/>
            <w:vAlign w:val="bottom"/>
            <w:tcBorders>
              <w:bottom w:val="single" w:sz="8" w:color="CFCFD2"/>
            </w:tcBorders>
            <w:shd w:val="clear" w:color="auto" w:fill="F6F3F0"/>
          </w:tcPr>
          <w:p>
            <w:pPr>
              <w:jc w:val="right"/>
              <w:ind w:right="49"/>
              <w:spacing w:after="0"/>
              <w:rPr>
                <w:sz w:val="20"/>
                <w:szCs w:val="20"/>
                <w:color w:val="auto"/>
              </w:rPr>
            </w:pPr>
            <w:r>
              <w:rPr>
                <w:rFonts w:ascii="Arial" w:cs="Arial" w:eastAsia="Arial" w:hAnsi="Arial"/>
                <w:sz w:val="14"/>
                <w:szCs w:val="14"/>
                <w:b w:val="1"/>
                <w:bCs w:val="1"/>
                <w:color w:val="0E1020"/>
              </w:rPr>
              <w:t>1,019</w:t>
            </w:r>
          </w:p>
        </w:tc>
      </w:tr>
      <w:tr>
        <w:trPr>
          <w:trHeight w:val="207"/>
        </w:trPr>
        <w:tc>
          <w:tcPr>
            <w:tcW w:w="6500" w:type="dxa"/>
            <w:vAlign w:val="bottom"/>
          </w:tcPr>
          <w:p>
            <w:pPr>
              <w:ind w:left="100"/>
              <w:spacing w:after="0"/>
              <w:rPr>
                <w:sz w:val="20"/>
                <w:szCs w:val="20"/>
                <w:color w:val="auto"/>
              </w:rPr>
            </w:pPr>
            <w:r>
              <w:rPr>
                <w:rFonts w:ascii="Arial" w:cs="Arial" w:eastAsia="Arial" w:hAnsi="Arial"/>
                <w:sz w:val="14"/>
                <w:szCs w:val="14"/>
                <w:color w:val="0E1020"/>
              </w:rPr>
              <w:t>Net Income Margin</w:t>
            </w:r>
          </w:p>
        </w:tc>
        <w:tc>
          <w:tcPr>
            <w:tcW w:w="3420" w:type="dxa"/>
            <w:vAlign w:val="bottom"/>
          </w:tcPr>
          <w:p>
            <w:pPr>
              <w:jc w:val="right"/>
              <w:ind w:right="1029"/>
              <w:spacing w:after="0"/>
              <w:rPr>
                <w:sz w:val="20"/>
                <w:szCs w:val="20"/>
                <w:color w:val="auto"/>
              </w:rPr>
            </w:pPr>
            <w:r>
              <w:rPr>
                <w:rFonts w:ascii="Arial" w:cs="Arial" w:eastAsia="Arial" w:hAnsi="Arial"/>
                <w:sz w:val="14"/>
                <w:szCs w:val="14"/>
                <w:color w:val="0E1020"/>
              </w:rPr>
              <w:t>0.2 %</w:t>
            </w:r>
          </w:p>
        </w:tc>
        <w:tc>
          <w:tcPr>
            <w:tcW w:w="1320" w:type="dxa"/>
            <w:vAlign w:val="bottom"/>
          </w:tcPr>
          <w:p>
            <w:pPr>
              <w:jc w:val="right"/>
              <w:ind w:right="49"/>
              <w:spacing w:after="0"/>
              <w:rPr>
                <w:sz w:val="20"/>
                <w:szCs w:val="20"/>
                <w:color w:val="auto"/>
              </w:rPr>
            </w:pPr>
            <w:r>
              <w:rPr>
                <w:rFonts w:ascii="Arial" w:cs="Arial" w:eastAsia="Arial" w:hAnsi="Arial"/>
                <w:sz w:val="14"/>
                <w:szCs w:val="14"/>
                <w:color w:val="0E1020"/>
              </w:rPr>
              <w:t>3.1 %</w:t>
            </w:r>
          </w:p>
        </w:tc>
      </w:tr>
      <w:tr>
        <w:trPr>
          <w:trHeight w:val="21"/>
        </w:trPr>
        <w:tc>
          <w:tcPr>
            <w:tcW w:w="6500" w:type="dxa"/>
            <w:vAlign w:val="bottom"/>
            <w:tcBorders>
              <w:bottom w:val="single" w:sz="8" w:color="CFCFD2"/>
            </w:tcBorders>
          </w:tcPr>
          <w:p>
            <w:pPr>
              <w:spacing w:after="0" w:line="20" w:lineRule="exact"/>
              <w:rPr>
                <w:sz w:val="1"/>
                <w:szCs w:val="1"/>
                <w:color w:val="auto"/>
              </w:rPr>
            </w:pPr>
          </w:p>
        </w:tc>
        <w:tc>
          <w:tcPr>
            <w:tcW w:w="3420" w:type="dxa"/>
            <w:vAlign w:val="bottom"/>
            <w:tcBorders>
              <w:bottom w:val="single" w:sz="8" w:color="CFCFD2"/>
            </w:tcBorders>
          </w:tcPr>
          <w:p>
            <w:pPr>
              <w:spacing w:after="0" w:line="20" w:lineRule="exact"/>
              <w:rPr>
                <w:sz w:val="1"/>
                <w:szCs w:val="1"/>
                <w:color w:val="auto"/>
              </w:rPr>
            </w:pPr>
          </w:p>
        </w:tc>
        <w:tc>
          <w:tcPr>
            <w:tcW w:w="1320" w:type="dxa"/>
            <w:vAlign w:val="bottom"/>
            <w:tcBorders>
              <w:bottom w:val="single" w:sz="8" w:color="CFCFD2"/>
            </w:tcBorders>
          </w:tcPr>
          <w:p>
            <w:pPr>
              <w:spacing w:after="0" w:line="20" w:lineRule="exact"/>
              <w:rPr>
                <w:sz w:val="1"/>
                <w:szCs w:val="1"/>
                <w:color w:val="auto"/>
              </w:rPr>
            </w:pPr>
          </w:p>
        </w:tc>
      </w:tr>
      <w:tr>
        <w:trPr>
          <w:trHeight w:val="200"/>
        </w:trPr>
        <w:tc>
          <w:tcPr>
            <w:tcW w:w="6500" w:type="dxa"/>
            <w:vAlign w:val="bottom"/>
          </w:tcPr>
          <w:p>
            <w:pPr>
              <w:ind w:left="100"/>
              <w:spacing w:after="0"/>
              <w:rPr>
                <w:sz w:val="20"/>
                <w:szCs w:val="20"/>
                <w:color w:val="auto"/>
              </w:rPr>
            </w:pPr>
            <w:r>
              <w:rPr>
                <w:rFonts w:ascii="Arial" w:cs="Arial" w:eastAsia="Arial" w:hAnsi="Arial"/>
                <w:sz w:val="14"/>
                <w:szCs w:val="14"/>
                <w:color w:val="0E1020"/>
              </w:rPr>
              <w:t>EBIT Margin</w:t>
            </w:r>
          </w:p>
        </w:tc>
        <w:tc>
          <w:tcPr>
            <w:tcW w:w="3420" w:type="dxa"/>
            <w:vAlign w:val="bottom"/>
          </w:tcPr>
          <w:p>
            <w:pPr>
              <w:jc w:val="right"/>
              <w:ind w:right="1029"/>
              <w:spacing w:after="0"/>
              <w:rPr>
                <w:sz w:val="20"/>
                <w:szCs w:val="20"/>
                <w:color w:val="auto"/>
              </w:rPr>
            </w:pPr>
            <w:r>
              <w:rPr>
                <w:rFonts w:ascii="Arial" w:cs="Arial" w:eastAsia="Arial" w:hAnsi="Arial"/>
                <w:sz w:val="14"/>
                <w:szCs w:val="14"/>
                <w:color w:val="0E1020"/>
              </w:rPr>
              <w:t>2.8 %</w:t>
            </w:r>
          </w:p>
        </w:tc>
        <w:tc>
          <w:tcPr>
            <w:tcW w:w="1320" w:type="dxa"/>
            <w:vAlign w:val="bottom"/>
          </w:tcPr>
          <w:p>
            <w:pPr>
              <w:jc w:val="right"/>
              <w:ind w:right="49"/>
              <w:spacing w:after="0"/>
              <w:rPr>
                <w:sz w:val="20"/>
                <w:szCs w:val="20"/>
                <w:color w:val="auto"/>
              </w:rPr>
            </w:pPr>
            <w:r>
              <w:rPr>
                <w:rFonts w:ascii="Arial" w:cs="Arial" w:eastAsia="Arial" w:hAnsi="Arial"/>
                <w:sz w:val="14"/>
                <w:szCs w:val="14"/>
                <w:color w:val="0E1020"/>
              </w:rPr>
              <w:t>5.4 %</w:t>
            </w:r>
          </w:p>
        </w:tc>
      </w:tr>
      <w:tr>
        <w:trPr>
          <w:trHeight w:val="21"/>
        </w:trPr>
        <w:tc>
          <w:tcPr>
            <w:tcW w:w="6500" w:type="dxa"/>
            <w:vAlign w:val="bottom"/>
            <w:tcBorders>
              <w:bottom w:val="single" w:sz="8" w:color="CFCFD2"/>
            </w:tcBorders>
          </w:tcPr>
          <w:p>
            <w:pPr>
              <w:spacing w:after="0" w:line="20" w:lineRule="exact"/>
              <w:rPr>
                <w:sz w:val="1"/>
                <w:szCs w:val="1"/>
                <w:color w:val="auto"/>
              </w:rPr>
            </w:pPr>
          </w:p>
        </w:tc>
        <w:tc>
          <w:tcPr>
            <w:tcW w:w="3420" w:type="dxa"/>
            <w:vAlign w:val="bottom"/>
            <w:tcBorders>
              <w:bottom w:val="single" w:sz="8" w:color="CFCFD2"/>
            </w:tcBorders>
          </w:tcPr>
          <w:p>
            <w:pPr>
              <w:spacing w:after="0" w:line="20" w:lineRule="exact"/>
              <w:rPr>
                <w:sz w:val="1"/>
                <w:szCs w:val="1"/>
                <w:color w:val="auto"/>
              </w:rPr>
            </w:pPr>
          </w:p>
        </w:tc>
        <w:tc>
          <w:tcPr>
            <w:tcW w:w="1320" w:type="dxa"/>
            <w:vAlign w:val="bottom"/>
            <w:tcBorders>
              <w:bottom w:val="single" w:sz="8" w:color="CFCFD2"/>
            </w:tcBorders>
          </w:tcPr>
          <w:p>
            <w:pPr>
              <w:spacing w:after="0" w:line="20" w:lineRule="exact"/>
              <w:rPr>
                <w:sz w:val="1"/>
                <w:szCs w:val="1"/>
                <w:color w:val="auto"/>
              </w:rPr>
            </w:pPr>
          </w:p>
        </w:tc>
      </w:tr>
      <w:tr>
        <w:trPr>
          <w:trHeight w:val="228"/>
        </w:trPr>
        <w:tc>
          <w:tcPr>
            <w:tcW w:w="6500" w:type="dxa"/>
            <w:vAlign w:val="bottom"/>
            <w:tcBorders>
              <w:bottom w:val="single" w:sz="8" w:color="F6F3F0"/>
            </w:tcBorders>
            <w:shd w:val="clear" w:color="auto" w:fill="F6F3F0"/>
          </w:tcPr>
          <w:p>
            <w:pPr>
              <w:ind w:left="100"/>
              <w:spacing w:after="0"/>
              <w:rPr>
                <w:sz w:val="20"/>
                <w:szCs w:val="20"/>
                <w:color w:val="auto"/>
              </w:rPr>
            </w:pPr>
            <w:r>
              <w:rPr>
                <w:rFonts w:ascii="Arial" w:cs="Arial" w:eastAsia="Arial" w:hAnsi="Arial"/>
                <w:sz w:val="14"/>
                <w:szCs w:val="14"/>
                <w:b w:val="1"/>
                <w:bCs w:val="1"/>
                <w:color w:val="0E1020"/>
              </w:rPr>
              <w:t>Adjusted EBIT Margin</w:t>
            </w:r>
          </w:p>
        </w:tc>
        <w:tc>
          <w:tcPr>
            <w:tcW w:w="3420" w:type="dxa"/>
            <w:vAlign w:val="bottom"/>
            <w:tcBorders>
              <w:bottom w:val="single" w:sz="8" w:color="F6F3F0"/>
            </w:tcBorders>
            <w:shd w:val="clear" w:color="auto" w:fill="F6F3F0"/>
          </w:tcPr>
          <w:p>
            <w:pPr>
              <w:jc w:val="right"/>
              <w:ind w:right="1029"/>
              <w:spacing w:after="0"/>
              <w:rPr>
                <w:sz w:val="20"/>
                <w:szCs w:val="20"/>
                <w:color w:val="auto"/>
              </w:rPr>
            </w:pPr>
            <w:r>
              <w:rPr>
                <w:rFonts w:ascii="Arial" w:cs="Arial" w:eastAsia="Arial" w:hAnsi="Arial"/>
                <w:sz w:val="14"/>
                <w:szCs w:val="14"/>
                <w:b w:val="1"/>
                <w:bCs w:val="1"/>
                <w:color w:val="0E1020"/>
              </w:rPr>
              <w:t>7.7 %</w:t>
            </w:r>
          </w:p>
        </w:tc>
        <w:tc>
          <w:tcPr>
            <w:tcW w:w="1320" w:type="dxa"/>
            <w:vAlign w:val="bottom"/>
            <w:tcBorders>
              <w:bottom w:val="single" w:sz="8" w:color="F6F3F0"/>
            </w:tcBorders>
            <w:shd w:val="clear" w:color="auto" w:fill="F6F3F0"/>
          </w:tcPr>
          <w:p>
            <w:pPr>
              <w:jc w:val="right"/>
              <w:ind w:right="49"/>
              <w:spacing w:after="0"/>
              <w:rPr>
                <w:sz w:val="20"/>
                <w:szCs w:val="20"/>
                <w:color w:val="auto"/>
              </w:rPr>
            </w:pPr>
            <w:r>
              <w:rPr>
                <w:rFonts w:ascii="Arial" w:cs="Arial" w:eastAsia="Arial" w:hAnsi="Arial"/>
                <w:sz w:val="14"/>
                <w:szCs w:val="14"/>
                <w:b w:val="1"/>
                <w:bCs w:val="1"/>
                <w:color w:val="0E1020"/>
              </w:rPr>
              <w:t>7.9 %</w:t>
            </w:r>
          </w:p>
        </w:tc>
      </w:tr>
      <w:tr>
        <w:trPr>
          <w:trHeight w:val="20"/>
        </w:trPr>
        <w:tc>
          <w:tcPr>
            <w:tcW w:w="6500" w:type="dxa"/>
            <w:vAlign w:val="bottom"/>
            <w:shd w:val="clear" w:color="auto" w:fill="CFCFD2"/>
          </w:tcPr>
          <w:p>
            <w:pPr>
              <w:spacing w:after="0" w:line="20" w:lineRule="exact"/>
              <w:rPr>
                <w:sz w:val="1"/>
                <w:szCs w:val="1"/>
                <w:color w:val="auto"/>
              </w:rPr>
            </w:pPr>
          </w:p>
        </w:tc>
        <w:tc>
          <w:tcPr>
            <w:tcW w:w="3420" w:type="dxa"/>
            <w:vAlign w:val="bottom"/>
            <w:shd w:val="clear" w:color="auto" w:fill="CFCFD2"/>
          </w:tcPr>
          <w:p>
            <w:pPr>
              <w:spacing w:after="0" w:line="20" w:lineRule="exact"/>
              <w:rPr>
                <w:sz w:val="1"/>
                <w:szCs w:val="1"/>
                <w:color w:val="auto"/>
              </w:rPr>
            </w:pPr>
          </w:p>
        </w:tc>
        <w:tc>
          <w:tcPr>
            <w:tcW w:w="1320" w:type="dxa"/>
            <w:vAlign w:val="bottom"/>
            <w:shd w:val="clear" w:color="auto" w:fill="CFCFD2"/>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Organic Revenue Growth</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0E1020"/>
        </w:rPr>
        <w:t>A reconciliation of Total revenue growth to Organic Revenue Growth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3700" w:type="dxa"/>
            <w:vAlign w:val="bottom"/>
            <w:tcBorders>
              <w:bottom w:val="single" w:sz="8" w:color="F6F3F0"/>
            </w:tcBorders>
            <w:shd w:val="clear" w:color="auto" w:fill="F6F3F0"/>
          </w:tcPr>
          <w:p>
            <w:pPr>
              <w:spacing w:after="0"/>
              <w:rPr>
                <w:sz w:val="24"/>
                <w:szCs w:val="24"/>
                <w:color w:val="auto"/>
              </w:rPr>
            </w:pPr>
          </w:p>
        </w:tc>
        <w:tc>
          <w:tcPr>
            <w:tcW w:w="2820" w:type="dxa"/>
            <w:vAlign w:val="bottom"/>
            <w:tcBorders>
              <w:bottom w:val="single" w:sz="8" w:color="F6F3F0"/>
            </w:tcBorders>
            <w:shd w:val="clear" w:color="auto" w:fill="F6F3F0"/>
          </w:tcPr>
          <w:p>
            <w:pPr>
              <w:spacing w:after="0"/>
              <w:rPr>
                <w:sz w:val="24"/>
                <w:szCs w:val="24"/>
                <w:color w:val="auto"/>
              </w:rPr>
            </w:pPr>
          </w:p>
        </w:tc>
        <w:tc>
          <w:tcPr>
            <w:tcW w:w="326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4"/>
                <w:szCs w:val="14"/>
                <w:b w:val="1"/>
                <w:bCs w:val="1"/>
                <w:color w:val="0E1020"/>
              </w:rPr>
              <w:t>For the Fiscal Years Ended</w:t>
            </w:r>
          </w:p>
        </w:tc>
        <w:tc>
          <w:tcPr>
            <w:tcW w:w="1460" w:type="dxa"/>
            <w:vAlign w:val="bottom"/>
            <w:tcBorders>
              <w:bottom w:val="single" w:sz="8" w:color="F6F3F0"/>
            </w:tcBorders>
            <w:shd w:val="clear" w:color="auto" w:fill="F6F3F0"/>
          </w:tcPr>
          <w:p>
            <w:pPr>
              <w:spacing w:after="0"/>
              <w:rPr>
                <w:sz w:val="24"/>
                <w:szCs w:val="24"/>
                <w:color w:val="auto"/>
              </w:rPr>
            </w:pPr>
          </w:p>
        </w:tc>
      </w:tr>
      <w:tr>
        <w:trPr>
          <w:trHeight w:val="206"/>
        </w:trPr>
        <w:tc>
          <w:tcPr>
            <w:tcW w:w="3700" w:type="dxa"/>
            <w:vAlign w:val="bottom"/>
            <w:tcBorders>
              <w:top w:val="single" w:sz="8" w:color="F6F3F0"/>
            </w:tcBorders>
            <w:shd w:val="clear" w:color="auto" w:fill="F6F3F0"/>
          </w:tcPr>
          <w:p>
            <w:pPr>
              <w:ind w:left="100"/>
              <w:spacing w:after="0"/>
              <w:rPr>
                <w:sz w:val="20"/>
                <w:szCs w:val="20"/>
                <w:color w:val="auto"/>
              </w:rPr>
            </w:pPr>
            <w:r>
              <w:rPr>
                <w:rFonts w:ascii="Arial" w:cs="Arial" w:eastAsia="Arial" w:hAnsi="Arial"/>
                <w:sz w:val="14"/>
                <w:szCs w:val="14"/>
                <w:b w:val="1"/>
                <w:bCs w:val="1"/>
                <w:color w:val="0E1020"/>
              </w:rPr>
              <w:t>%</w:t>
            </w:r>
          </w:p>
        </w:tc>
        <w:tc>
          <w:tcPr>
            <w:tcW w:w="2820" w:type="dxa"/>
            <w:vAlign w:val="bottom"/>
            <w:tcBorders>
              <w:top w:val="single" w:sz="8" w:color="F6F3F0"/>
            </w:tcBorders>
            <w:shd w:val="clear" w:color="auto" w:fill="F6F3F0"/>
          </w:tcPr>
          <w:p>
            <w:pPr>
              <w:spacing w:after="0"/>
              <w:rPr>
                <w:sz w:val="17"/>
                <w:szCs w:val="17"/>
                <w:color w:val="auto"/>
              </w:rPr>
            </w:pPr>
          </w:p>
        </w:tc>
        <w:tc>
          <w:tcPr>
            <w:tcW w:w="3260" w:type="dxa"/>
            <w:vAlign w:val="bottom"/>
            <w:tcBorders>
              <w:top w:val="single" w:sz="8" w:color="CFCFD2"/>
            </w:tcBorders>
            <w:shd w:val="clear" w:color="auto" w:fill="F6F3F0"/>
          </w:tcPr>
          <w:p>
            <w:pPr>
              <w:jc w:val="right"/>
              <w:ind w:right="889"/>
              <w:spacing w:after="0"/>
              <w:rPr>
                <w:sz w:val="20"/>
                <w:szCs w:val="20"/>
                <w:color w:val="auto"/>
              </w:rPr>
            </w:pPr>
            <w:r>
              <w:rPr>
                <w:rFonts w:ascii="Arial" w:cs="Arial" w:eastAsia="Arial" w:hAnsi="Arial"/>
                <w:sz w:val="14"/>
                <w:szCs w:val="14"/>
                <w:b w:val="1"/>
                <w:bCs w:val="1"/>
                <w:color w:val="0E1020"/>
              </w:rPr>
              <w:t>March 31, 2026</w:t>
            </w:r>
          </w:p>
        </w:tc>
        <w:tc>
          <w:tcPr>
            <w:tcW w:w="1460" w:type="dxa"/>
            <w:vAlign w:val="bottom"/>
            <w:tcBorders>
              <w:top w:val="single" w:sz="8" w:color="CFCFD2"/>
            </w:tcBorders>
            <w:shd w:val="clear" w:color="auto" w:fill="F6F3F0"/>
          </w:tcPr>
          <w:p>
            <w:pPr>
              <w:jc w:val="right"/>
              <w:ind w:right="49"/>
              <w:spacing w:after="0"/>
              <w:rPr>
                <w:sz w:val="20"/>
                <w:szCs w:val="20"/>
                <w:color w:val="auto"/>
              </w:rPr>
            </w:pPr>
            <w:r>
              <w:rPr>
                <w:rFonts w:ascii="Arial" w:cs="Arial" w:eastAsia="Arial" w:hAnsi="Arial"/>
                <w:sz w:val="14"/>
                <w:szCs w:val="14"/>
                <w:b w:val="1"/>
                <w:bCs w:val="1"/>
                <w:color w:val="0E1020"/>
              </w:rPr>
              <w:t>March 31, 2025</w:t>
            </w:r>
          </w:p>
        </w:tc>
      </w:tr>
      <w:tr>
        <w:trPr>
          <w:trHeight w:val="69"/>
        </w:trPr>
        <w:tc>
          <w:tcPr>
            <w:tcW w:w="3700" w:type="dxa"/>
            <w:vAlign w:val="bottom"/>
            <w:tcBorders>
              <w:bottom w:val="single" w:sz="8" w:color="CFCFD2"/>
            </w:tcBorders>
            <w:shd w:val="clear" w:color="auto" w:fill="F6F3F0"/>
          </w:tcPr>
          <w:p>
            <w:pPr>
              <w:spacing w:after="0"/>
              <w:rPr>
                <w:sz w:val="5"/>
                <w:szCs w:val="5"/>
                <w:color w:val="auto"/>
              </w:rPr>
            </w:pPr>
          </w:p>
        </w:tc>
        <w:tc>
          <w:tcPr>
            <w:tcW w:w="2820" w:type="dxa"/>
            <w:vAlign w:val="bottom"/>
            <w:tcBorders>
              <w:bottom w:val="single" w:sz="8" w:color="CFCFD2"/>
            </w:tcBorders>
            <w:shd w:val="clear" w:color="auto" w:fill="F6F3F0"/>
          </w:tcPr>
          <w:p>
            <w:pPr>
              <w:spacing w:after="0"/>
              <w:rPr>
                <w:sz w:val="5"/>
                <w:szCs w:val="5"/>
                <w:color w:val="auto"/>
              </w:rPr>
            </w:pPr>
          </w:p>
        </w:tc>
        <w:tc>
          <w:tcPr>
            <w:tcW w:w="3260" w:type="dxa"/>
            <w:vAlign w:val="bottom"/>
            <w:tcBorders>
              <w:bottom w:val="single" w:sz="8" w:color="CFCFD2"/>
            </w:tcBorders>
            <w:shd w:val="clear" w:color="auto" w:fill="F6F3F0"/>
          </w:tcPr>
          <w:p>
            <w:pPr>
              <w:spacing w:after="0"/>
              <w:rPr>
                <w:sz w:val="5"/>
                <w:szCs w:val="5"/>
                <w:color w:val="auto"/>
              </w:rPr>
            </w:pPr>
          </w:p>
        </w:tc>
        <w:tc>
          <w:tcPr>
            <w:tcW w:w="1460" w:type="dxa"/>
            <w:vAlign w:val="bottom"/>
            <w:tcBorders>
              <w:bottom w:val="single" w:sz="8" w:color="CFCFD2"/>
            </w:tcBorders>
            <w:shd w:val="clear" w:color="auto" w:fill="F6F3F0"/>
          </w:tcPr>
          <w:p>
            <w:pPr>
              <w:spacing w:after="0"/>
              <w:rPr>
                <w:sz w:val="5"/>
                <w:szCs w:val="5"/>
                <w:color w:val="auto"/>
              </w:rPr>
            </w:pPr>
          </w:p>
        </w:tc>
      </w:tr>
      <w:tr>
        <w:trPr>
          <w:trHeight w:val="200"/>
        </w:trPr>
        <w:tc>
          <w:tcPr>
            <w:tcW w:w="3700" w:type="dxa"/>
            <w:vAlign w:val="bottom"/>
          </w:tcPr>
          <w:p>
            <w:pPr>
              <w:ind w:left="100"/>
              <w:spacing w:after="0"/>
              <w:rPr>
                <w:sz w:val="20"/>
                <w:szCs w:val="20"/>
                <w:color w:val="auto"/>
              </w:rPr>
            </w:pPr>
            <w:r>
              <w:rPr>
                <w:rFonts w:ascii="Arial" w:cs="Arial" w:eastAsia="Arial" w:hAnsi="Arial"/>
                <w:sz w:val="14"/>
                <w:szCs w:val="14"/>
                <w:color w:val="0E1020"/>
              </w:rPr>
              <w:t>Total revenue growth</w:t>
            </w:r>
          </w:p>
        </w:tc>
        <w:tc>
          <w:tcPr>
            <w:tcW w:w="2820" w:type="dxa"/>
            <w:vAlign w:val="bottom"/>
          </w:tcPr>
          <w:p>
            <w:pPr>
              <w:spacing w:after="0"/>
              <w:rPr>
                <w:sz w:val="17"/>
                <w:szCs w:val="17"/>
                <w:color w:val="auto"/>
              </w:rPr>
            </w:pPr>
          </w:p>
        </w:tc>
        <w:tc>
          <w:tcPr>
            <w:tcW w:w="3260" w:type="dxa"/>
            <w:vAlign w:val="bottom"/>
          </w:tcPr>
          <w:p>
            <w:pPr>
              <w:jc w:val="right"/>
              <w:ind w:right="889"/>
              <w:spacing w:after="0"/>
              <w:rPr>
                <w:sz w:val="20"/>
                <w:szCs w:val="20"/>
                <w:color w:val="auto"/>
              </w:rPr>
            </w:pPr>
            <w:r>
              <w:rPr>
                <w:rFonts w:ascii="Arial" w:cs="Arial" w:eastAsia="Arial" w:hAnsi="Arial"/>
                <w:sz w:val="14"/>
                <w:szCs w:val="14"/>
                <w:color w:val="0E1020"/>
              </w:rPr>
              <w:t>(1.8)%</w:t>
            </w:r>
          </w:p>
        </w:tc>
        <w:tc>
          <w:tcPr>
            <w:tcW w:w="1460" w:type="dxa"/>
            <w:vAlign w:val="bottom"/>
          </w:tcPr>
          <w:p>
            <w:pPr>
              <w:jc w:val="right"/>
              <w:ind w:right="49"/>
              <w:spacing w:after="0"/>
              <w:rPr>
                <w:sz w:val="20"/>
                <w:szCs w:val="20"/>
                <w:color w:val="auto"/>
              </w:rPr>
            </w:pPr>
            <w:r>
              <w:rPr>
                <w:rFonts w:ascii="Arial" w:cs="Arial" w:eastAsia="Arial" w:hAnsi="Arial"/>
                <w:sz w:val="14"/>
                <w:szCs w:val="14"/>
                <w:color w:val="0E1020"/>
              </w:rPr>
              <w:t>(5.8)%</w:t>
            </w:r>
          </w:p>
        </w:tc>
      </w:tr>
      <w:tr>
        <w:trPr>
          <w:trHeight w:val="21"/>
        </w:trPr>
        <w:tc>
          <w:tcPr>
            <w:tcW w:w="3700" w:type="dxa"/>
            <w:vAlign w:val="bottom"/>
            <w:tcBorders>
              <w:bottom w:val="single" w:sz="8" w:color="CFCFD2"/>
            </w:tcBorders>
          </w:tcPr>
          <w:p>
            <w:pPr>
              <w:spacing w:after="0" w:line="20" w:lineRule="exact"/>
              <w:rPr>
                <w:sz w:val="1"/>
                <w:szCs w:val="1"/>
                <w:color w:val="auto"/>
              </w:rPr>
            </w:pPr>
          </w:p>
        </w:tc>
        <w:tc>
          <w:tcPr>
            <w:tcW w:w="2820" w:type="dxa"/>
            <w:vAlign w:val="bottom"/>
            <w:tcBorders>
              <w:bottom w:val="single" w:sz="8" w:color="CFCFD2"/>
            </w:tcBorders>
          </w:tcPr>
          <w:p>
            <w:pPr>
              <w:spacing w:after="0" w:line="20" w:lineRule="exact"/>
              <w:rPr>
                <w:sz w:val="1"/>
                <w:szCs w:val="1"/>
                <w:color w:val="auto"/>
              </w:rPr>
            </w:pPr>
          </w:p>
        </w:tc>
        <w:tc>
          <w:tcPr>
            <w:tcW w:w="3260" w:type="dxa"/>
            <w:vAlign w:val="bottom"/>
            <w:tcBorders>
              <w:bottom w:val="single" w:sz="8" w:color="CFCFD2"/>
            </w:tcBorders>
          </w:tcPr>
          <w:p>
            <w:pPr>
              <w:spacing w:after="0" w:line="20" w:lineRule="exact"/>
              <w:rPr>
                <w:sz w:val="1"/>
                <w:szCs w:val="1"/>
                <w:color w:val="auto"/>
              </w:rPr>
            </w:pPr>
          </w:p>
        </w:tc>
        <w:tc>
          <w:tcPr>
            <w:tcW w:w="1460" w:type="dxa"/>
            <w:vAlign w:val="bottom"/>
            <w:tcBorders>
              <w:bottom w:val="single" w:sz="8" w:color="CFCFD2"/>
            </w:tcBorders>
          </w:tcPr>
          <w:p>
            <w:pPr>
              <w:spacing w:after="0" w:line="20" w:lineRule="exact"/>
              <w:rPr>
                <w:sz w:val="1"/>
                <w:szCs w:val="1"/>
                <w:color w:val="auto"/>
              </w:rPr>
            </w:pPr>
          </w:p>
        </w:tc>
      </w:tr>
      <w:tr>
        <w:trPr>
          <w:trHeight w:val="200"/>
        </w:trPr>
        <w:tc>
          <w:tcPr>
            <w:tcW w:w="3700" w:type="dxa"/>
            <w:vAlign w:val="bottom"/>
          </w:tcPr>
          <w:p>
            <w:pPr>
              <w:ind w:left="100"/>
              <w:spacing w:after="0"/>
              <w:rPr>
                <w:sz w:val="20"/>
                <w:szCs w:val="20"/>
                <w:color w:val="auto"/>
              </w:rPr>
            </w:pPr>
            <w:r>
              <w:rPr>
                <w:rFonts w:ascii="Arial" w:cs="Arial" w:eastAsia="Arial" w:hAnsi="Arial"/>
                <w:sz w:val="14"/>
                <w:szCs w:val="14"/>
                <w:color w:val="0E1020"/>
              </w:rPr>
              <w:t>Foreign currency</w:t>
            </w:r>
          </w:p>
        </w:tc>
        <w:tc>
          <w:tcPr>
            <w:tcW w:w="2820" w:type="dxa"/>
            <w:vAlign w:val="bottom"/>
          </w:tcPr>
          <w:p>
            <w:pPr>
              <w:spacing w:after="0"/>
              <w:rPr>
                <w:sz w:val="17"/>
                <w:szCs w:val="17"/>
                <w:color w:val="auto"/>
              </w:rPr>
            </w:pPr>
          </w:p>
        </w:tc>
        <w:tc>
          <w:tcPr>
            <w:tcW w:w="3260" w:type="dxa"/>
            <w:vAlign w:val="bottom"/>
          </w:tcPr>
          <w:p>
            <w:pPr>
              <w:jc w:val="right"/>
              <w:ind w:right="889"/>
              <w:spacing w:after="0"/>
              <w:rPr>
                <w:sz w:val="20"/>
                <w:szCs w:val="20"/>
                <w:color w:val="auto"/>
              </w:rPr>
            </w:pPr>
            <w:r>
              <w:rPr>
                <w:rFonts w:ascii="Arial" w:cs="Arial" w:eastAsia="Arial" w:hAnsi="Arial"/>
                <w:sz w:val="14"/>
                <w:szCs w:val="14"/>
                <w:color w:val="0E1020"/>
              </w:rPr>
              <w:t>(3.1)%</w:t>
            </w:r>
          </w:p>
        </w:tc>
        <w:tc>
          <w:tcPr>
            <w:tcW w:w="1460" w:type="dxa"/>
            <w:vAlign w:val="bottom"/>
          </w:tcPr>
          <w:p>
            <w:pPr>
              <w:jc w:val="right"/>
              <w:ind w:right="49"/>
              <w:spacing w:after="0"/>
              <w:rPr>
                <w:sz w:val="20"/>
                <w:szCs w:val="20"/>
                <w:color w:val="auto"/>
              </w:rPr>
            </w:pPr>
            <w:r>
              <w:rPr>
                <w:rFonts w:ascii="Arial" w:cs="Arial" w:eastAsia="Arial" w:hAnsi="Arial"/>
                <w:sz w:val="14"/>
                <w:szCs w:val="14"/>
                <w:color w:val="0E1020"/>
              </w:rPr>
              <w:t>1.0 %</w:t>
            </w:r>
          </w:p>
        </w:tc>
      </w:tr>
      <w:tr>
        <w:trPr>
          <w:trHeight w:val="21"/>
        </w:trPr>
        <w:tc>
          <w:tcPr>
            <w:tcW w:w="3700" w:type="dxa"/>
            <w:vAlign w:val="bottom"/>
            <w:tcBorders>
              <w:bottom w:val="single" w:sz="8" w:color="CFCFD2"/>
            </w:tcBorders>
          </w:tcPr>
          <w:p>
            <w:pPr>
              <w:spacing w:after="0" w:line="20" w:lineRule="exact"/>
              <w:rPr>
                <w:sz w:val="1"/>
                <w:szCs w:val="1"/>
                <w:color w:val="auto"/>
              </w:rPr>
            </w:pPr>
          </w:p>
        </w:tc>
        <w:tc>
          <w:tcPr>
            <w:tcW w:w="2820" w:type="dxa"/>
            <w:vAlign w:val="bottom"/>
            <w:tcBorders>
              <w:bottom w:val="single" w:sz="8" w:color="CFCFD2"/>
            </w:tcBorders>
          </w:tcPr>
          <w:p>
            <w:pPr>
              <w:spacing w:after="0" w:line="20" w:lineRule="exact"/>
              <w:rPr>
                <w:sz w:val="1"/>
                <w:szCs w:val="1"/>
                <w:color w:val="auto"/>
              </w:rPr>
            </w:pPr>
          </w:p>
        </w:tc>
        <w:tc>
          <w:tcPr>
            <w:tcW w:w="3260" w:type="dxa"/>
            <w:vAlign w:val="bottom"/>
            <w:tcBorders>
              <w:bottom w:val="single" w:sz="8" w:color="CFCFD2"/>
            </w:tcBorders>
          </w:tcPr>
          <w:p>
            <w:pPr>
              <w:spacing w:after="0" w:line="20" w:lineRule="exact"/>
              <w:rPr>
                <w:sz w:val="1"/>
                <w:szCs w:val="1"/>
                <w:color w:val="auto"/>
              </w:rPr>
            </w:pPr>
          </w:p>
        </w:tc>
        <w:tc>
          <w:tcPr>
            <w:tcW w:w="1460" w:type="dxa"/>
            <w:vAlign w:val="bottom"/>
            <w:tcBorders>
              <w:bottom w:val="single" w:sz="8" w:color="CFCFD2"/>
            </w:tcBorders>
          </w:tcPr>
          <w:p>
            <w:pPr>
              <w:spacing w:after="0" w:line="20" w:lineRule="exact"/>
              <w:rPr>
                <w:sz w:val="1"/>
                <w:szCs w:val="1"/>
                <w:color w:val="auto"/>
              </w:rPr>
            </w:pPr>
          </w:p>
        </w:tc>
      </w:tr>
      <w:tr>
        <w:trPr>
          <w:trHeight w:val="200"/>
        </w:trPr>
        <w:tc>
          <w:tcPr>
            <w:tcW w:w="3700" w:type="dxa"/>
            <w:vAlign w:val="bottom"/>
          </w:tcPr>
          <w:p>
            <w:pPr>
              <w:ind w:left="100"/>
              <w:spacing w:after="0"/>
              <w:rPr>
                <w:sz w:val="20"/>
                <w:szCs w:val="20"/>
                <w:color w:val="auto"/>
              </w:rPr>
            </w:pPr>
            <w:r>
              <w:rPr>
                <w:rFonts w:ascii="Arial" w:cs="Arial" w:eastAsia="Arial" w:hAnsi="Arial"/>
                <w:sz w:val="14"/>
                <w:szCs w:val="14"/>
                <w:color w:val="0E1020"/>
              </w:rPr>
              <w:t>Acquisitions and divestitures</w:t>
            </w:r>
          </w:p>
        </w:tc>
        <w:tc>
          <w:tcPr>
            <w:tcW w:w="2820" w:type="dxa"/>
            <w:vAlign w:val="bottom"/>
          </w:tcPr>
          <w:p>
            <w:pPr>
              <w:spacing w:after="0"/>
              <w:rPr>
                <w:sz w:val="17"/>
                <w:szCs w:val="17"/>
                <w:color w:val="auto"/>
              </w:rPr>
            </w:pPr>
          </w:p>
        </w:tc>
        <w:tc>
          <w:tcPr>
            <w:tcW w:w="3260" w:type="dxa"/>
            <w:vAlign w:val="bottom"/>
          </w:tcPr>
          <w:p>
            <w:pPr>
              <w:jc w:val="right"/>
              <w:ind w:right="889"/>
              <w:spacing w:after="0"/>
              <w:rPr>
                <w:sz w:val="20"/>
                <w:szCs w:val="20"/>
                <w:color w:val="auto"/>
              </w:rPr>
            </w:pPr>
            <w:r>
              <w:rPr>
                <w:rFonts w:ascii="Arial" w:cs="Arial" w:eastAsia="Arial" w:hAnsi="Arial"/>
                <w:sz w:val="14"/>
                <w:szCs w:val="14"/>
                <w:color w:val="0E1020"/>
              </w:rPr>
              <w:t>0.1 %</w:t>
            </w:r>
          </w:p>
        </w:tc>
        <w:tc>
          <w:tcPr>
            <w:tcW w:w="1460" w:type="dxa"/>
            <w:vAlign w:val="bottom"/>
          </w:tcPr>
          <w:p>
            <w:pPr>
              <w:jc w:val="right"/>
              <w:ind w:right="49"/>
              <w:spacing w:after="0"/>
              <w:rPr>
                <w:sz w:val="20"/>
                <w:szCs w:val="20"/>
                <w:color w:val="auto"/>
              </w:rPr>
            </w:pPr>
            <w:r>
              <w:rPr>
                <w:rFonts w:ascii="Arial" w:cs="Arial" w:eastAsia="Arial" w:hAnsi="Arial"/>
                <w:sz w:val="14"/>
                <w:szCs w:val="14"/>
                <w:color w:val="0E1020"/>
              </w:rPr>
              <w:t>0.2 %</w:t>
            </w:r>
          </w:p>
        </w:tc>
      </w:tr>
      <w:tr>
        <w:trPr>
          <w:trHeight w:val="21"/>
        </w:trPr>
        <w:tc>
          <w:tcPr>
            <w:tcW w:w="3700" w:type="dxa"/>
            <w:vAlign w:val="bottom"/>
            <w:tcBorders>
              <w:bottom w:val="single" w:sz="8" w:color="CFCFD2"/>
            </w:tcBorders>
          </w:tcPr>
          <w:p>
            <w:pPr>
              <w:spacing w:after="0" w:line="20" w:lineRule="exact"/>
              <w:rPr>
                <w:sz w:val="1"/>
                <w:szCs w:val="1"/>
                <w:color w:val="auto"/>
              </w:rPr>
            </w:pPr>
          </w:p>
        </w:tc>
        <w:tc>
          <w:tcPr>
            <w:tcW w:w="2820" w:type="dxa"/>
            <w:vAlign w:val="bottom"/>
            <w:tcBorders>
              <w:bottom w:val="single" w:sz="8" w:color="CFCFD2"/>
            </w:tcBorders>
          </w:tcPr>
          <w:p>
            <w:pPr>
              <w:spacing w:after="0" w:line="20" w:lineRule="exact"/>
              <w:rPr>
                <w:sz w:val="1"/>
                <w:szCs w:val="1"/>
                <w:color w:val="auto"/>
              </w:rPr>
            </w:pPr>
          </w:p>
        </w:tc>
        <w:tc>
          <w:tcPr>
            <w:tcW w:w="3260" w:type="dxa"/>
            <w:vAlign w:val="bottom"/>
            <w:tcBorders>
              <w:bottom w:val="single" w:sz="8" w:color="CFCFD2"/>
            </w:tcBorders>
          </w:tcPr>
          <w:p>
            <w:pPr>
              <w:spacing w:after="0" w:line="20" w:lineRule="exact"/>
              <w:rPr>
                <w:sz w:val="1"/>
                <w:szCs w:val="1"/>
                <w:color w:val="auto"/>
              </w:rPr>
            </w:pPr>
          </w:p>
        </w:tc>
        <w:tc>
          <w:tcPr>
            <w:tcW w:w="1460" w:type="dxa"/>
            <w:vAlign w:val="bottom"/>
            <w:tcBorders>
              <w:bottom w:val="single" w:sz="8" w:color="CFCFD2"/>
            </w:tcBorders>
          </w:tcPr>
          <w:p>
            <w:pPr>
              <w:spacing w:after="0" w:line="20" w:lineRule="exact"/>
              <w:rPr>
                <w:sz w:val="1"/>
                <w:szCs w:val="1"/>
                <w:color w:val="auto"/>
              </w:rPr>
            </w:pPr>
          </w:p>
        </w:tc>
      </w:tr>
      <w:tr>
        <w:trPr>
          <w:trHeight w:val="253"/>
        </w:trPr>
        <w:tc>
          <w:tcPr>
            <w:tcW w:w="3700" w:type="dxa"/>
            <w:vAlign w:val="bottom"/>
            <w:tcBorders>
              <w:bottom w:val="single" w:sz="8" w:color="F6F3F0"/>
            </w:tcBorders>
            <w:shd w:val="clear" w:color="auto" w:fill="F6F3F0"/>
          </w:tcPr>
          <w:p>
            <w:pPr>
              <w:ind w:left="100"/>
              <w:spacing w:after="0"/>
              <w:rPr>
                <w:sz w:val="20"/>
                <w:szCs w:val="20"/>
                <w:color w:val="auto"/>
              </w:rPr>
            </w:pPr>
            <w:r>
              <w:rPr>
                <w:rFonts w:ascii="Arial" w:cs="Arial" w:eastAsia="Arial" w:hAnsi="Arial"/>
                <w:sz w:val="14"/>
                <w:szCs w:val="14"/>
                <w:b w:val="1"/>
                <w:bCs w:val="1"/>
                <w:color w:val="0E1020"/>
              </w:rPr>
              <w:t>Organic Revenue Growth</w:t>
            </w:r>
          </w:p>
        </w:tc>
        <w:tc>
          <w:tcPr>
            <w:tcW w:w="2820" w:type="dxa"/>
            <w:vAlign w:val="bottom"/>
            <w:tcBorders>
              <w:bottom w:val="single" w:sz="8" w:color="F6F3F0"/>
            </w:tcBorders>
            <w:shd w:val="clear" w:color="auto" w:fill="F6F3F0"/>
          </w:tcPr>
          <w:p>
            <w:pPr>
              <w:spacing w:after="0"/>
              <w:rPr>
                <w:sz w:val="21"/>
                <w:szCs w:val="21"/>
                <w:color w:val="auto"/>
              </w:rPr>
            </w:pPr>
          </w:p>
        </w:tc>
        <w:tc>
          <w:tcPr>
            <w:tcW w:w="3260" w:type="dxa"/>
            <w:vAlign w:val="bottom"/>
            <w:tcBorders>
              <w:bottom w:val="single" w:sz="8" w:color="F6F3F0"/>
            </w:tcBorders>
            <w:shd w:val="clear" w:color="auto" w:fill="F6F3F0"/>
          </w:tcPr>
          <w:p>
            <w:pPr>
              <w:jc w:val="right"/>
              <w:ind w:right="889"/>
              <w:spacing w:after="0"/>
              <w:rPr>
                <w:sz w:val="20"/>
                <w:szCs w:val="20"/>
                <w:color w:val="auto"/>
              </w:rPr>
            </w:pPr>
            <w:r>
              <w:rPr>
                <w:rFonts w:ascii="Arial" w:cs="Arial" w:eastAsia="Arial" w:hAnsi="Arial"/>
                <w:sz w:val="14"/>
                <w:szCs w:val="14"/>
                <w:b w:val="1"/>
                <w:bCs w:val="1"/>
                <w:color w:val="0E1020"/>
              </w:rPr>
              <w:t>(4.8)%</w:t>
            </w:r>
          </w:p>
        </w:tc>
        <w:tc>
          <w:tcPr>
            <w:tcW w:w="1460" w:type="dxa"/>
            <w:vAlign w:val="bottom"/>
            <w:tcBorders>
              <w:bottom w:val="single" w:sz="8" w:color="F6F3F0"/>
            </w:tcBorders>
            <w:shd w:val="clear" w:color="auto" w:fill="F6F3F0"/>
          </w:tcPr>
          <w:p>
            <w:pPr>
              <w:jc w:val="right"/>
              <w:ind w:right="49"/>
              <w:spacing w:after="0"/>
              <w:rPr>
                <w:sz w:val="20"/>
                <w:szCs w:val="20"/>
                <w:color w:val="auto"/>
              </w:rPr>
            </w:pPr>
            <w:r>
              <w:rPr>
                <w:rFonts w:ascii="Arial" w:cs="Arial" w:eastAsia="Arial" w:hAnsi="Arial"/>
                <w:sz w:val="14"/>
                <w:szCs w:val="14"/>
                <w:b w:val="1"/>
                <w:bCs w:val="1"/>
                <w:color w:val="0E1020"/>
              </w:rPr>
              <w:t>(4.6)%</w:t>
            </w:r>
          </w:p>
        </w:tc>
      </w:tr>
      <w:tr>
        <w:trPr>
          <w:trHeight w:val="1206"/>
        </w:trPr>
        <w:tc>
          <w:tcPr>
            <w:tcW w:w="3700" w:type="dxa"/>
            <w:vAlign w:val="bottom"/>
            <w:tcBorders>
              <w:top w:val="single" w:sz="8" w:color="CFCFD2"/>
            </w:tcBorders>
          </w:tcPr>
          <w:p>
            <w:pPr>
              <w:ind w:left="20"/>
              <w:spacing w:after="0"/>
              <w:rPr>
                <w:sz w:val="20"/>
                <w:szCs w:val="20"/>
                <w:color w:val="auto"/>
              </w:rPr>
            </w:pPr>
            <w:r>
              <w:rPr>
                <w:rFonts w:ascii="Arial" w:cs="Arial" w:eastAsia="Arial" w:hAnsi="Arial"/>
                <w:sz w:val="14"/>
                <w:szCs w:val="14"/>
                <w:color w:val="0E1020"/>
              </w:rPr>
              <w:t>DXC Technology Company</w:t>
            </w:r>
          </w:p>
        </w:tc>
        <w:tc>
          <w:tcPr>
            <w:tcW w:w="2820" w:type="dxa"/>
            <w:vAlign w:val="bottom"/>
            <w:tcBorders>
              <w:top w:val="single" w:sz="8" w:color="CFCFD2"/>
            </w:tcBorders>
          </w:tcPr>
          <w:p>
            <w:pPr>
              <w:ind w:left="1800"/>
              <w:spacing w:after="0"/>
              <w:rPr>
                <w:sz w:val="20"/>
                <w:szCs w:val="20"/>
                <w:color w:val="auto"/>
              </w:rPr>
            </w:pPr>
            <w:r>
              <w:rPr>
                <w:rFonts w:ascii="Arial" w:cs="Arial" w:eastAsia="Arial" w:hAnsi="Arial"/>
                <w:sz w:val="14"/>
                <w:szCs w:val="14"/>
                <w:color w:val="0E1020"/>
              </w:rPr>
              <w:t>A-2</w:t>
            </w:r>
          </w:p>
        </w:tc>
        <w:tc>
          <w:tcPr>
            <w:tcW w:w="3260" w:type="dxa"/>
            <w:vAlign w:val="bottom"/>
            <w:tcBorders>
              <w:top w:val="single" w:sz="8" w:color="CFCFD2"/>
            </w:tcBorders>
          </w:tcPr>
          <w:p>
            <w:pPr>
              <w:spacing w:after="0"/>
              <w:rPr>
                <w:sz w:val="24"/>
                <w:szCs w:val="24"/>
                <w:color w:val="auto"/>
              </w:rPr>
            </w:pPr>
          </w:p>
        </w:tc>
        <w:tc>
          <w:tcPr>
            <w:tcW w:w="1460" w:type="dxa"/>
            <w:vAlign w:val="bottom"/>
            <w:tcBorders>
              <w:top w:val="single" w:sz="8" w:color="CFCFD2"/>
            </w:tcBorders>
          </w:tcPr>
          <w:p>
            <w:pPr>
              <w:jc w:val="right"/>
              <w:spacing w:after="0"/>
              <w:rPr>
                <w:sz w:val="20"/>
                <w:szCs w:val="20"/>
                <w:color w:val="auto"/>
              </w:rPr>
            </w:pPr>
            <w:r>
              <w:rPr>
                <w:rFonts w:ascii="Arial" w:cs="Arial" w:eastAsia="Arial" w:hAnsi="Arial"/>
                <w:sz w:val="14"/>
                <w:szCs w:val="14"/>
                <w:color w:val="0E1020"/>
              </w:rPr>
              <w:t>2026 Proxy Statement</w:t>
            </w:r>
          </w:p>
        </w:tc>
      </w:tr>
      <w:tr>
        <w:trPr>
          <w:trHeight w:val="216"/>
        </w:trPr>
        <w:tc>
          <w:tcPr>
            <w:tcW w:w="3700" w:type="dxa"/>
            <w:vAlign w:val="bottom"/>
            <w:tcBorders>
              <w:bottom w:val="single" w:sz="8" w:color="9A9A9A"/>
            </w:tcBorders>
          </w:tcPr>
          <w:p>
            <w:pPr>
              <w:spacing w:after="0"/>
              <w:rPr>
                <w:sz w:val="18"/>
                <w:szCs w:val="18"/>
                <w:color w:val="auto"/>
              </w:rPr>
            </w:pPr>
          </w:p>
        </w:tc>
        <w:tc>
          <w:tcPr>
            <w:tcW w:w="2820" w:type="dxa"/>
            <w:vAlign w:val="bottom"/>
            <w:tcBorders>
              <w:bottom w:val="single" w:sz="8" w:color="9A9A9A"/>
            </w:tcBorders>
          </w:tcPr>
          <w:p>
            <w:pPr>
              <w:spacing w:after="0"/>
              <w:rPr>
                <w:sz w:val="18"/>
                <w:szCs w:val="18"/>
                <w:color w:val="auto"/>
              </w:rPr>
            </w:pPr>
          </w:p>
        </w:tc>
        <w:tc>
          <w:tcPr>
            <w:tcW w:w="326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23" w:name="page124"/>
    <w:bookmarkEnd w:id="123"/>
    <w:p>
      <w:pPr>
        <w:ind w:left="20"/>
        <w:spacing w:after="0"/>
        <w:tabs>
          <w:tab w:leader="none" w:pos="8460" w:val="left"/>
        </w:tabs>
        <w:rPr>
          <w:sz w:val="20"/>
          <w:szCs w:val="20"/>
          <w:color w:val="auto"/>
        </w:rPr>
      </w:pPr>
      <w:r>
        <w:rPr>
          <w:rFonts w:ascii="Arial" w:cs="Arial" w:eastAsia="Arial" w:hAnsi="Arial"/>
          <w:sz w:val="14"/>
          <w:szCs w:val="14"/>
          <w:u w:val="single" w:color="auto"/>
          <w:color w:val="0000FF"/>
        </w:rPr>
        <w:t>Table of Contents</w:t>
      </w:r>
      <w:r>
        <w:rPr>
          <w:sz w:val="20"/>
          <w:szCs w:val="20"/>
          <w:color w:val="auto"/>
        </w:rPr>
        <w:tab/>
      </w:r>
      <w:r>
        <w:rPr>
          <w:rFonts w:ascii="Arial" w:cs="Arial" w:eastAsia="Arial" w:hAnsi="Arial"/>
          <w:sz w:val="14"/>
          <w:szCs w:val="14"/>
          <w:color w:val="auto"/>
        </w:rPr>
        <w:t>Appendix –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Non-GAAP Diluted Earnings Per Share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E1020"/>
        </w:rPr>
        <w:t>A reconciliation of Diluted Earnings per Share to non-GAAP Diluted Earnings per Share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6660" w:type="dxa"/>
            <w:vAlign w:val="bottom"/>
            <w:tcBorders>
              <w:bottom w:val="single" w:sz="8" w:color="F6F3F0"/>
            </w:tcBorders>
            <w:shd w:val="clear" w:color="auto" w:fill="F6F3F0"/>
          </w:tcPr>
          <w:p>
            <w:pPr>
              <w:spacing w:after="0"/>
              <w:rPr>
                <w:sz w:val="24"/>
                <w:szCs w:val="24"/>
                <w:color w:val="auto"/>
              </w:rPr>
            </w:pPr>
          </w:p>
        </w:tc>
        <w:tc>
          <w:tcPr>
            <w:tcW w:w="3300" w:type="dxa"/>
            <w:vAlign w:val="bottom"/>
            <w:tcBorders>
              <w:bottom w:val="single" w:sz="8" w:color="F6F3F0"/>
            </w:tcBorders>
            <w:shd w:val="clear" w:color="auto" w:fill="F6F3F0"/>
          </w:tcPr>
          <w:p>
            <w:pPr>
              <w:jc w:val="right"/>
              <w:ind w:right="69"/>
              <w:spacing w:after="0"/>
              <w:rPr>
                <w:sz w:val="20"/>
                <w:szCs w:val="20"/>
                <w:color w:val="auto"/>
              </w:rPr>
            </w:pPr>
            <w:r>
              <w:rPr>
                <w:rFonts w:ascii="Arial" w:cs="Arial" w:eastAsia="Arial" w:hAnsi="Arial"/>
                <w:sz w:val="14"/>
                <w:szCs w:val="14"/>
                <w:b w:val="1"/>
                <w:bCs w:val="1"/>
                <w:color w:val="0E1020"/>
              </w:rPr>
              <w:t>For the Fiscal Years Ended</w:t>
            </w:r>
          </w:p>
        </w:tc>
        <w:tc>
          <w:tcPr>
            <w:tcW w:w="1280" w:type="dxa"/>
            <w:vAlign w:val="bottom"/>
            <w:tcBorders>
              <w:bottom w:val="single" w:sz="8" w:color="F6F3F0"/>
            </w:tcBorders>
            <w:shd w:val="clear" w:color="auto" w:fill="F6F3F0"/>
          </w:tcPr>
          <w:p>
            <w:pPr>
              <w:spacing w:after="0"/>
              <w:rPr>
                <w:sz w:val="24"/>
                <w:szCs w:val="24"/>
                <w:color w:val="auto"/>
              </w:rPr>
            </w:pPr>
          </w:p>
        </w:tc>
      </w:tr>
      <w:tr>
        <w:trPr>
          <w:trHeight w:val="206"/>
        </w:trPr>
        <w:tc>
          <w:tcPr>
            <w:tcW w:w="6660" w:type="dxa"/>
            <w:vAlign w:val="bottom"/>
            <w:tcBorders>
              <w:top w:val="single" w:sz="8" w:color="F6F3F0"/>
            </w:tcBorders>
            <w:shd w:val="clear" w:color="auto" w:fill="F6F3F0"/>
          </w:tcPr>
          <w:p>
            <w:pPr>
              <w:ind w:left="100"/>
              <w:spacing w:after="0"/>
              <w:rPr>
                <w:sz w:val="20"/>
                <w:szCs w:val="20"/>
                <w:color w:val="auto"/>
              </w:rPr>
            </w:pPr>
            <w:r>
              <w:rPr>
                <w:rFonts w:ascii="Arial" w:cs="Arial" w:eastAsia="Arial" w:hAnsi="Arial"/>
                <w:sz w:val="14"/>
                <w:szCs w:val="14"/>
                <w:b w:val="1"/>
                <w:bCs w:val="1"/>
                <w:color w:val="0E1020"/>
              </w:rPr>
              <w:t>($)</w:t>
            </w:r>
          </w:p>
        </w:tc>
        <w:tc>
          <w:tcPr>
            <w:tcW w:w="3300" w:type="dxa"/>
            <w:vAlign w:val="bottom"/>
            <w:tcBorders>
              <w:top w:val="single" w:sz="8" w:color="CFCFD2"/>
            </w:tcBorders>
            <w:shd w:val="clear" w:color="auto" w:fill="F6F3F0"/>
          </w:tcPr>
          <w:p>
            <w:pPr>
              <w:jc w:val="right"/>
              <w:ind w:right="989"/>
              <w:spacing w:after="0"/>
              <w:rPr>
                <w:sz w:val="20"/>
                <w:szCs w:val="20"/>
                <w:color w:val="auto"/>
              </w:rPr>
            </w:pPr>
            <w:r>
              <w:rPr>
                <w:rFonts w:ascii="Arial" w:cs="Arial" w:eastAsia="Arial" w:hAnsi="Arial"/>
                <w:sz w:val="14"/>
                <w:szCs w:val="14"/>
                <w:b w:val="1"/>
                <w:bCs w:val="1"/>
                <w:color w:val="0E1020"/>
              </w:rPr>
              <w:t>March 31, 2026</w:t>
            </w:r>
          </w:p>
        </w:tc>
        <w:tc>
          <w:tcPr>
            <w:tcW w:w="1280" w:type="dxa"/>
            <w:vAlign w:val="bottom"/>
            <w:tcBorders>
              <w:top w:val="single" w:sz="8" w:color="CFCFD2"/>
            </w:tcBorders>
            <w:shd w:val="clear" w:color="auto" w:fill="F6F3F0"/>
          </w:tcPr>
          <w:p>
            <w:pPr>
              <w:jc w:val="right"/>
              <w:ind w:right="49"/>
              <w:spacing w:after="0"/>
              <w:rPr>
                <w:sz w:val="20"/>
                <w:szCs w:val="20"/>
                <w:color w:val="auto"/>
              </w:rPr>
            </w:pPr>
            <w:r>
              <w:rPr>
                <w:rFonts w:ascii="Arial" w:cs="Arial" w:eastAsia="Arial" w:hAnsi="Arial"/>
                <w:sz w:val="14"/>
                <w:szCs w:val="14"/>
                <w:b w:val="1"/>
                <w:bCs w:val="1"/>
                <w:color w:val="0E1020"/>
              </w:rPr>
              <w:t>March 31, 2025</w:t>
            </w:r>
          </w:p>
        </w:tc>
      </w:tr>
      <w:tr>
        <w:trPr>
          <w:trHeight w:val="69"/>
        </w:trPr>
        <w:tc>
          <w:tcPr>
            <w:tcW w:w="6660" w:type="dxa"/>
            <w:vAlign w:val="bottom"/>
            <w:tcBorders>
              <w:bottom w:val="single" w:sz="8" w:color="CFCFD2"/>
            </w:tcBorders>
            <w:shd w:val="clear" w:color="auto" w:fill="F6F3F0"/>
          </w:tcPr>
          <w:p>
            <w:pPr>
              <w:spacing w:after="0"/>
              <w:rPr>
                <w:sz w:val="5"/>
                <w:szCs w:val="5"/>
                <w:color w:val="auto"/>
              </w:rPr>
            </w:pPr>
          </w:p>
        </w:tc>
        <w:tc>
          <w:tcPr>
            <w:tcW w:w="3300" w:type="dxa"/>
            <w:vAlign w:val="bottom"/>
            <w:tcBorders>
              <w:bottom w:val="single" w:sz="8" w:color="CFCFD2"/>
            </w:tcBorders>
            <w:shd w:val="clear" w:color="auto" w:fill="F6F3F0"/>
          </w:tcPr>
          <w:p>
            <w:pPr>
              <w:spacing w:after="0"/>
              <w:rPr>
                <w:sz w:val="5"/>
                <w:szCs w:val="5"/>
                <w:color w:val="auto"/>
              </w:rPr>
            </w:pPr>
          </w:p>
        </w:tc>
        <w:tc>
          <w:tcPr>
            <w:tcW w:w="1280" w:type="dxa"/>
            <w:vAlign w:val="bottom"/>
            <w:tcBorders>
              <w:bottom w:val="single" w:sz="8" w:color="CFCFD2"/>
            </w:tcBorders>
            <w:shd w:val="clear" w:color="auto" w:fill="F6F3F0"/>
          </w:tcPr>
          <w:p>
            <w:pPr>
              <w:spacing w:after="0"/>
              <w:rPr>
                <w:sz w:val="5"/>
                <w:szCs w:val="5"/>
                <w:color w:val="auto"/>
              </w:rPr>
            </w:pPr>
          </w:p>
        </w:tc>
      </w:tr>
      <w:tr>
        <w:trPr>
          <w:trHeight w:val="200"/>
        </w:trPr>
        <w:tc>
          <w:tcPr>
            <w:tcW w:w="6660" w:type="dxa"/>
            <w:vAlign w:val="bottom"/>
          </w:tcPr>
          <w:p>
            <w:pPr>
              <w:ind w:left="100"/>
              <w:spacing w:after="0"/>
              <w:rPr>
                <w:sz w:val="20"/>
                <w:szCs w:val="20"/>
                <w:color w:val="auto"/>
              </w:rPr>
            </w:pPr>
            <w:r>
              <w:rPr>
                <w:rFonts w:ascii="Arial" w:cs="Arial" w:eastAsia="Arial" w:hAnsi="Arial"/>
                <w:sz w:val="14"/>
                <w:szCs w:val="14"/>
                <w:color w:val="0E1020"/>
              </w:rPr>
              <w:t>Diluted Earnings per Share as reported</w:t>
            </w:r>
          </w:p>
        </w:tc>
        <w:tc>
          <w:tcPr>
            <w:tcW w:w="3300" w:type="dxa"/>
            <w:vAlign w:val="bottom"/>
          </w:tcPr>
          <w:p>
            <w:pPr>
              <w:jc w:val="right"/>
              <w:ind w:right="989"/>
              <w:spacing w:after="0"/>
              <w:rPr>
                <w:sz w:val="20"/>
                <w:szCs w:val="20"/>
                <w:color w:val="auto"/>
              </w:rPr>
            </w:pPr>
            <w:r>
              <w:rPr>
                <w:rFonts w:ascii="Arial" w:cs="Arial" w:eastAsia="Arial" w:hAnsi="Arial"/>
                <w:sz w:val="14"/>
                <w:szCs w:val="14"/>
                <w:color w:val="0E1020"/>
              </w:rPr>
              <w:t>$0.10</w:t>
            </w:r>
          </w:p>
        </w:tc>
        <w:tc>
          <w:tcPr>
            <w:tcW w:w="1280" w:type="dxa"/>
            <w:vAlign w:val="bottom"/>
          </w:tcPr>
          <w:p>
            <w:pPr>
              <w:jc w:val="right"/>
              <w:ind w:right="49"/>
              <w:spacing w:after="0"/>
              <w:rPr>
                <w:sz w:val="20"/>
                <w:szCs w:val="20"/>
                <w:color w:val="auto"/>
              </w:rPr>
            </w:pPr>
            <w:r>
              <w:rPr>
                <w:rFonts w:ascii="Arial" w:cs="Arial" w:eastAsia="Arial" w:hAnsi="Arial"/>
                <w:sz w:val="14"/>
                <w:szCs w:val="14"/>
                <w:color w:val="0E1020"/>
              </w:rPr>
              <w:t>$2.10</w:t>
            </w:r>
          </w:p>
        </w:tc>
      </w:tr>
      <w:tr>
        <w:trPr>
          <w:trHeight w:val="21"/>
        </w:trPr>
        <w:tc>
          <w:tcPr>
            <w:tcW w:w="6660" w:type="dxa"/>
            <w:vAlign w:val="bottom"/>
            <w:tcBorders>
              <w:bottom w:val="single" w:sz="8" w:color="CFCFD2"/>
            </w:tcBorders>
          </w:tcPr>
          <w:p>
            <w:pPr>
              <w:spacing w:after="0" w:line="20" w:lineRule="exact"/>
              <w:rPr>
                <w:sz w:val="1"/>
                <w:szCs w:val="1"/>
                <w:color w:val="auto"/>
              </w:rPr>
            </w:pPr>
          </w:p>
        </w:tc>
        <w:tc>
          <w:tcPr>
            <w:tcW w:w="3300" w:type="dxa"/>
            <w:vAlign w:val="bottom"/>
            <w:tcBorders>
              <w:bottom w:val="single" w:sz="8" w:color="CFCFD2"/>
            </w:tcBorders>
          </w:tcPr>
          <w:p>
            <w:pPr>
              <w:spacing w:after="0" w:line="20" w:lineRule="exact"/>
              <w:rPr>
                <w:sz w:val="1"/>
                <w:szCs w:val="1"/>
                <w:color w:val="auto"/>
              </w:rPr>
            </w:pPr>
          </w:p>
        </w:tc>
        <w:tc>
          <w:tcPr>
            <w:tcW w:w="1280" w:type="dxa"/>
            <w:vAlign w:val="bottom"/>
            <w:tcBorders>
              <w:bottom w:val="single" w:sz="8" w:color="CFCFD2"/>
            </w:tcBorders>
          </w:tcPr>
          <w:p>
            <w:pPr>
              <w:spacing w:after="0" w:line="20" w:lineRule="exact"/>
              <w:rPr>
                <w:sz w:val="1"/>
                <w:szCs w:val="1"/>
                <w:color w:val="auto"/>
              </w:rPr>
            </w:pPr>
          </w:p>
        </w:tc>
      </w:tr>
      <w:tr>
        <w:trPr>
          <w:trHeight w:val="200"/>
        </w:trPr>
        <w:tc>
          <w:tcPr>
            <w:tcW w:w="6660" w:type="dxa"/>
            <w:vAlign w:val="bottom"/>
          </w:tcPr>
          <w:p>
            <w:pPr>
              <w:ind w:left="100"/>
              <w:spacing w:after="0"/>
              <w:rPr>
                <w:sz w:val="20"/>
                <w:szCs w:val="20"/>
                <w:color w:val="auto"/>
              </w:rPr>
            </w:pPr>
            <w:r>
              <w:rPr>
                <w:rFonts w:ascii="Arial" w:cs="Arial" w:eastAsia="Arial" w:hAnsi="Arial"/>
                <w:sz w:val="14"/>
                <w:szCs w:val="14"/>
                <w:color w:val="0E1020"/>
              </w:rPr>
              <w:t>Restructuring costs</w:t>
            </w:r>
          </w:p>
        </w:tc>
        <w:tc>
          <w:tcPr>
            <w:tcW w:w="3300" w:type="dxa"/>
            <w:vAlign w:val="bottom"/>
          </w:tcPr>
          <w:p>
            <w:pPr>
              <w:jc w:val="right"/>
              <w:ind w:right="989"/>
              <w:spacing w:after="0"/>
              <w:rPr>
                <w:sz w:val="20"/>
                <w:szCs w:val="20"/>
                <w:color w:val="auto"/>
              </w:rPr>
            </w:pPr>
            <w:r>
              <w:rPr>
                <w:rFonts w:ascii="Arial" w:cs="Arial" w:eastAsia="Arial" w:hAnsi="Arial"/>
                <w:sz w:val="14"/>
                <w:szCs w:val="14"/>
                <w:color w:val="0E1020"/>
              </w:rPr>
              <w:t>0.51</w:t>
            </w:r>
          </w:p>
        </w:tc>
        <w:tc>
          <w:tcPr>
            <w:tcW w:w="1280" w:type="dxa"/>
            <w:vAlign w:val="bottom"/>
          </w:tcPr>
          <w:p>
            <w:pPr>
              <w:jc w:val="right"/>
              <w:ind w:right="49"/>
              <w:spacing w:after="0"/>
              <w:rPr>
                <w:sz w:val="20"/>
                <w:szCs w:val="20"/>
                <w:color w:val="auto"/>
              </w:rPr>
            </w:pPr>
            <w:r>
              <w:rPr>
                <w:rFonts w:ascii="Arial" w:cs="Arial" w:eastAsia="Arial" w:hAnsi="Arial"/>
                <w:sz w:val="14"/>
                <w:szCs w:val="14"/>
                <w:color w:val="0E1020"/>
              </w:rPr>
              <w:t>0.65</w:t>
            </w:r>
          </w:p>
        </w:tc>
      </w:tr>
      <w:tr>
        <w:trPr>
          <w:trHeight w:val="21"/>
        </w:trPr>
        <w:tc>
          <w:tcPr>
            <w:tcW w:w="6660" w:type="dxa"/>
            <w:vAlign w:val="bottom"/>
            <w:tcBorders>
              <w:bottom w:val="single" w:sz="8" w:color="CFCFD2"/>
            </w:tcBorders>
          </w:tcPr>
          <w:p>
            <w:pPr>
              <w:spacing w:after="0" w:line="20" w:lineRule="exact"/>
              <w:rPr>
                <w:sz w:val="1"/>
                <w:szCs w:val="1"/>
                <w:color w:val="auto"/>
              </w:rPr>
            </w:pPr>
          </w:p>
        </w:tc>
        <w:tc>
          <w:tcPr>
            <w:tcW w:w="3300" w:type="dxa"/>
            <w:vAlign w:val="bottom"/>
            <w:tcBorders>
              <w:bottom w:val="single" w:sz="8" w:color="CFCFD2"/>
            </w:tcBorders>
          </w:tcPr>
          <w:p>
            <w:pPr>
              <w:spacing w:after="0" w:line="20" w:lineRule="exact"/>
              <w:rPr>
                <w:sz w:val="1"/>
                <w:szCs w:val="1"/>
                <w:color w:val="auto"/>
              </w:rPr>
            </w:pPr>
          </w:p>
        </w:tc>
        <w:tc>
          <w:tcPr>
            <w:tcW w:w="1280" w:type="dxa"/>
            <w:vAlign w:val="bottom"/>
            <w:tcBorders>
              <w:bottom w:val="single" w:sz="8" w:color="CFCFD2"/>
            </w:tcBorders>
          </w:tcPr>
          <w:p>
            <w:pPr>
              <w:spacing w:after="0" w:line="20" w:lineRule="exact"/>
              <w:rPr>
                <w:sz w:val="1"/>
                <w:szCs w:val="1"/>
                <w:color w:val="auto"/>
              </w:rPr>
            </w:pPr>
          </w:p>
        </w:tc>
      </w:tr>
      <w:tr>
        <w:trPr>
          <w:trHeight w:val="200"/>
        </w:trPr>
        <w:tc>
          <w:tcPr>
            <w:tcW w:w="6660" w:type="dxa"/>
            <w:vAlign w:val="bottom"/>
          </w:tcPr>
          <w:p>
            <w:pPr>
              <w:ind w:left="100"/>
              <w:spacing w:after="0"/>
              <w:rPr>
                <w:sz w:val="20"/>
                <w:szCs w:val="20"/>
                <w:color w:val="auto"/>
              </w:rPr>
            </w:pPr>
            <w:r>
              <w:rPr>
                <w:rFonts w:ascii="Arial" w:cs="Arial" w:eastAsia="Arial" w:hAnsi="Arial"/>
                <w:sz w:val="14"/>
                <w:szCs w:val="14"/>
                <w:color w:val="0E1020"/>
              </w:rPr>
              <w:t>Transaction, separation, and integration-related costs</w:t>
            </w:r>
          </w:p>
        </w:tc>
        <w:tc>
          <w:tcPr>
            <w:tcW w:w="3300" w:type="dxa"/>
            <w:vAlign w:val="bottom"/>
          </w:tcPr>
          <w:p>
            <w:pPr>
              <w:jc w:val="right"/>
              <w:ind w:right="989"/>
              <w:spacing w:after="0"/>
              <w:rPr>
                <w:sz w:val="20"/>
                <w:szCs w:val="20"/>
                <w:color w:val="auto"/>
              </w:rPr>
            </w:pPr>
            <w:r>
              <w:rPr>
                <w:rFonts w:ascii="Arial" w:cs="Arial" w:eastAsia="Arial" w:hAnsi="Arial"/>
                <w:sz w:val="14"/>
                <w:szCs w:val="14"/>
                <w:color w:val="0E1020"/>
              </w:rPr>
              <w:t>0.02</w:t>
            </w:r>
          </w:p>
        </w:tc>
        <w:tc>
          <w:tcPr>
            <w:tcW w:w="1280" w:type="dxa"/>
            <w:vAlign w:val="bottom"/>
          </w:tcPr>
          <w:p>
            <w:pPr>
              <w:jc w:val="right"/>
              <w:ind w:right="49"/>
              <w:spacing w:after="0"/>
              <w:rPr>
                <w:sz w:val="20"/>
                <w:szCs w:val="20"/>
                <w:color w:val="auto"/>
              </w:rPr>
            </w:pPr>
            <w:r>
              <w:rPr>
                <w:rFonts w:ascii="Arial" w:cs="Arial" w:eastAsia="Arial" w:hAnsi="Arial"/>
                <w:sz w:val="14"/>
                <w:szCs w:val="14"/>
                <w:color w:val="0E1020"/>
              </w:rPr>
              <w:t>0.11</w:t>
            </w:r>
          </w:p>
        </w:tc>
      </w:tr>
      <w:tr>
        <w:trPr>
          <w:trHeight w:val="21"/>
        </w:trPr>
        <w:tc>
          <w:tcPr>
            <w:tcW w:w="6660" w:type="dxa"/>
            <w:vAlign w:val="bottom"/>
            <w:tcBorders>
              <w:bottom w:val="single" w:sz="8" w:color="CFCFD2"/>
            </w:tcBorders>
          </w:tcPr>
          <w:p>
            <w:pPr>
              <w:spacing w:after="0" w:line="20" w:lineRule="exact"/>
              <w:rPr>
                <w:sz w:val="1"/>
                <w:szCs w:val="1"/>
                <w:color w:val="auto"/>
              </w:rPr>
            </w:pPr>
          </w:p>
        </w:tc>
        <w:tc>
          <w:tcPr>
            <w:tcW w:w="3300" w:type="dxa"/>
            <w:vAlign w:val="bottom"/>
            <w:tcBorders>
              <w:bottom w:val="single" w:sz="8" w:color="CFCFD2"/>
            </w:tcBorders>
          </w:tcPr>
          <w:p>
            <w:pPr>
              <w:spacing w:after="0" w:line="20" w:lineRule="exact"/>
              <w:rPr>
                <w:sz w:val="1"/>
                <w:szCs w:val="1"/>
                <w:color w:val="auto"/>
              </w:rPr>
            </w:pPr>
          </w:p>
        </w:tc>
        <w:tc>
          <w:tcPr>
            <w:tcW w:w="1280" w:type="dxa"/>
            <w:vAlign w:val="bottom"/>
            <w:tcBorders>
              <w:bottom w:val="single" w:sz="8" w:color="CFCFD2"/>
            </w:tcBorders>
          </w:tcPr>
          <w:p>
            <w:pPr>
              <w:spacing w:after="0" w:line="20" w:lineRule="exact"/>
              <w:rPr>
                <w:sz w:val="1"/>
                <w:szCs w:val="1"/>
                <w:color w:val="auto"/>
              </w:rPr>
            </w:pPr>
          </w:p>
        </w:tc>
      </w:tr>
      <w:tr>
        <w:trPr>
          <w:trHeight w:val="200"/>
        </w:trPr>
        <w:tc>
          <w:tcPr>
            <w:tcW w:w="6660" w:type="dxa"/>
            <w:vAlign w:val="bottom"/>
          </w:tcPr>
          <w:p>
            <w:pPr>
              <w:ind w:left="100"/>
              <w:spacing w:after="0"/>
              <w:rPr>
                <w:sz w:val="20"/>
                <w:szCs w:val="20"/>
                <w:color w:val="auto"/>
              </w:rPr>
            </w:pPr>
            <w:r>
              <w:rPr>
                <w:rFonts w:ascii="Arial" w:cs="Arial" w:eastAsia="Arial" w:hAnsi="Arial"/>
                <w:sz w:val="14"/>
                <w:szCs w:val="14"/>
                <w:color w:val="0E1020"/>
              </w:rPr>
              <w:t>Amortization of acquired intangible assets</w:t>
            </w:r>
          </w:p>
        </w:tc>
        <w:tc>
          <w:tcPr>
            <w:tcW w:w="3300" w:type="dxa"/>
            <w:vAlign w:val="bottom"/>
          </w:tcPr>
          <w:p>
            <w:pPr>
              <w:jc w:val="right"/>
              <w:ind w:right="989"/>
              <w:spacing w:after="0"/>
              <w:rPr>
                <w:sz w:val="20"/>
                <w:szCs w:val="20"/>
                <w:color w:val="auto"/>
              </w:rPr>
            </w:pPr>
            <w:r>
              <w:rPr>
                <w:rFonts w:ascii="Arial" w:cs="Arial" w:eastAsia="Arial" w:hAnsi="Arial"/>
                <w:sz w:val="14"/>
                <w:szCs w:val="14"/>
                <w:color w:val="0E1020"/>
              </w:rPr>
              <w:t>1.56</w:t>
            </w:r>
          </w:p>
        </w:tc>
        <w:tc>
          <w:tcPr>
            <w:tcW w:w="1280" w:type="dxa"/>
            <w:vAlign w:val="bottom"/>
          </w:tcPr>
          <w:p>
            <w:pPr>
              <w:jc w:val="right"/>
              <w:ind w:right="49"/>
              <w:spacing w:after="0"/>
              <w:rPr>
                <w:sz w:val="20"/>
                <w:szCs w:val="20"/>
                <w:color w:val="auto"/>
              </w:rPr>
            </w:pPr>
            <w:r>
              <w:rPr>
                <w:rFonts w:ascii="Arial" w:cs="Arial" w:eastAsia="Arial" w:hAnsi="Arial"/>
                <w:sz w:val="14"/>
                <w:szCs w:val="14"/>
                <w:color w:val="0E1020"/>
              </w:rPr>
              <w:t>1.47</w:t>
            </w:r>
          </w:p>
        </w:tc>
      </w:tr>
      <w:tr>
        <w:trPr>
          <w:trHeight w:val="21"/>
        </w:trPr>
        <w:tc>
          <w:tcPr>
            <w:tcW w:w="6660" w:type="dxa"/>
            <w:vAlign w:val="bottom"/>
            <w:tcBorders>
              <w:bottom w:val="single" w:sz="8" w:color="CFCFD2"/>
            </w:tcBorders>
          </w:tcPr>
          <w:p>
            <w:pPr>
              <w:spacing w:after="0" w:line="20" w:lineRule="exact"/>
              <w:rPr>
                <w:sz w:val="1"/>
                <w:szCs w:val="1"/>
                <w:color w:val="auto"/>
              </w:rPr>
            </w:pPr>
          </w:p>
        </w:tc>
        <w:tc>
          <w:tcPr>
            <w:tcW w:w="3300" w:type="dxa"/>
            <w:vAlign w:val="bottom"/>
            <w:tcBorders>
              <w:bottom w:val="single" w:sz="8" w:color="CFCFD2"/>
            </w:tcBorders>
          </w:tcPr>
          <w:p>
            <w:pPr>
              <w:spacing w:after="0" w:line="20" w:lineRule="exact"/>
              <w:rPr>
                <w:sz w:val="1"/>
                <w:szCs w:val="1"/>
                <w:color w:val="auto"/>
              </w:rPr>
            </w:pPr>
          </w:p>
        </w:tc>
        <w:tc>
          <w:tcPr>
            <w:tcW w:w="1280" w:type="dxa"/>
            <w:vAlign w:val="bottom"/>
            <w:tcBorders>
              <w:bottom w:val="single" w:sz="8" w:color="CFCFD2"/>
            </w:tcBorders>
          </w:tcPr>
          <w:p>
            <w:pPr>
              <w:spacing w:after="0" w:line="20" w:lineRule="exact"/>
              <w:rPr>
                <w:sz w:val="1"/>
                <w:szCs w:val="1"/>
                <w:color w:val="auto"/>
              </w:rPr>
            </w:pPr>
          </w:p>
        </w:tc>
      </w:tr>
      <w:tr>
        <w:trPr>
          <w:trHeight w:val="200"/>
        </w:trPr>
        <w:tc>
          <w:tcPr>
            <w:tcW w:w="6660" w:type="dxa"/>
            <w:vAlign w:val="bottom"/>
          </w:tcPr>
          <w:p>
            <w:pPr>
              <w:ind w:left="100"/>
              <w:spacing w:after="0"/>
              <w:rPr>
                <w:sz w:val="20"/>
                <w:szCs w:val="20"/>
                <w:color w:val="auto"/>
              </w:rPr>
            </w:pPr>
            <w:r>
              <w:rPr>
                <w:rFonts w:ascii="Arial" w:cs="Arial" w:eastAsia="Arial" w:hAnsi="Arial"/>
                <w:sz w:val="14"/>
                <w:szCs w:val="14"/>
                <w:color w:val="0E1020"/>
              </w:rPr>
              <w:t>Impairment losses</w:t>
            </w:r>
          </w:p>
        </w:tc>
        <w:tc>
          <w:tcPr>
            <w:tcW w:w="3300" w:type="dxa"/>
            <w:vAlign w:val="bottom"/>
          </w:tcPr>
          <w:p>
            <w:pPr>
              <w:jc w:val="right"/>
              <w:ind w:right="989"/>
              <w:spacing w:after="0"/>
              <w:rPr>
                <w:sz w:val="20"/>
                <w:szCs w:val="20"/>
                <w:color w:val="auto"/>
              </w:rPr>
            </w:pPr>
            <w:r>
              <w:rPr>
                <w:rFonts w:ascii="Arial" w:cs="Arial" w:eastAsia="Arial" w:hAnsi="Arial"/>
                <w:sz w:val="14"/>
                <w:szCs w:val="14"/>
                <w:color w:val="0E1020"/>
              </w:rPr>
              <w:t>0.07</w:t>
            </w:r>
          </w:p>
        </w:tc>
        <w:tc>
          <w:tcPr>
            <w:tcW w:w="1280" w:type="dxa"/>
            <w:vAlign w:val="bottom"/>
          </w:tcPr>
          <w:p>
            <w:pPr>
              <w:jc w:val="right"/>
              <w:ind w:right="49"/>
              <w:spacing w:after="0"/>
              <w:rPr>
                <w:sz w:val="20"/>
                <w:szCs w:val="20"/>
                <w:color w:val="auto"/>
              </w:rPr>
            </w:pPr>
            <w:r>
              <w:rPr>
                <w:rFonts w:ascii="Arial" w:cs="Arial" w:eastAsia="Arial" w:hAnsi="Arial"/>
                <w:sz w:val="14"/>
                <w:szCs w:val="14"/>
                <w:color w:val="0E1020"/>
              </w:rPr>
              <w:t>0.09</w:t>
            </w:r>
          </w:p>
        </w:tc>
      </w:tr>
      <w:tr>
        <w:trPr>
          <w:trHeight w:val="21"/>
        </w:trPr>
        <w:tc>
          <w:tcPr>
            <w:tcW w:w="6660" w:type="dxa"/>
            <w:vAlign w:val="bottom"/>
            <w:tcBorders>
              <w:bottom w:val="single" w:sz="8" w:color="CFCFD2"/>
            </w:tcBorders>
          </w:tcPr>
          <w:p>
            <w:pPr>
              <w:spacing w:after="0" w:line="20" w:lineRule="exact"/>
              <w:rPr>
                <w:sz w:val="1"/>
                <w:szCs w:val="1"/>
                <w:color w:val="auto"/>
              </w:rPr>
            </w:pPr>
          </w:p>
        </w:tc>
        <w:tc>
          <w:tcPr>
            <w:tcW w:w="3300" w:type="dxa"/>
            <w:vAlign w:val="bottom"/>
            <w:tcBorders>
              <w:bottom w:val="single" w:sz="8" w:color="CFCFD2"/>
            </w:tcBorders>
          </w:tcPr>
          <w:p>
            <w:pPr>
              <w:spacing w:after="0" w:line="20" w:lineRule="exact"/>
              <w:rPr>
                <w:sz w:val="1"/>
                <w:szCs w:val="1"/>
                <w:color w:val="auto"/>
              </w:rPr>
            </w:pPr>
          </w:p>
        </w:tc>
        <w:tc>
          <w:tcPr>
            <w:tcW w:w="1280" w:type="dxa"/>
            <w:vAlign w:val="bottom"/>
            <w:tcBorders>
              <w:bottom w:val="single" w:sz="8" w:color="CFCFD2"/>
            </w:tcBorders>
          </w:tcPr>
          <w:p>
            <w:pPr>
              <w:spacing w:after="0" w:line="20" w:lineRule="exact"/>
              <w:rPr>
                <w:sz w:val="1"/>
                <w:szCs w:val="1"/>
                <w:color w:val="auto"/>
              </w:rPr>
            </w:pPr>
          </w:p>
        </w:tc>
      </w:tr>
      <w:tr>
        <w:trPr>
          <w:trHeight w:val="200"/>
        </w:trPr>
        <w:tc>
          <w:tcPr>
            <w:tcW w:w="6660" w:type="dxa"/>
            <w:vAlign w:val="bottom"/>
          </w:tcPr>
          <w:p>
            <w:pPr>
              <w:ind w:left="100"/>
              <w:spacing w:after="0"/>
              <w:rPr>
                <w:sz w:val="20"/>
                <w:szCs w:val="20"/>
                <w:color w:val="auto"/>
              </w:rPr>
            </w:pPr>
            <w:r>
              <w:rPr>
                <w:rFonts w:ascii="Arial" w:cs="Arial" w:eastAsia="Arial" w:hAnsi="Arial"/>
                <w:sz w:val="14"/>
                <w:szCs w:val="14"/>
                <w:color w:val="0E1020"/>
              </w:rPr>
              <w:t>Merger related indemnification</w:t>
            </w:r>
          </w:p>
        </w:tc>
        <w:tc>
          <w:tcPr>
            <w:tcW w:w="3300" w:type="dxa"/>
            <w:vAlign w:val="bottom"/>
          </w:tcPr>
          <w:p>
            <w:pPr>
              <w:jc w:val="right"/>
              <w:ind w:right="989"/>
              <w:spacing w:after="0"/>
              <w:rPr>
                <w:sz w:val="20"/>
                <w:szCs w:val="20"/>
                <w:color w:val="auto"/>
              </w:rPr>
            </w:pPr>
            <w:r>
              <w:rPr>
                <w:rFonts w:ascii="Arial" w:cs="Arial" w:eastAsia="Arial" w:hAnsi="Arial"/>
                <w:sz w:val="14"/>
                <w:szCs w:val="14"/>
                <w:color w:val="0E1020"/>
              </w:rPr>
              <w:t>(0.19)</w:t>
            </w:r>
          </w:p>
        </w:tc>
        <w:tc>
          <w:tcPr>
            <w:tcW w:w="1280" w:type="dxa"/>
            <w:vAlign w:val="bottom"/>
          </w:tcPr>
          <w:p>
            <w:pPr>
              <w:jc w:val="right"/>
              <w:ind w:right="49"/>
              <w:spacing w:after="0"/>
              <w:rPr>
                <w:sz w:val="20"/>
                <w:szCs w:val="20"/>
                <w:color w:val="auto"/>
              </w:rPr>
            </w:pPr>
            <w:r>
              <w:rPr>
                <w:rFonts w:ascii="Arial" w:cs="Arial" w:eastAsia="Arial" w:hAnsi="Arial"/>
                <w:sz w:val="14"/>
                <w:szCs w:val="14"/>
                <w:color w:val="0E1020"/>
              </w:rPr>
              <w:t>(0.02)</w:t>
            </w:r>
          </w:p>
        </w:tc>
      </w:tr>
      <w:tr>
        <w:trPr>
          <w:trHeight w:val="21"/>
        </w:trPr>
        <w:tc>
          <w:tcPr>
            <w:tcW w:w="6660" w:type="dxa"/>
            <w:vAlign w:val="bottom"/>
            <w:tcBorders>
              <w:bottom w:val="single" w:sz="8" w:color="CFCFD2"/>
            </w:tcBorders>
          </w:tcPr>
          <w:p>
            <w:pPr>
              <w:spacing w:after="0" w:line="20" w:lineRule="exact"/>
              <w:rPr>
                <w:sz w:val="1"/>
                <w:szCs w:val="1"/>
                <w:color w:val="auto"/>
              </w:rPr>
            </w:pPr>
          </w:p>
        </w:tc>
        <w:tc>
          <w:tcPr>
            <w:tcW w:w="3300" w:type="dxa"/>
            <w:vAlign w:val="bottom"/>
            <w:tcBorders>
              <w:bottom w:val="single" w:sz="8" w:color="CFCFD2"/>
            </w:tcBorders>
          </w:tcPr>
          <w:p>
            <w:pPr>
              <w:spacing w:after="0" w:line="20" w:lineRule="exact"/>
              <w:rPr>
                <w:sz w:val="1"/>
                <w:szCs w:val="1"/>
                <w:color w:val="auto"/>
              </w:rPr>
            </w:pPr>
          </w:p>
        </w:tc>
        <w:tc>
          <w:tcPr>
            <w:tcW w:w="1280" w:type="dxa"/>
            <w:vAlign w:val="bottom"/>
            <w:tcBorders>
              <w:bottom w:val="single" w:sz="8" w:color="CFCFD2"/>
            </w:tcBorders>
          </w:tcPr>
          <w:p>
            <w:pPr>
              <w:spacing w:after="0" w:line="20" w:lineRule="exact"/>
              <w:rPr>
                <w:sz w:val="1"/>
                <w:szCs w:val="1"/>
                <w:color w:val="auto"/>
              </w:rPr>
            </w:pPr>
          </w:p>
        </w:tc>
      </w:tr>
      <w:tr>
        <w:trPr>
          <w:trHeight w:val="200"/>
        </w:trPr>
        <w:tc>
          <w:tcPr>
            <w:tcW w:w="6660" w:type="dxa"/>
            <w:vAlign w:val="bottom"/>
          </w:tcPr>
          <w:p>
            <w:pPr>
              <w:ind w:left="100"/>
              <w:spacing w:after="0"/>
              <w:rPr>
                <w:sz w:val="20"/>
                <w:szCs w:val="20"/>
                <w:color w:val="auto"/>
              </w:rPr>
            </w:pPr>
            <w:r>
              <w:rPr>
                <w:rFonts w:ascii="Arial" w:cs="Arial" w:eastAsia="Arial" w:hAnsi="Arial"/>
                <w:sz w:val="14"/>
                <w:szCs w:val="14"/>
                <w:color w:val="0E1020"/>
              </w:rPr>
              <w:t>Debt extinguishment costs</w:t>
            </w:r>
          </w:p>
        </w:tc>
        <w:tc>
          <w:tcPr>
            <w:tcW w:w="3300" w:type="dxa"/>
            <w:vAlign w:val="bottom"/>
          </w:tcPr>
          <w:p>
            <w:pPr>
              <w:jc w:val="right"/>
              <w:ind w:right="989"/>
              <w:spacing w:after="0"/>
              <w:rPr>
                <w:sz w:val="20"/>
                <w:szCs w:val="20"/>
                <w:color w:val="auto"/>
              </w:rPr>
            </w:pPr>
            <w:r>
              <w:rPr>
                <w:rFonts w:ascii="Arial" w:cs="Arial" w:eastAsia="Arial" w:hAnsi="Arial"/>
                <w:sz w:val="14"/>
                <w:szCs w:val="14"/>
                <w:color w:val="0E1020"/>
              </w:rPr>
              <w:t>0.01</w:t>
            </w:r>
          </w:p>
        </w:tc>
        <w:tc>
          <w:tcPr>
            <w:tcW w:w="1280" w:type="dxa"/>
            <w:vAlign w:val="bottom"/>
          </w:tcPr>
          <w:p>
            <w:pPr>
              <w:jc w:val="right"/>
              <w:ind w:right="49"/>
              <w:spacing w:after="0"/>
              <w:rPr>
                <w:sz w:val="20"/>
                <w:szCs w:val="20"/>
                <w:color w:val="auto"/>
              </w:rPr>
            </w:pPr>
            <w:r>
              <w:rPr>
                <w:rFonts w:ascii="Arial" w:cs="Arial" w:eastAsia="Arial" w:hAnsi="Arial"/>
                <w:sz w:val="14"/>
                <w:szCs w:val="14"/>
                <w:color w:val="0E1020"/>
              </w:rPr>
              <w:t>0.00</w:t>
            </w:r>
          </w:p>
        </w:tc>
      </w:tr>
      <w:tr>
        <w:trPr>
          <w:trHeight w:val="21"/>
        </w:trPr>
        <w:tc>
          <w:tcPr>
            <w:tcW w:w="6660" w:type="dxa"/>
            <w:vAlign w:val="bottom"/>
            <w:tcBorders>
              <w:bottom w:val="single" w:sz="8" w:color="CFCFD2"/>
            </w:tcBorders>
          </w:tcPr>
          <w:p>
            <w:pPr>
              <w:spacing w:after="0" w:line="20" w:lineRule="exact"/>
              <w:rPr>
                <w:sz w:val="1"/>
                <w:szCs w:val="1"/>
                <w:color w:val="auto"/>
              </w:rPr>
            </w:pPr>
          </w:p>
        </w:tc>
        <w:tc>
          <w:tcPr>
            <w:tcW w:w="3300" w:type="dxa"/>
            <w:vAlign w:val="bottom"/>
            <w:tcBorders>
              <w:bottom w:val="single" w:sz="8" w:color="CFCFD2"/>
            </w:tcBorders>
          </w:tcPr>
          <w:p>
            <w:pPr>
              <w:spacing w:after="0" w:line="20" w:lineRule="exact"/>
              <w:rPr>
                <w:sz w:val="1"/>
                <w:szCs w:val="1"/>
                <w:color w:val="auto"/>
              </w:rPr>
            </w:pPr>
          </w:p>
        </w:tc>
        <w:tc>
          <w:tcPr>
            <w:tcW w:w="1280" w:type="dxa"/>
            <w:vAlign w:val="bottom"/>
            <w:tcBorders>
              <w:bottom w:val="single" w:sz="8" w:color="CFCFD2"/>
            </w:tcBorders>
          </w:tcPr>
          <w:p>
            <w:pPr>
              <w:spacing w:after="0" w:line="20" w:lineRule="exact"/>
              <w:rPr>
                <w:sz w:val="1"/>
                <w:szCs w:val="1"/>
                <w:color w:val="auto"/>
              </w:rPr>
            </w:pPr>
          </w:p>
        </w:tc>
      </w:tr>
      <w:tr>
        <w:trPr>
          <w:trHeight w:val="200"/>
        </w:trPr>
        <w:tc>
          <w:tcPr>
            <w:tcW w:w="6660" w:type="dxa"/>
            <w:vAlign w:val="bottom"/>
          </w:tcPr>
          <w:p>
            <w:pPr>
              <w:ind w:left="100"/>
              <w:spacing w:after="0"/>
              <w:rPr>
                <w:sz w:val="20"/>
                <w:szCs w:val="20"/>
                <w:color w:val="auto"/>
              </w:rPr>
            </w:pPr>
            <w:r>
              <w:rPr>
                <w:rFonts w:ascii="Arial" w:cs="Arial" w:eastAsia="Arial" w:hAnsi="Arial"/>
                <w:sz w:val="14"/>
                <w:szCs w:val="14"/>
                <w:color w:val="0E1020"/>
              </w:rPr>
              <w:t>Gains on dispositions</w:t>
            </w:r>
          </w:p>
        </w:tc>
        <w:tc>
          <w:tcPr>
            <w:tcW w:w="3300" w:type="dxa"/>
            <w:vAlign w:val="bottom"/>
          </w:tcPr>
          <w:p>
            <w:pPr>
              <w:jc w:val="right"/>
              <w:ind w:right="989"/>
              <w:spacing w:after="0"/>
              <w:rPr>
                <w:sz w:val="20"/>
                <w:szCs w:val="20"/>
                <w:color w:val="auto"/>
              </w:rPr>
            </w:pPr>
            <w:r>
              <w:rPr>
                <w:rFonts w:ascii="Arial" w:cs="Arial" w:eastAsia="Arial" w:hAnsi="Arial"/>
                <w:sz w:val="14"/>
                <w:szCs w:val="14"/>
                <w:color w:val="0E1020"/>
              </w:rPr>
              <w:t>(0.01)</w:t>
            </w:r>
          </w:p>
        </w:tc>
        <w:tc>
          <w:tcPr>
            <w:tcW w:w="1280" w:type="dxa"/>
            <w:vAlign w:val="bottom"/>
          </w:tcPr>
          <w:p>
            <w:pPr>
              <w:jc w:val="right"/>
              <w:ind w:right="49"/>
              <w:spacing w:after="0"/>
              <w:rPr>
                <w:sz w:val="20"/>
                <w:szCs w:val="20"/>
                <w:color w:val="auto"/>
              </w:rPr>
            </w:pPr>
            <w:r>
              <w:rPr>
                <w:rFonts w:ascii="Arial" w:cs="Arial" w:eastAsia="Arial" w:hAnsi="Arial"/>
                <w:sz w:val="14"/>
                <w:szCs w:val="14"/>
                <w:color w:val="0E1020"/>
              </w:rPr>
              <w:t>(0.05)</w:t>
            </w:r>
          </w:p>
        </w:tc>
      </w:tr>
      <w:tr>
        <w:trPr>
          <w:trHeight w:val="21"/>
        </w:trPr>
        <w:tc>
          <w:tcPr>
            <w:tcW w:w="6660" w:type="dxa"/>
            <w:vAlign w:val="bottom"/>
            <w:tcBorders>
              <w:bottom w:val="single" w:sz="8" w:color="CFCFD2"/>
            </w:tcBorders>
          </w:tcPr>
          <w:p>
            <w:pPr>
              <w:spacing w:after="0" w:line="20" w:lineRule="exact"/>
              <w:rPr>
                <w:sz w:val="1"/>
                <w:szCs w:val="1"/>
                <w:color w:val="auto"/>
              </w:rPr>
            </w:pPr>
          </w:p>
        </w:tc>
        <w:tc>
          <w:tcPr>
            <w:tcW w:w="3300" w:type="dxa"/>
            <w:vAlign w:val="bottom"/>
            <w:tcBorders>
              <w:bottom w:val="single" w:sz="8" w:color="CFCFD2"/>
            </w:tcBorders>
          </w:tcPr>
          <w:p>
            <w:pPr>
              <w:spacing w:after="0" w:line="20" w:lineRule="exact"/>
              <w:rPr>
                <w:sz w:val="1"/>
                <w:szCs w:val="1"/>
                <w:color w:val="auto"/>
              </w:rPr>
            </w:pPr>
          </w:p>
        </w:tc>
        <w:tc>
          <w:tcPr>
            <w:tcW w:w="1280" w:type="dxa"/>
            <w:vAlign w:val="bottom"/>
            <w:tcBorders>
              <w:bottom w:val="single" w:sz="8" w:color="CFCFD2"/>
            </w:tcBorders>
          </w:tcPr>
          <w:p>
            <w:pPr>
              <w:spacing w:after="0" w:line="20" w:lineRule="exact"/>
              <w:rPr>
                <w:sz w:val="1"/>
                <w:szCs w:val="1"/>
                <w:color w:val="auto"/>
              </w:rPr>
            </w:pPr>
          </w:p>
        </w:tc>
      </w:tr>
      <w:tr>
        <w:trPr>
          <w:trHeight w:val="200"/>
        </w:trPr>
        <w:tc>
          <w:tcPr>
            <w:tcW w:w="6660" w:type="dxa"/>
            <w:vAlign w:val="bottom"/>
          </w:tcPr>
          <w:p>
            <w:pPr>
              <w:ind w:left="100"/>
              <w:spacing w:after="0"/>
              <w:rPr>
                <w:sz w:val="20"/>
                <w:szCs w:val="20"/>
                <w:color w:val="auto"/>
              </w:rPr>
            </w:pPr>
            <w:r>
              <w:rPr>
                <w:rFonts w:ascii="Arial" w:cs="Arial" w:eastAsia="Arial" w:hAnsi="Arial"/>
                <w:sz w:val="14"/>
                <w:szCs w:val="14"/>
                <w:color w:val="0E1020"/>
              </w:rPr>
              <w:t>Losses on real estate and facility sales</w:t>
            </w:r>
          </w:p>
        </w:tc>
        <w:tc>
          <w:tcPr>
            <w:tcW w:w="3300" w:type="dxa"/>
            <w:vAlign w:val="bottom"/>
          </w:tcPr>
          <w:p>
            <w:pPr>
              <w:jc w:val="right"/>
              <w:ind w:right="989"/>
              <w:spacing w:after="0"/>
              <w:rPr>
                <w:sz w:val="20"/>
                <w:szCs w:val="20"/>
                <w:color w:val="auto"/>
              </w:rPr>
            </w:pPr>
            <w:r>
              <w:rPr>
                <w:rFonts w:ascii="Arial" w:cs="Arial" w:eastAsia="Arial" w:hAnsi="Arial"/>
                <w:sz w:val="14"/>
                <w:szCs w:val="14"/>
                <w:color w:val="0E1020"/>
              </w:rPr>
              <w:t>0.00</w:t>
            </w:r>
          </w:p>
        </w:tc>
        <w:tc>
          <w:tcPr>
            <w:tcW w:w="1280" w:type="dxa"/>
            <w:vAlign w:val="bottom"/>
          </w:tcPr>
          <w:p>
            <w:pPr>
              <w:jc w:val="right"/>
              <w:ind w:right="49"/>
              <w:spacing w:after="0"/>
              <w:rPr>
                <w:sz w:val="20"/>
                <w:szCs w:val="20"/>
                <w:color w:val="auto"/>
              </w:rPr>
            </w:pPr>
            <w:r>
              <w:rPr>
                <w:rFonts w:ascii="Arial" w:cs="Arial" w:eastAsia="Arial" w:hAnsi="Arial"/>
                <w:sz w:val="14"/>
                <w:szCs w:val="14"/>
                <w:color w:val="0E1020"/>
              </w:rPr>
              <w:t>0.08</w:t>
            </w:r>
          </w:p>
        </w:tc>
      </w:tr>
      <w:tr>
        <w:trPr>
          <w:trHeight w:val="21"/>
        </w:trPr>
        <w:tc>
          <w:tcPr>
            <w:tcW w:w="6660" w:type="dxa"/>
            <w:vAlign w:val="bottom"/>
            <w:tcBorders>
              <w:bottom w:val="single" w:sz="8" w:color="CFCFD2"/>
            </w:tcBorders>
          </w:tcPr>
          <w:p>
            <w:pPr>
              <w:spacing w:after="0" w:line="20" w:lineRule="exact"/>
              <w:rPr>
                <w:sz w:val="1"/>
                <w:szCs w:val="1"/>
                <w:color w:val="auto"/>
              </w:rPr>
            </w:pPr>
          </w:p>
        </w:tc>
        <w:tc>
          <w:tcPr>
            <w:tcW w:w="3300" w:type="dxa"/>
            <w:vAlign w:val="bottom"/>
            <w:tcBorders>
              <w:bottom w:val="single" w:sz="8" w:color="CFCFD2"/>
            </w:tcBorders>
          </w:tcPr>
          <w:p>
            <w:pPr>
              <w:spacing w:after="0" w:line="20" w:lineRule="exact"/>
              <w:rPr>
                <w:sz w:val="1"/>
                <w:szCs w:val="1"/>
                <w:color w:val="auto"/>
              </w:rPr>
            </w:pPr>
          </w:p>
        </w:tc>
        <w:tc>
          <w:tcPr>
            <w:tcW w:w="1280" w:type="dxa"/>
            <w:vAlign w:val="bottom"/>
            <w:tcBorders>
              <w:bottom w:val="single" w:sz="8" w:color="CFCFD2"/>
            </w:tcBorders>
          </w:tcPr>
          <w:p>
            <w:pPr>
              <w:spacing w:after="0" w:line="20" w:lineRule="exact"/>
              <w:rPr>
                <w:sz w:val="1"/>
                <w:szCs w:val="1"/>
                <w:color w:val="auto"/>
              </w:rPr>
            </w:pPr>
          </w:p>
        </w:tc>
      </w:tr>
      <w:tr>
        <w:trPr>
          <w:trHeight w:val="200"/>
        </w:trPr>
        <w:tc>
          <w:tcPr>
            <w:tcW w:w="6660" w:type="dxa"/>
            <w:vAlign w:val="bottom"/>
          </w:tcPr>
          <w:p>
            <w:pPr>
              <w:ind w:left="100"/>
              <w:spacing w:after="0"/>
              <w:rPr>
                <w:sz w:val="20"/>
                <w:szCs w:val="20"/>
                <w:color w:val="auto"/>
              </w:rPr>
            </w:pPr>
            <w:r>
              <w:rPr>
                <w:rFonts w:ascii="Arial" w:cs="Arial" w:eastAsia="Arial" w:hAnsi="Arial"/>
                <w:sz w:val="14"/>
                <w:szCs w:val="14"/>
                <w:color w:val="0E1020"/>
              </w:rPr>
              <w:t>Pension and OPEB actuarial and settlement losses (gains)</w:t>
            </w:r>
          </w:p>
        </w:tc>
        <w:tc>
          <w:tcPr>
            <w:tcW w:w="3300" w:type="dxa"/>
            <w:vAlign w:val="bottom"/>
          </w:tcPr>
          <w:p>
            <w:pPr>
              <w:jc w:val="right"/>
              <w:ind w:right="989"/>
              <w:spacing w:after="0"/>
              <w:rPr>
                <w:sz w:val="20"/>
                <w:szCs w:val="20"/>
                <w:color w:val="auto"/>
              </w:rPr>
            </w:pPr>
            <w:r>
              <w:rPr>
                <w:rFonts w:ascii="Arial" w:cs="Arial" w:eastAsia="Arial" w:hAnsi="Arial"/>
                <w:sz w:val="14"/>
                <w:szCs w:val="14"/>
                <w:color w:val="0E1020"/>
              </w:rPr>
              <w:t>0.73</w:t>
            </w:r>
          </w:p>
        </w:tc>
        <w:tc>
          <w:tcPr>
            <w:tcW w:w="1280" w:type="dxa"/>
            <w:vAlign w:val="bottom"/>
          </w:tcPr>
          <w:p>
            <w:pPr>
              <w:jc w:val="right"/>
              <w:ind w:right="49"/>
              <w:spacing w:after="0"/>
              <w:rPr>
                <w:sz w:val="20"/>
                <w:szCs w:val="20"/>
                <w:color w:val="auto"/>
              </w:rPr>
            </w:pPr>
            <w:r>
              <w:rPr>
                <w:rFonts w:ascii="Arial" w:cs="Arial" w:eastAsia="Arial" w:hAnsi="Arial"/>
                <w:sz w:val="14"/>
                <w:szCs w:val="14"/>
                <w:color w:val="0E1020"/>
              </w:rPr>
              <w:t>(0.89)</w:t>
            </w:r>
          </w:p>
        </w:tc>
      </w:tr>
      <w:tr>
        <w:trPr>
          <w:trHeight w:val="21"/>
        </w:trPr>
        <w:tc>
          <w:tcPr>
            <w:tcW w:w="6660" w:type="dxa"/>
            <w:vAlign w:val="bottom"/>
            <w:tcBorders>
              <w:bottom w:val="single" w:sz="8" w:color="CFCFD2"/>
            </w:tcBorders>
          </w:tcPr>
          <w:p>
            <w:pPr>
              <w:spacing w:after="0" w:line="20" w:lineRule="exact"/>
              <w:rPr>
                <w:sz w:val="1"/>
                <w:szCs w:val="1"/>
                <w:color w:val="auto"/>
              </w:rPr>
            </w:pPr>
          </w:p>
        </w:tc>
        <w:tc>
          <w:tcPr>
            <w:tcW w:w="3300" w:type="dxa"/>
            <w:vAlign w:val="bottom"/>
            <w:tcBorders>
              <w:bottom w:val="single" w:sz="8" w:color="CFCFD2"/>
            </w:tcBorders>
          </w:tcPr>
          <w:p>
            <w:pPr>
              <w:spacing w:after="0" w:line="20" w:lineRule="exact"/>
              <w:rPr>
                <w:sz w:val="1"/>
                <w:szCs w:val="1"/>
                <w:color w:val="auto"/>
              </w:rPr>
            </w:pPr>
          </w:p>
        </w:tc>
        <w:tc>
          <w:tcPr>
            <w:tcW w:w="1280" w:type="dxa"/>
            <w:vAlign w:val="bottom"/>
            <w:tcBorders>
              <w:bottom w:val="single" w:sz="8" w:color="CFCFD2"/>
            </w:tcBorders>
          </w:tcPr>
          <w:p>
            <w:pPr>
              <w:spacing w:after="0" w:line="20" w:lineRule="exact"/>
              <w:rPr>
                <w:sz w:val="1"/>
                <w:szCs w:val="1"/>
                <w:color w:val="auto"/>
              </w:rPr>
            </w:pPr>
          </w:p>
        </w:tc>
      </w:tr>
      <w:tr>
        <w:trPr>
          <w:trHeight w:val="200"/>
        </w:trPr>
        <w:tc>
          <w:tcPr>
            <w:tcW w:w="6660" w:type="dxa"/>
            <w:vAlign w:val="bottom"/>
          </w:tcPr>
          <w:p>
            <w:pPr>
              <w:ind w:left="100"/>
              <w:spacing w:after="0"/>
              <w:rPr>
                <w:sz w:val="20"/>
                <w:szCs w:val="20"/>
                <w:color w:val="auto"/>
              </w:rPr>
            </w:pPr>
            <w:r>
              <w:rPr>
                <w:rFonts w:ascii="Arial" w:cs="Arial" w:eastAsia="Arial" w:hAnsi="Arial"/>
                <w:sz w:val="14"/>
                <w:szCs w:val="14"/>
                <w:color w:val="0E1020"/>
              </w:rPr>
              <w:t>Tax Adjustment</w:t>
            </w:r>
          </w:p>
        </w:tc>
        <w:tc>
          <w:tcPr>
            <w:tcW w:w="3300" w:type="dxa"/>
            <w:vAlign w:val="bottom"/>
          </w:tcPr>
          <w:p>
            <w:pPr>
              <w:jc w:val="right"/>
              <w:ind w:right="989"/>
              <w:spacing w:after="0"/>
              <w:rPr>
                <w:sz w:val="20"/>
                <w:szCs w:val="20"/>
                <w:color w:val="auto"/>
              </w:rPr>
            </w:pPr>
            <w:r>
              <w:rPr>
                <w:rFonts w:ascii="Arial" w:cs="Arial" w:eastAsia="Arial" w:hAnsi="Arial"/>
                <w:sz w:val="14"/>
                <w:szCs w:val="14"/>
                <w:color w:val="0E1020"/>
              </w:rPr>
              <w:t>0.45</w:t>
            </w:r>
          </w:p>
        </w:tc>
        <w:tc>
          <w:tcPr>
            <w:tcW w:w="1280" w:type="dxa"/>
            <w:vAlign w:val="bottom"/>
          </w:tcPr>
          <w:p>
            <w:pPr>
              <w:jc w:val="right"/>
              <w:ind w:right="49"/>
              <w:spacing w:after="0"/>
              <w:rPr>
                <w:sz w:val="20"/>
                <w:szCs w:val="20"/>
                <w:color w:val="auto"/>
              </w:rPr>
            </w:pPr>
            <w:r>
              <w:rPr>
                <w:rFonts w:ascii="Arial" w:cs="Arial" w:eastAsia="Arial" w:hAnsi="Arial"/>
                <w:sz w:val="14"/>
                <w:szCs w:val="14"/>
                <w:color w:val="0E1020"/>
              </w:rPr>
              <w:t>(0.09)</w:t>
            </w:r>
          </w:p>
        </w:tc>
      </w:tr>
      <w:tr>
        <w:trPr>
          <w:trHeight w:val="21"/>
        </w:trPr>
        <w:tc>
          <w:tcPr>
            <w:tcW w:w="6660" w:type="dxa"/>
            <w:vAlign w:val="bottom"/>
            <w:tcBorders>
              <w:bottom w:val="single" w:sz="8" w:color="CFCFD2"/>
            </w:tcBorders>
          </w:tcPr>
          <w:p>
            <w:pPr>
              <w:spacing w:after="0" w:line="20" w:lineRule="exact"/>
              <w:rPr>
                <w:sz w:val="1"/>
                <w:szCs w:val="1"/>
                <w:color w:val="auto"/>
              </w:rPr>
            </w:pPr>
          </w:p>
        </w:tc>
        <w:tc>
          <w:tcPr>
            <w:tcW w:w="3300" w:type="dxa"/>
            <w:vAlign w:val="bottom"/>
            <w:tcBorders>
              <w:bottom w:val="single" w:sz="8" w:color="CFCFD2"/>
            </w:tcBorders>
          </w:tcPr>
          <w:p>
            <w:pPr>
              <w:spacing w:after="0" w:line="20" w:lineRule="exact"/>
              <w:rPr>
                <w:sz w:val="1"/>
                <w:szCs w:val="1"/>
                <w:color w:val="auto"/>
              </w:rPr>
            </w:pPr>
          </w:p>
        </w:tc>
        <w:tc>
          <w:tcPr>
            <w:tcW w:w="1280" w:type="dxa"/>
            <w:vAlign w:val="bottom"/>
            <w:tcBorders>
              <w:bottom w:val="single" w:sz="8" w:color="CFCFD2"/>
            </w:tcBorders>
          </w:tcPr>
          <w:p>
            <w:pPr>
              <w:spacing w:after="0" w:line="20" w:lineRule="exact"/>
              <w:rPr>
                <w:sz w:val="1"/>
                <w:szCs w:val="1"/>
                <w:color w:val="auto"/>
              </w:rPr>
            </w:pPr>
          </w:p>
        </w:tc>
      </w:tr>
      <w:tr>
        <w:trPr>
          <w:trHeight w:val="228"/>
        </w:trPr>
        <w:tc>
          <w:tcPr>
            <w:tcW w:w="6660" w:type="dxa"/>
            <w:vAlign w:val="bottom"/>
            <w:tcBorders>
              <w:bottom w:val="single" w:sz="8" w:color="F6F3F0"/>
            </w:tcBorders>
            <w:shd w:val="clear" w:color="auto" w:fill="F6F3F0"/>
          </w:tcPr>
          <w:p>
            <w:pPr>
              <w:ind w:left="100"/>
              <w:spacing w:after="0"/>
              <w:rPr>
                <w:sz w:val="20"/>
                <w:szCs w:val="20"/>
                <w:color w:val="auto"/>
              </w:rPr>
            </w:pPr>
            <w:r>
              <w:rPr>
                <w:rFonts w:ascii="Arial" w:cs="Arial" w:eastAsia="Arial" w:hAnsi="Arial"/>
                <w:sz w:val="14"/>
                <w:szCs w:val="14"/>
                <w:b w:val="1"/>
                <w:bCs w:val="1"/>
                <w:color w:val="0E1020"/>
              </w:rPr>
              <w:t>Non-GAAP Diluted Earnings per Share</w:t>
            </w:r>
          </w:p>
        </w:tc>
        <w:tc>
          <w:tcPr>
            <w:tcW w:w="3300" w:type="dxa"/>
            <w:vAlign w:val="bottom"/>
            <w:tcBorders>
              <w:bottom w:val="single" w:sz="8" w:color="F6F3F0"/>
            </w:tcBorders>
            <w:shd w:val="clear" w:color="auto" w:fill="F6F3F0"/>
          </w:tcPr>
          <w:p>
            <w:pPr>
              <w:jc w:val="right"/>
              <w:ind w:right="989"/>
              <w:spacing w:after="0"/>
              <w:rPr>
                <w:sz w:val="20"/>
                <w:szCs w:val="20"/>
                <w:color w:val="auto"/>
              </w:rPr>
            </w:pPr>
            <w:r>
              <w:rPr>
                <w:rFonts w:ascii="Arial" w:cs="Arial" w:eastAsia="Arial" w:hAnsi="Arial"/>
                <w:sz w:val="14"/>
                <w:szCs w:val="14"/>
                <w:b w:val="1"/>
                <w:bCs w:val="1"/>
                <w:color w:val="0E1020"/>
              </w:rPr>
              <w:t>$3.23</w:t>
            </w:r>
          </w:p>
        </w:tc>
        <w:tc>
          <w:tcPr>
            <w:tcW w:w="1280" w:type="dxa"/>
            <w:vAlign w:val="bottom"/>
            <w:tcBorders>
              <w:bottom w:val="single" w:sz="8" w:color="F6F3F0"/>
            </w:tcBorders>
            <w:shd w:val="clear" w:color="auto" w:fill="F6F3F0"/>
          </w:tcPr>
          <w:p>
            <w:pPr>
              <w:jc w:val="right"/>
              <w:ind w:right="49"/>
              <w:spacing w:after="0"/>
              <w:rPr>
                <w:sz w:val="20"/>
                <w:szCs w:val="20"/>
                <w:color w:val="auto"/>
              </w:rPr>
            </w:pPr>
            <w:r>
              <w:rPr>
                <w:rFonts w:ascii="Arial" w:cs="Arial" w:eastAsia="Arial" w:hAnsi="Arial"/>
                <w:sz w:val="14"/>
                <w:szCs w:val="14"/>
                <w:b w:val="1"/>
                <w:bCs w:val="1"/>
                <w:color w:val="0E1020"/>
              </w:rPr>
              <w:t>$3.43</w:t>
            </w:r>
          </w:p>
        </w:tc>
      </w:tr>
      <w:tr>
        <w:trPr>
          <w:trHeight w:val="20"/>
        </w:trPr>
        <w:tc>
          <w:tcPr>
            <w:tcW w:w="6660" w:type="dxa"/>
            <w:vAlign w:val="bottom"/>
            <w:shd w:val="clear" w:color="auto" w:fill="CFCFD2"/>
          </w:tcPr>
          <w:p>
            <w:pPr>
              <w:spacing w:after="0" w:line="20" w:lineRule="exact"/>
              <w:rPr>
                <w:sz w:val="1"/>
                <w:szCs w:val="1"/>
                <w:color w:val="auto"/>
              </w:rPr>
            </w:pPr>
          </w:p>
        </w:tc>
        <w:tc>
          <w:tcPr>
            <w:tcW w:w="3300" w:type="dxa"/>
            <w:vAlign w:val="bottom"/>
            <w:shd w:val="clear" w:color="auto" w:fill="CFCFD2"/>
          </w:tcPr>
          <w:p>
            <w:pPr>
              <w:spacing w:after="0" w:line="20" w:lineRule="exact"/>
              <w:rPr>
                <w:sz w:val="1"/>
                <w:szCs w:val="1"/>
                <w:color w:val="auto"/>
              </w:rPr>
            </w:pPr>
          </w:p>
        </w:tc>
        <w:tc>
          <w:tcPr>
            <w:tcW w:w="1280" w:type="dxa"/>
            <w:vAlign w:val="bottom"/>
            <w:shd w:val="clear" w:color="auto" w:fill="CFCFD2"/>
          </w:tcPr>
          <w:p>
            <w:pPr>
              <w:spacing w:after="0" w:line="20" w:lineRule="exact"/>
              <w:rPr>
                <w:sz w:val="1"/>
                <w:szCs w:val="1"/>
                <w:color w:val="auto"/>
              </w:rPr>
            </w:pPr>
          </w:p>
        </w:tc>
      </w:tr>
    </w:tbl>
    <w:p>
      <w:pPr>
        <w:spacing w:after="0" w:line="347" w:lineRule="exact"/>
        <w:rPr>
          <w:sz w:val="20"/>
          <w:szCs w:val="20"/>
          <w:color w:val="auto"/>
        </w:rPr>
      </w:pPr>
    </w:p>
    <w:p>
      <w:pPr>
        <w:spacing w:after="0"/>
        <w:rPr>
          <w:sz w:val="20"/>
          <w:szCs w:val="20"/>
          <w:color w:val="auto"/>
        </w:rPr>
      </w:pPr>
      <w:r>
        <w:rPr>
          <w:rFonts w:ascii="Arial" w:cs="Arial" w:eastAsia="Arial" w:hAnsi="Arial"/>
          <w:sz w:val="21"/>
          <w:szCs w:val="21"/>
          <w:b w:val="1"/>
          <w:bCs w:val="1"/>
          <w:color w:val="0E1020"/>
        </w:rPr>
        <w:t>Free Cash Flow</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0E1020"/>
        </w:rPr>
        <w:t>A reconciliation of Cash Flow from Operations to Free Cash Flow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3980" w:type="dxa"/>
            <w:vAlign w:val="bottom"/>
            <w:tcBorders>
              <w:bottom w:val="single" w:sz="8" w:color="F6F3F0"/>
            </w:tcBorders>
            <w:shd w:val="clear" w:color="auto" w:fill="F6F3F0"/>
          </w:tcPr>
          <w:p>
            <w:pPr>
              <w:spacing w:after="0"/>
              <w:rPr>
                <w:sz w:val="24"/>
                <w:szCs w:val="24"/>
                <w:color w:val="auto"/>
              </w:rPr>
            </w:pPr>
          </w:p>
        </w:tc>
        <w:tc>
          <w:tcPr>
            <w:tcW w:w="1420" w:type="dxa"/>
            <w:vAlign w:val="bottom"/>
            <w:tcBorders>
              <w:bottom w:val="single" w:sz="8" w:color="F6F3F0"/>
            </w:tcBorders>
            <w:shd w:val="clear" w:color="auto" w:fill="F6F3F0"/>
          </w:tcPr>
          <w:p>
            <w:pPr>
              <w:spacing w:after="0"/>
              <w:rPr>
                <w:sz w:val="24"/>
                <w:szCs w:val="24"/>
                <w:color w:val="auto"/>
              </w:rPr>
            </w:pPr>
          </w:p>
        </w:tc>
        <w:tc>
          <w:tcPr>
            <w:tcW w:w="3200" w:type="dxa"/>
            <w:vAlign w:val="bottom"/>
            <w:tcBorders>
              <w:bottom w:val="single" w:sz="8" w:color="F6F3F0"/>
            </w:tcBorders>
            <w:gridSpan w:val="2"/>
            <w:shd w:val="clear" w:color="auto" w:fill="F6F3F0"/>
          </w:tcPr>
          <w:p>
            <w:pPr>
              <w:jc w:val="right"/>
              <w:ind w:right="70"/>
              <w:spacing w:after="0"/>
              <w:rPr>
                <w:sz w:val="20"/>
                <w:szCs w:val="20"/>
                <w:color w:val="auto"/>
              </w:rPr>
            </w:pPr>
            <w:r>
              <w:rPr>
                <w:rFonts w:ascii="Arial" w:cs="Arial" w:eastAsia="Arial" w:hAnsi="Arial"/>
                <w:sz w:val="14"/>
                <w:szCs w:val="14"/>
                <w:b w:val="1"/>
                <w:bCs w:val="1"/>
                <w:color w:val="0E1020"/>
              </w:rPr>
              <w:t>For the Fiscal Years Ended</w:t>
            </w:r>
          </w:p>
        </w:tc>
        <w:tc>
          <w:tcPr>
            <w:tcW w:w="1140" w:type="dxa"/>
            <w:vAlign w:val="bottom"/>
            <w:tcBorders>
              <w:bottom w:val="single" w:sz="8" w:color="F6F3F0"/>
            </w:tcBorders>
            <w:shd w:val="clear" w:color="auto" w:fill="F6F3F0"/>
          </w:tcPr>
          <w:p>
            <w:pPr>
              <w:spacing w:after="0"/>
              <w:rPr>
                <w:sz w:val="24"/>
                <w:szCs w:val="24"/>
                <w:color w:val="auto"/>
              </w:rPr>
            </w:pPr>
          </w:p>
        </w:tc>
        <w:tc>
          <w:tcPr>
            <w:tcW w:w="1500" w:type="dxa"/>
            <w:vAlign w:val="bottom"/>
            <w:tcBorders>
              <w:bottom w:val="single" w:sz="8" w:color="F6F3F0"/>
            </w:tcBorders>
            <w:shd w:val="clear" w:color="auto" w:fill="F6F3F0"/>
          </w:tcPr>
          <w:p>
            <w:pPr>
              <w:spacing w:after="0"/>
              <w:rPr>
                <w:sz w:val="24"/>
                <w:szCs w:val="24"/>
                <w:color w:val="auto"/>
              </w:rPr>
            </w:pPr>
          </w:p>
        </w:tc>
      </w:tr>
      <w:tr>
        <w:trPr>
          <w:trHeight w:val="173"/>
        </w:trPr>
        <w:tc>
          <w:tcPr>
            <w:tcW w:w="3980" w:type="dxa"/>
            <w:vAlign w:val="bottom"/>
            <w:tcBorders>
              <w:top w:val="single" w:sz="8" w:color="F6F3F0"/>
            </w:tcBorders>
            <w:shd w:val="clear" w:color="auto" w:fill="F6F3F0"/>
          </w:tcPr>
          <w:p>
            <w:pPr>
              <w:ind w:left="100"/>
              <w:spacing w:after="0"/>
              <w:rPr>
                <w:sz w:val="20"/>
                <w:szCs w:val="20"/>
                <w:color w:val="auto"/>
              </w:rPr>
            </w:pPr>
            <w:r>
              <w:rPr>
                <w:rFonts w:ascii="Arial" w:cs="Arial" w:eastAsia="Arial" w:hAnsi="Arial"/>
                <w:sz w:val="13"/>
                <w:szCs w:val="13"/>
                <w:b w:val="1"/>
                <w:bCs w:val="1"/>
                <w:color w:val="0E1020"/>
              </w:rPr>
              <w:t>(in millions)</w:t>
            </w:r>
          </w:p>
        </w:tc>
        <w:tc>
          <w:tcPr>
            <w:tcW w:w="1420" w:type="dxa"/>
            <w:vAlign w:val="bottom"/>
            <w:tcBorders>
              <w:top w:val="single" w:sz="8" w:color="CFCFD2"/>
            </w:tcBorders>
            <w:shd w:val="clear" w:color="auto" w:fill="F6F3F0"/>
          </w:tcPr>
          <w:p>
            <w:pPr>
              <w:jc w:val="right"/>
              <w:spacing w:after="0"/>
              <w:rPr>
                <w:sz w:val="20"/>
                <w:szCs w:val="20"/>
                <w:color w:val="auto"/>
              </w:rPr>
            </w:pPr>
            <w:r>
              <w:rPr>
                <w:rFonts w:ascii="Arial" w:cs="Arial" w:eastAsia="Arial" w:hAnsi="Arial"/>
                <w:sz w:val="13"/>
                <w:szCs w:val="13"/>
                <w:b w:val="1"/>
                <w:bCs w:val="1"/>
                <w:color w:val="0E1020"/>
              </w:rPr>
              <w:t>March 31, 2026</w:t>
            </w:r>
          </w:p>
        </w:tc>
        <w:tc>
          <w:tcPr>
            <w:tcW w:w="1680" w:type="dxa"/>
            <w:vAlign w:val="bottom"/>
            <w:tcBorders>
              <w:top w:val="single" w:sz="8" w:color="CFCFD2"/>
            </w:tcBorders>
            <w:shd w:val="clear" w:color="auto" w:fill="F6F3F0"/>
          </w:tcPr>
          <w:p>
            <w:pPr>
              <w:jc w:val="right"/>
              <w:ind w:right="190"/>
              <w:spacing w:after="0"/>
              <w:rPr>
                <w:sz w:val="20"/>
                <w:szCs w:val="20"/>
                <w:color w:val="auto"/>
              </w:rPr>
            </w:pPr>
            <w:r>
              <w:rPr>
                <w:rFonts w:ascii="Arial" w:cs="Arial" w:eastAsia="Arial" w:hAnsi="Arial"/>
                <w:sz w:val="13"/>
                <w:szCs w:val="13"/>
                <w:b w:val="1"/>
                <w:bCs w:val="1"/>
                <w:color w:val="0E1020"/>
              </w:rPr>
              <w:t>March 31, 2025</w:t>
            </w:r>
          </w:p>
        </w:tc>
        <w:tc>
          <w:tcPr>
            <w:tcW w:w="1520" w:type="dxa"/>
            <w:vAlign w:val="bottom"/>
            <w:tcBorders>
              <w:top w:val="single" w:sz="8" w:color="CFCFD2"/>
            </w:tcBorders>
            <w:shd w:val="clear" w:color="auto" w:fill="F6F3F0"/>
          </w:tcPr>
          <w:p>
            <w:pPr>
              <w:jc w:val="right"/>
              <w:ind w:right="290"/>
              <w:spacing w:after="0"/>
              <w:rPr>
                <w:sz w:val="20"/>
                <w:szCs w:val="20"/>
                <w:color w:val="auto"/>
              </w:rPr>
            </w:pPr>
            <w:r>
              <w:rPr>
                <w:rFonts w:ascii="Arial" w:cs="Arial" w:eastAsia="Arial" w:hAnsi="Arial"/>
                <w:sz w:val="13"/>
                <w:szCs w:val="13"/>
                <w:b w:val="1"/>
                <w:bCs w:val="1"/>
                <w:color w:val="0E1020"/>
              </w:rPr>
              <w:t>March 31, 2024</w:t>
            </w:r>
          </w:p>
        </w:tc>
        <w:tc>
          <w:tcPr>
            <w:tcW w:w="1140" w:type="dxa"/>
            <w:vAlign w:val="bottom"/>
            <w:tcBorders>
              <w:top w:val="single" w:sz="8" w:color="CFCFD2"/>
            </w:tcBorders>
            <w:shd w:val="clear" w:color="auto" w:fill="F6F3F0"/>
          </w:tcPr>
          <w:p>
            <w:pPr>
              <w:jc w:val="right"/>
              <w:ind w:right="10"/>
              <w:spacing w:after="0"/>
              <w:rPr>
                <w:sz w:val="20"/>
                <w:szCs w:val="20"/>
                <w:color w:val="auto"/>
              </w:rPr>
            </w:pPr>
            <w:r>
              <w:rPr>
                <w:rFonts w:ascii="Arial" w:cs="Arial" w:eastAsia="Arial" w:hAnsi="Arial"/>
                <w:sz w:val="13"/>
                <w:szCs w:val="13"/>
                <w:b w:val="1"/>
                <w:bCs w:val="1"/>
                <w:color w:val="0E1020"/>
              </w:rPr>
              <w:t>March 31, 2023</w:t>
            </w:r>
          </w:p>
        </w:tc>
        <w:tc>
          <w:tcPr>
            <w:tcW w:w="1500" w:type="dxa"/>
            <w:vAlign w:val="bottom"/>
            <w:tcBorders>
              <w:top w:val="single" w:sz="8" w:color="CFCFD2"/>
            </w:tcBorders>
            <w:shd w:val="clear" w:color="auto" w:fill="F6F3F0"/>
          </w:tcPr>
          <w:p>
            <w:pPr>
              <w:jc w:val="right"/>
              <w:ind w:right="90"/>
              <w:spacing w:after="0"/>
              <w:rPr>
                <w:sz w:val="20"/>
                <w:szCs w:val="20"/>
                <w:color w:val="auto"/>
              </w:rPr>
            </w:pPr>
            <w:r>
              <w:rPr>
                <w:rFonts w:ascii="Arial" w:cs="Arial" w:eastAsia="Arial" w:hAnsi="Arial"/>
                <w:sz w:val="13"/>
                <w:szCs w:val="13"/>
                <w:b w:val="1"/>
                <w:bCs w:val="1"/>
                <w:color w:val="0E1020"/>
              </w:rPr>
              <w:t>March 31, 2022</w:t>
            </w:r>
          </w:p>
        </w:tc>
      </w:tr>
      <w:tr>
        <w:trPr>
          <w:trHeight w:val="75"/>
        </w:trPr>
        <w:tc>
          <w:tcPr>
            <w:tcW w:w="3980" w:type="dxa"/>
            <w:vAlign w:val="bottom"/>
            <w:tcBorders>
              <w:bottom w:val="single" w:sz="8" w:color="CFCFD2"/>
            </w:tcBorders>
            <w:shd w:val="clear" w:color="auto" w:fill="F6F3F0"/>
          </w:tcPr>
          <w:p>
            <w:pPr>
              <w:spacing w:after="0"/>
              <w:rPr>
                <w:sz w:val="6"/>
                <w:szCs w:val="6"/>
                <w:color w:val="auto"/>
              </w:rPr>
            </w:pPr>
          </w:p>
        </w:tc>
        <w:tc>
          <w:tcPr>
            <w:tcW w:w="1420" w:type="dxa"/>
            <w:vAlign w:val="bottom"/>
            <w:tcBorders>
              <w:bottom w:val="single" w:sz="8" w:color="CFCFD2"/>
            </w:tcBorders>
            <w:shd w:val="clear" w:color="auto" w:fill="F6F3F0"/>
          </w:tcPr>
          <w:p>
            <w:pPr>
              <w:spacing w:after="0"/>
              <w:rPr>
                <w:sz w:val="6"/>
                <w:szCs w:val="6"/>
                <w:color w:val="auto"/>
              </w:rPr>
            </w:pPr>
          </w:p>
        </w:tc>
        <w:tc>
          <w:tcPr>
            <w:tcW w:w="1680" w:type="dxa"/>
            <w:vAlign w:val="bottom"/>
            <w:tcBorders>
              <w:bottom w:val="single" w:sz="8" w:color="CFCFD2"/>
            </w:tcBorders>
            <w:shd w:val="clear" w:color="auto" w:fill="F6F3F0"/>
          </w:tcPr>
          <w:p>
            <w:pPr>
              <w:spacing w:after="0"/>
              <w:rPr>
                <w:sz w:val="6"/>
                <w:szCs w:val="6"/>
                <w:color w:val="auto"/>
              </w:rPr>
            </w:pPr>
          </w:p>
        </w:tc>
        <w:tc>
          <w:tcPr>
            <w:tcW w:w="1520" w:type="dxa"/>
            <w:vAlign w:val="bottom"/>
            <w:tcBorders>
              <w:bottom w:val="single" w:sz="8" w:color="CFCFD2"/>
            </w:tcBorders>
            <w:shd w:val="clear" w:color="auto" w:fill="F6F3F0"/>
          </w:tcPr>
          <w:p>
            <w:pPr>
              <w:spacing w:after="0"/>
              <w:rPr>
                <w:sz w:val="6"/>
                <w:szCs w:val="6"/>
                <w:color w:val="auto"/>
              </w:rPr>
            </w:pPr>
          </w:p>
        </w:tc>
        <w:tc>
          <w:tcPr>
            <w:tcW w:w="1140" w:type="dxa"/>
            <w:vAlign w:val="bottom"/>
            <w:tcBorders>
              <w:bottom w:val="single" w:sz="8" w:color="CFCFD2"/>
            </w:tcBorders>
            <w:shd w:val="clear" w:color="auto" w:fill="F6F3F0"/>
          </w:tcPr>
          <w:p>
            <w:pPr>
              <w:spacing w:after="0"/>
              <w:rPr>
                <w:sz w:val="6"/>
                <w:szCs w:val="6"/>
                <w:color w:val="auto"/>
              </w:rPr>
            </w:pPr>
          </w:p>
        </w:tc>
        <w:tc>
          <w:tcPr>
            <w:tcW w:w="1500" w:type="dxa"/>
            <w:vAlign w:val="bottom"/>
            <w:tcBorders>
              <w:bottom w:val="single" w:sz="8" w:color="CFCFD2"/>
            </w:tcBorders>
            <w:shd w:val="clear" w:color="auto" w:fill="F6F3F0"/>
          </w:tcPr>
          <w:p>
            <w:pPr>
              <w:spacing w:after="0"/>
              <w:rPr>
                <w:sz w:val="6"/>
                <w:szCs w:val="6"/>
                <w:color w:val="auto"/>
              </w:rPr>
            </w:pPr>
          </w:p>
        </w:tc>
      </w:tr>
      <w:tr>
        <w:trPr>
          <w:trHeight w:val="200"/>
        </w:trPr>
        <w:tc>
          <w:tcPr>
            <w:tcW w:w="3980" w:type="dxa"/>
            <w:vAlign w:val="bottom"/>
          </w:tcPr>
          <w:p>
            <w:pPr>
              <w:ind w:left="100"/>
              <w:spacing w:after="0"/>
              <w:rPr>
                <w:sz w:val="20"/>
                <w:szCs w:val="20"/>
                <w:color w:val="auto"/>
              </w:rPr>
            </w:pPr>
            <w:r>
              <w:rPr>
                <w:rFonts w:ascii="Arial" w:cs="Arial" w:eastAsia="Arial" w:hAnsi="Arial"/>
                <w:sz w:val="14"/>
                <w:szCs w:val="14"/>
                <w:color w:val="0E1020"/>
              </w:rPr>
              <w:t>Cash flow from Operations</w:t>
            </w:r>
          </w:p>
        </w:tc>
        <w:tc>
          <w:tcPr>
            <w:tcW w:w="1420" w:type="dxa"/>
            <w:vAlign w:val="bottom"/>
          </w:tcPr>
          <w:p>
            <w:pPr>
              <w:jc w:val="right"/>
              <w:spacing w:after="0"/>
              <w:rPr>
                <w:sz w:val="20"/>
                <w:szCs w:val="20"/>
                <w:color w:val="auto"/>
              </w:rPr>
            </w:pPr>
            <w:r>
              <w:rPr>
                <w:rFonts w:ascii="Arial" w:cs="Arial" w:eastAsia="Arial" w:hAnsi="Arial"/>
                <w:sz w:val="14"/>
                <w:szCs w:val="14"/>
                <w:color w:val="0E1020"/>
              </w:rPr>
              <w:t>$1,248</w:t>
            </w:r>
          </w:p>
        </w:tc>
        <w:tc>
          <w:tcPr>
            <w:tcW w:w="1680" w:type="dxa"/>
            <w:vAlign w:val="bottom"/>
          </w:tcPr>
          <w:p>
            <w:pPr>
              <w:jc w:val="right"/>
              <w:ind w:right="190"/>
              <w:spacing w:after="0"/>
              <w:rPr>
                <w:sz w:val="20"/>
                <w:szCs w:val="20"/>
                <w:color w:val="auto"/>
              </w:rPr>
            </w:pPr>
            <w:r>
              <w:rPr>
                <w:rFonts w:ascii="Arial" w:cs="Arial" w:eastAsia="Arial" w:hAnsi="Arial"/>
                <w:sz w:val="14"/>
                <w:szCs w:val="14"/>
                <w:color w:val="0E1020"/>
              </w:rPr>
              <w:t>$1,398</w:t>
            </w:r>
          </w:p>
        </w:tc>
        <w:tc>
          <w:tcPr>
            <w:tcW w:w="1520" w:type="dxa"/>
            <w:vAlign w:val="bottom"/>
          </w:tcPr>
          <w:p>
            <w:pPr>
              <w:jc w:val="right"/>
              <w:ind w:right="290"/>
              <w:spacing w:after="0"/>
              <w:rPr>
                <w:sz w:val="20"/>
                <w:szCs w:val="20"/>
                <w:color w:val="auto"/>
              </w:rPr>
            </w:pPr>
            <w:r>
              <w:rPr>
                <w:rFonts w:ascii="Arial" w:cs="Arial" w:eastAsia="Arial" w:hAnsi="Arial"/>
                <w:sz w:val="14"/>
                <w:szCs w:val="14"/>
                <w:color w:val="0E1020"/>
              </w:rPr>
              <w:t>$1,361</w:t>
            </w:r>
          </w:p>
        </w:tc>
        <w:tc>
          <w:tcPr>
            <w:tcW w:w="1140" w:type="dxa"/>
            <w:vAlign w:val="bottom"/>
          </w:tcPr>
          <w:p>
            <w:pPr>
              <w:jc w:val="right"/>
              <w:ind w:right="10"/>
              <w:spacing w:after="0"/>
              <w:rPr>
                <w:sz w:val="20"/>
                <w:szCs w:val="20"/>
                <w:color w:val="auto"/>
              </w:rPr>
            </w:pPr>
            <w:r>
              <w:rPr>
                <w:rFonts w:ascii="Arial" w:cs="Arial" w:eastAsia="Arial" w:hAnsi="Arial"/>
                <w:sz w:val="14"/>
                <w:szCs w:val="14"/>
                <w:color w:val="0E1020"/>
              </w:rPr>
              <w:t>$1,415</w:t>
            </w:r>
          </w:p>
        </w:tc>
        <w:tc>
          <w:tcPr>
            <w:tcW w:w="1500" w:type="dxa"/>
            <w:vAlign w:val="bottom"/>
          </w:tcPr>
          <w:p>
            <w:pPr>
              <w:jc w:val="right"/>
              <w:ind w:right="90"/>
              <w:spacing w:after="0"/>
              <w:rPr>
                <w:sz w:val="20"/>
                <w:szCs w:val="20"/>
                <w:color w:val="auto"/>
              </w:rPr>
            </w:pPr>
            <w:r>
              <w:rPr>
                <w:rFonts w:ascii="Arial" w:cs="Arial" w:eastAsia="Arial" w:hAnsi="Arial"/>
                <w:sz w:val="14"/>
                <w:szCs w:val="14"/>
                <w:color w:val="0E1020"/>
              </w:rPr>
              <w:t>$1,501</w:t>
            </w:r>
          </w:p>
        </w:tc>
      </w:tr>
      <w:tr>
        <w:trPr>
          <w:trHeight w:val="21"/>
        </w:trPr>
        <w:tc>
          <w:tcPr>
            <w:tcW w:w="3980" w:type="dxa"/>
            <w:vAlign w:val="bottom"/>
            <w:tcBorders>
              <w:bottom w:val="single" w:sz="8" w:color="CFCFD2"/>
            </w:tcBorders>
          </w:tcPr>
          <w:p>
            <w:pPr>
              <w:spacing w:after="0" w:line="20" w:lineRule="exact"/>
              <w:rPr>
                <w:sz w:val="1"/>
                <w:szCs w:val="1"/>
                <w:color w:val="auto"/>
              </w:rPr>
            </w:pPr>
          </w:p>
        </w:tc>
        <w:tc>
          <w:tcPr>
            <w:tcW w:w="1420" w:type="dxa"/>
            <w:vAlign w:val="bottom"/>
            <w:tcBorders>
              <w:bottom w:val="single" w:sz="8" w:color="CFCFD2"/>
            </w:tcBorders>
          </w:tcPr>
          <w:p>
            <w:pPr>
              <w:spacing w:after="0" w:line="20" w:lineRule="exact"/>
              <w:rPr>
                <w:sz w:val="1"/>
                <w:szCs w:val="1"/>
                <w:color w:val="auto"/>
              </w:rPr>
            </w:pPr>
          </w:p>
        </w:tc>
        <w:tc>
          <w:tcPr>
            <w:tcW w:w="1680" w:type="dxa"/>
            <w:vAlign w:val="bottom"/>
            <w:tcBorders>
              <w:bottom w:val="single" w:sz="8" w:color="CFCFD2"/>
            </w:tcBorders>
          </w:tcPr>
          <w:p>
            <w:pPr>
              <w:spacing w:after="0" w:line="20" w:lineRule="exact"/>
              <w:rPr>
                <w:sz w:val="1"/>
                <w:szCs w:val="1"/>
                <w:color w:val="auto"/>
              </w:rPr>
            </w:pPr>
          </w:p>
        </w:tc>
        <w:tc>
          <w:tcPr>
            <w:tcW w:w="1520" w:type="dxa"/>
            <w:vAlign w:val="bottom"/>
            <w:tcBorders>
              <w:bottom w:val="single" w:sz="8" w:color="CFCFD2"/>
            </w:tcBorders>
          </w:tcPr>
          <w:p>
            <w:pPr>
              <w:spacing w:after="0" w:line="20" w:lineRule="exact"/>
              <w:rPr>
                <w:sz w:val="1"/>
                <w:szCs w:val="1"/>
                <w:color w:val="auto"/>
              </w:rPr>
            </w:pPr>
          </w:p>
        </w:tc>
        <w:tc>
          <w:tcPr>
            <w:tcW w:w="1140" w:type="dxa"/>
            <w:vAlign w:val="bottom"/>
            <w:tcBorders>
              <w:bottom w:val="single" w:sz="8" w:color="CFCFD2"/>
            </w:tcBorders>
          </w:tcPr>
          <w:p>
            <w:pPr>
              <w:spacing w:after="0" w:line="20" w:lineRule="exact"/>
              <w:rPr>
                <w:sz w:val="1"/>
                <w:szCs w:val="1"/>
                <w:color w:val="auto"/>
              </w:rPr>
            </w:pPr>
          </w:p>
        </w:tc>
        <w:tc>
          <w:tcPr>
            <w:tcW w:w="1500" w:type="dxa"/>
            <w:vAlign w:val="bottom"/>
            <w:tcBorders>
              <w:bottom w:val="single" w:sz="8" w:color="CFCFD2"/>
            </w:tcBorders>
          </w:tcPr>
          <w:p>
            <w:pPr>
              <w:spacing w:after="0" w:line="20" w:lineRule="exact"/>
              <w:rPr>
                <w:sz w:val="1"/>
                <w:szCs w:val="1"/>
                <w:color w:val="auto"/>
              </w:rPr>
            </w:pPr>
          </w:p>
        </w:tc>
      </w:tr>
      <w:tr>
        <w:trPr>
          <w:trHeight w:val="200"/>
        </w:trPr>
        <w:tc>
          <w:tcPr>
            <w:tcW w:w="3980" w:type="dxa"/>
            <w:vAlign w:val="bottom"/>
          </w:tcPr>
          <w:p>
            <w:pPr>
              <w:ind w:left="100"/>
              <w:spacing w:after="0"/>
              <w:rPr>
                <w:sz w:val="20"/>
                <w:szCs w:val="20"/>
                <w:color w:val="auto"/>
              </w:rPr>
            </w:pPr>
            <w:r>
              <w:rPr>
                <w:rFonts w:ascii="Arial" w:cs="Arial" w:eastAsia="Arial" w:hAnsi="Arial"/>
                <w:sz w:val="14"/>
                <w:szCs w:val="14"/>
                <w:color w:val="0E1020"/>
              </w:rPr>
              <w:t>Purchase of property and equipment</w:t>
            </w:r>
          </w:p>
        </w:tc>
        <w:tc>
          <w:tcPr>
            <w:tcW w:w="1420" w:type="dxa"/>
            <w:vAlign w:val="bottom"/>
          </w:tcPr>
          <w:p>
            <w:pPr>
              <w:jc w:val="right"/>
              <w:spacing w:after="0"/>
              <w:rPr>
                <w:sz w:val="20"/>
                <w:szCs w:val="20"/>
                <w:color w:val="auto"/>
              </w:rPr>
            </w:pPr>
            <w:r>
              <w:rPr>
                <w:rFonts w:ascii="Arial" w:cs="Arial" w:eastAsia="Arial" w:hAnsi="Arial"/>
                <w:sz w:val="14"/>
                <w:szCs w:val="14"/>
                <w:color w:val="0E1020"/>
              </w:rPr>
              <w:t>(212)</w:t>
            </w:r>
          </w:p>
        </w:tc>
        <w:tc>
          <w:tcPr>
            <w:tcW w:w="1680" w:type="dxa"/>
            <w:vAlign w:val="bottom"/>
          </w:tcPr>
          <w:p>
            <w:pPr>
              <w:jc w:val="right"/>
              <w:ind w:right="190"/>
              <w:spacing w:after="0"/>
              <w:rPr>
                <w:sz w:val="20"/>
                <w:szCs w:val="20"/>
                <w:color w:val="auto"/>
              </w:rPr>
            </w:pPr>
            <w:r>
              <w:rPr>
                <w:rFonts w:ascii="Arial" w:cs="Arial" w:eastAsia="Arial" w:hAnsi="Arial"/>
                <w:sz w:val="14"/>
                <w:szCs w:val="14"/>
                <w:color w:val="0E1020"/>
              </w:rPr>
              <w:t>(248)</w:t>
            </w:r>
          </w:p>
        </w:tc>
        <w:tc>
          <w:tcPr>
            <w:tcW w:w="1520" w:type="dxa"/>
            <w:vAlign w:val="bottom"/>
          </w:tcPr>
          <w:p>
            <w:pPr>
              <w:jc w:val="right"/>
              <w:ind w:right="290"/>
              <w:spacing w:after="0"/>
              <w:rPr>
                <w:sz w:val="20"/>
                <w:szCs w:val="20"/>
                <w:color w:val="auto"/>
              </w:rPr>
            </w:pPr>
            <w:r>
              <w:rPr>
                <w:rFonts w:ascii="Arial" w:cs="Arial" w:eastAsia="Arial" w:hAnsi="Arial"/>
                <w:sz w:val="14"/>
                <w:szCs w:val="14"/>
                <w:color w:val="0E1020"/>
              </w:rPr>
              <w:t>(182)</w:t>
            </w:r>
          </w:p>
        </w:tc>
        <w:tc>
          <w:tcPr>
            <w:tcW w:w="1140" w:type="dxa"/>
            <w:vAlign w:val="bottom"/>
          </w:tcPr>
          <w:p>
            <w:pPr>
              <w:jc w:val="right"/>
              <w:ind w:right="10"/>
              <w:spacing w:after="0"/>
              <w:rPr>
                <w:sz w:val="20"/>
                <w:szCs w:val="20"/>
                <w:color w:val="auto"/>
              </w:rPr>
            </w:pPr>
            <w:r>
              <w:rPr>
                <w:rFonts w:ascii="Arial" w:cs="Arial" w:eastAsia="Arial" w:hAnsi="Arial"/>
                <w:sz w:val="14"/>
                <w:szCs w:val="14"/>
                <w:color w:val="0E1020"/>
              </w:rPr>
              <w:t>(267)</w:t>
            </w:r>
          </w:p>
        </w:tc>
        <w:tc>
          <w:tcPr>
            <w:tcW w:w="1500" w:type="dxa"/>
            <w:vAlign w:val="bottom"/>
          </w:tcPr>
          <w:p>
            <w:pPr>
              <w:jc w:val="right"/>
              <w:ind w:right="90"/>
              <w:spacing w:after="0"/>
              <w:rPr>
                <w:sz w:val="20"/>
                <w:szCs w:val="20"/>
                <w:color w:val="auto"/>
              </w:rPr>
            </w:pPr>
            <w:r>
              <w:rPr>
                <w:rFonts w:ascii="Arial" w:cs="Arial" w:eastAsia="Arial" w:hAnsi="Arial"/>
                <w:sz w:val="14"/>
                <w:szCs w:val="14"/>
                <w:color w:val="0E1020"/>
              </w:rPr>
              <w:t>(254)</w:t>
            </w:r>
          </w:p>
        </w:tc>
      </w:tr>
      <w:tr>
        <w:trPr>
          <w:trHeight w:val="21"/>
        </w:trPr>
        <w:tc>
          <w:tcPr>
            <w:tcW w:w="3980" w:type="dxa"/>
            <w:vAlign w:val="bottom"/>
            <w:tcBorders>
              <w:bottom w:val="single" w:sz="8" w:color="CFCFD2"/>
            </w:tcBorders>
          </w:tcPr>
          <w:p>
            <w:pPr>
              <w:spacing w:after="0" w:line="20" w:lineRule="exact"/>
              <w:rPr>
                <w:sz w:val="1"/>
                <w:szCs w:val="1"/>
                <w:color w:val="auto"/>
              </w:rPr>
            </w:pPr>
          </w:p>
        </w:tc>
        <w:tc>
          <w:tcPr>
            <w:tcW w:w="1420" w:type="dxa"/>
            <w:vAlign w:val="bottom"/>
            <w:tcBorders>
              <w:bottom w:val="single" w:sz="8" w:color="CFCFD2"/>
            </w:tcBorders>
          </w:tcPr>
          <w:p>
            <w:pPr>
              <w:spacing w:after="0" w:line="20" w:lineRule="exact"/>
              <w:rPr>
                <w:sz w:val="1"/>
                <w:szCs w:val="1"/>
                <w:color w:val="auto"/>
              </w:rPr>
            </w:pPr>
          </w:p>
        </w:tc>
        <w:tc>
          <w:tcPr>
            <w:tcW w:w="1680" w:type="dxa"/>
            <w:vAlign w:val="bottom"/>
            <w:tcBorders>
              <w:bottom w:val="single" w:sz="8" w:color="CFCFD2"/>
            </w:tcBorders>
          </w:tcPr>
          <w:p>
            <w:pPr>
              <w:spacing w:after="0" w:line="20" w:lineRule="exact"/>
              <w:rPr>
                <w:sz w:val="1"/>
                <w:szCs w:val="1"/>
                <w:color w:val="auto"/>
              </w:rPr>
            </w:pPr>
          </w:p>
        </w:tc>
        <w:tc>
          <w:tcPr>
            <w:tcW w:w="1520" w:type="dxa"/>
            <w:vAlign w:val="bottom"/>
            <w:tcBorders>
              <w:bottom w:val="single" w:sz="8" w:color="CFCFD2"/>
            </w:tcBorders>
          </w:tcPr>
          <w:p>
            <w:pPr>
              <w:spacing w:after="0" w:line="20" w:lineRule="exact"/>
              <w:rPr>
                <w:sz w:val="1"/>
                <w:szCs w:val="1"/>
                <w:color w:val="auto"/>
              </w:rPr>
            </w:pPr>
          </w:p>
        </w:tc>
        <w:tc>
          <w:tcPr>
            <w:tcW w:w="1140" w:type="dxa"/>
            <w:vAlign w:val="bottom"/>
            <w:tcBorders>
              <w:bottom w:val="single" w:sz="8" w:color="CFCFD2"/>
            </w:tcBorders>
          </w:tcPr>
          <w:p>
            <w:pPr>
              <w:spacing w:after="0" w:line="20" w:lineRule="exact"/>
              <w:rPr>
                <w:sz w:val="1"/>
                <w:szCs w:val="1"/>
                <w:color w:val="auto"/>
              </w:rPr>
            </w:pPr>
          </w:p>
        </w:tc>
        <w:tc>
          <w:tcPr>
            <w:tcW w:w="1500" w:type="dxa"/>
            <w:vAlign w:val="bottom"/>
            <w:tcBorders>
              <w:bottom w:val="single" w:sz="8" w:color="CFCFD2"/>
            </w:tcBorders>
          </w:tcPr>
          <w:p>
            <w:pPr>
              <w:spacing w:after="0" w:line="20" w:lineRule="exact"/>
              <w:rPr>
                <w:sz w:val="1"/>
                <w:szCs w:val="1"/>
                <w:color w:val="auto"/>
              </w:rPr>
            </w:pPr>
          </w:p>
        </w:tc>
      </w:tr>
      <w:tr>
        <w:trPr>
          <w:trHeight w:val="200"/>
        </w:trPr>
        <w:tc>
          <w:tcPr>
            <w:tcW w:w="3980" w:type="dxa"/>
            <w:vAlign w:val="bottom"/>
          </w:tcPr>
          <w:p>
            <w:pPr>
              <w:ind w:left="100"/>
              <w:spacing w:after="0"/>
              <w:rPr>
                <w:sz w:val="20"/>
                <w:szCs w:val="20"/>
                <w:color w:val="auto"/>
              </w:rPr>
            </w:pPr>
            <w:r>
              <w:rPr>
                <w:rFonts w:ascii="Arial" w:cs="Arial" w:eastAsia="Arial" w:hAnsi="Arial"/>
                <w:sz w:val="14"/>
                <w:szCs w:val="14"/>
                <w:color w:val="0E1020"/>
              </w:rPr>
              <w:t>Transition and transformation contract costs</w:t>
            </w:r>
          </w:p>
        </w:tc>
        <w:tc>
          <w:tcPr>
            <w:tcW w:w="1420" w:type="dxa"/>
            <w:vAlign w:val="bottom"/>
          </w:tcPr>
          <w:p>
            <w:pPr>
              <w:jc w:val="right"/>
              <w:spacing w:after="0"/>
              <w:rPr>
                <w:sz w:val="20"/>
                <w:szCs w:val="20"/>
                <w:color w:val="auto"/>
              </w:rPr>
            </w:pPr>
            <w:r>
              <w:rPr>
                <w:rFonts w:ascii="Arial" w:cs="Arial" w:eastAsia="Arial" w:hAnsi="Arial"/>
                <w:sz w:val="14"/>
                <w:szCs w:val="14"/>
                <w:color w:val="0E1020"/>
              </w:rPr>
              <w:t>(106)</w:t>
            </w:r>
          </w:p>
        </w:tc>
        <w:tc>
          <w:tcPr>
            <w:tcW w:w="1680" w:type="dxa"/>
            <w:vAlign w:val="bottom"/>
          </w:tcPr>
          <w:p>
            <w:pPr>
              <w:jc w:val="right"/>
              <w:ind w:right="190"/>
              <w:spacing w:after="0"/>
              <w:rPr>
                <w:sz w:val="20"/>
                <w:szCs w:val="20"/>
                <w:color w:val="auto"/>
              </w:rPr>
            </w:pPr>
            <w:r>
              <w:rPr>
                <w:rFonts w:ascii="Arial" w:cs="Arial" w:eastAsia="Arial" w:hAnsi="Arial"/>
                <w:sz w:val="14"/>
                <w:szCs w:val="14"/>
                <w:color w:val="0E1020"/>
              </w:rPr>
              <w:t>(135)</w:t>
            </w:r>
          </w:p>
        </w:tc>
        <w:tc>
          <w:tcPr>
            <w:tcW w:w="1520" w:type="dxa"/>
            <w:vAlign w:val="bottom"/>
          </w:tcPr>
          <w:p>
            <w:pPr>
              <w:jc w:val="right"/>
              <w:ind w:right="290"/>
              <w:spacing w:after="0"/>
              <w:rPr>
                <w:sz w:val="20"/>
                <w:szCs w:val="20"/>
                <w:color w:val="auto"/>
              </w:rPr>
            </w:pPr>
            <w:r>
              <w:rPr>
                <w:rFonts w:ascii="Arial" w:cs="Arial" w:eastAsia="Arial" w:hAnsi="Arial"/>
                <w:sz w:val="14"/>
                <w:szCs w:val="14"/>
                <w:color w:val="0E1020"/>
              </w:rPr>
              <w:t>(198)</w:t>
            </w:r>
          </w:p>
        </w:tc>
        <w:tc>
          <w:tcPr>
            <w:tcW w:w="1140" w:type="dxa"/>
            <w:vAlign w:val="bottom"/>
          </w:tcPr>
          <w:p>
            <w:pPr>
              <w:jc w:val="right"/>
              <w:ind w:right="10"/>
              <w:spacing w:after="0"/>
              <w:rPr>
                <w:sz w:val="20"/>
                <w:szCs w:val="20"/>
                <w:color w:val="auto"/>
              </w:rPr>
            </w:pPr>
            <w:r>
              <w:rPr>
                <w:rFonts w:ascii="Arial" w:cs="Arial" w:eastAsia="Arial" w:hAnsi="Arial"/>
                <w:sz w:val="14"/>
                <w:szCs w:val="14"/>
                <w:color w:val="0E1020"/>
              </w:rPr>
              <w:t>(223)</w:t>
            </w:r>
          </w:p>
        </w:tc>
        <w:tc>
          <w:tcPr>
            <w:tcW w:w="1500" w:type="dxa"/>
            <w:vAlign w:val="bottom"/>
          </w:tcPr>
          <w:p>
            <w:pPr>
              <w:jc w:val="right"/>
              <w:ind w:right="90"/>
              <w:spacing w:after="0"/>
              <w:rPr>
                <w:sz w:val="20"/>
                <w:szCs w:val="20"/>
                <w:color w:val="auto"/>
              </w:rPr>
            </w:pPr>
            <w:r>
              <w:rPr>
                <w:rFonts w:ascii="Arial" w:cs="Arial" w:eastAsia="Arial" w:hAnsi="Arial"/>
                <w:sz w:val="14"/>
                <w:szCs w:val="14"/>
                <w:color w:val="0E1020"/>
              </w:rPr>
              <w:t>(209)</w:t>
            </w:r>
          </w:p>
        </w:tc>
      </w:tr>
      <w:tr>
        <w:trPr>
          <w:trHeight w:val="21"/>
        </w:trPr>
        <w:tc>
          <w:tcPr>
            <w:tcW w:w="3980" w:type="dxa"/>
            <w:vAlign w:val="bottom"/>
            <w:tcBorders>
              <w:bottom w:val="single" w:sz="8" w:color="CFCFD2"/>
            </w:tcBorders>
          </w:tcPr>
          <w:p>
            <w:pPr>
              <w:spacing w:after="0" w:line="20" w:lineRule="exact"/>
              <w:rPr>
                <w:sz w:val="1"/>
                <w:szCs w:val="1"/>
                <w:color w:val="auto"/>
              </w:rPr>
            </w:pPr>
          </w:p>
        </w:tc>
        <w:tc>
          <w:tcPr>
            <w:tcW w:w="1420" w:type="dxa"/>
            <w:vAlign w:val="bottom"/>
            <w:tcBorders>
              <w:bottom w:val="single" w:sz="8" w:color="CFCFD2"/>
            </w:tcBorders>
          </w:tcPr>
          <w:p>
            <w:pPr>
              <w:spacing w:after="0" w:line="20" w:lineRule="exact"/>
              <w:rPr>
                <w:sz w:val="1"/>
                <w:szCs w:val="1"/>
                <w:color w:val="auto"/>
              </w:rPr>
            </w:pPr>
          </w:p>
        </w:tc>
        <w:tc>
          <w:tcPr>
            <w:tcW w:w="1680" w:type="dxa"/>
            <w:vAlign w:val="bottom"/>
            <w:tcBorders>
              <w:bottom w:val="single" w:sz="8" w:color="CFCFD2"/>
            </w:tcBorders>
          </w:tcPr>
          <w:p>
            <w:pPr>
              <w:spacing w:after="0" w:line="20" w:lineRule="exact"/>
              <w:rPr>
                <w:sz w:val="1"/>
                <w:szCs w:val="1"/>
                <w:color w:val="auto"/>
              </w:rPr>
            </w:pPr>
          </w:p>
        </w:tc>
        <w:tc>
          <w:tcPr>
            <w:tcW w:w="1520" w:type="dxa"/>
            <w:vAlign w:val="bottom"/>
            <w:tcBorders>
              <w:bottom w:val="single" w:sz="8" w:color="CFCFD2"/>
            </w:tcBorders>
          </w:tcPr>
          <w:p>
            <w:pPr>
              <w:spacing w:after="0" w:line="20" w:lineRule="exact"/>
              <w:rPr>
                <w:sz w:val="1"/>
                <w:szCs w:val="1"/>
                <w:color w:val="auto"/>
              </w:rPr>
            </w:pPr>
          </w:p>
        </w:tc>
        <w:tc>
          <w:tcPr>
            <w:tcW w:w="1140" w:type="dxa"/>
            <w:vAlign w:val="bottom"/>
            <w:tcBorders>
              <w:bottom w:val="single" w:sz="8" w:color="CFCFD2"/>
            </w:tcBorders>
          </w:tcPr>
          <w:p>
            <w:pPr>
              <w:spacing w:after="0" w:line="20" w:lineRule="exact"/>
              <w:rPr>
                <w:sz w:val="1"/>
                <w:szCs w:val="1"/>
                <w:color w:val="auto"/>
              </w:rPr>
            </w:pPr>
          </w:p>
        </w:tc>
        <w:tc>
          <w:tcPr>
            <w:tcW w:w="1500" w:type="dxa"/>
            <w:vAlign w:val="bottom"/>
            <w:tcBorders>
              <w:bottom w:val="single" w:sz="8" w:color="CFCFD2"/>
            </w:tcBorders>
          </w:tcPr>
          <w:p>
            <w:pPr>
              <w:spacing w:after="0" w:line="20" w:lineRule="exact"/>
              <w:rPr>
                <w:sz w:val="1"/>
                <w:szCs w:val="1"/>
                <w:color w:val="auto"/>
              </w:rPr>
            </w:pPr>
          </w:p>
        </w:tc>
      </w:tr>
      <w:tr>
        <w:trPr>
          <w:trHeight w:val="200"/>
        </w:trPr>
        <w:tc>
          <w:tcPr>
            <w:tcW w:w="3980" w:type="dxa"/>
            <w:vAlign w:val="bottom"/>
          </w:tcPr>
          <w:p>
            <w:pPr>
              <w:ind w:left="100"/>
              <w:spacing w:after="0"/>
              <w:rPr>
                <w:sz w:val="20"/>
                <w:szCs w:val="20"/>
                <w:color w:val="auto"/>
              </w:rPr>
            </w:pPr>
            <w:r>
              <w:rPr>
                <w:rFonts w:ascii="Arial" w:cs="Arial" w:eastAsia="Arial" w:hAnsi="Arial"/>
                <w:sz w:val="14"/>
                <w:szCs w:val="14"/>
                <w:color w:val="0E1020"/>
              </w:rPr>
              <w:t>Software purchased or developed</w:t>
            </w:r>
          </w:p>
        </w:tc>
        <w:tc>
          <w:tcPr>
            <w:tcW w:w="1420" w:type="dxa"/>
            <w:vAlign w:val="bottom"/>
          </w:tcPr>
          <w:p>
            <w:pPr>
              <w:jc w:val="right"/>
              <w:spacing w:after="0"/>
              <w:rPr>
                <w:sz w:val="20"/>
                <w:szCs w:val="20"/>
                <w:color w:val="auto"/>
              </w:rPr>
            </w:pPr>
            <w:r>
              <w:rPr>
                <w:rFonts w:ascii="Arial" w:cs="Arial" w:eastAsia="Arial" w:hAnsi="Arial"/>
                <w:sz w:val="14"/>
                <w:szCs w:val="14"/>
                <w:color w:val="0E1020"/>
              </w:rPr>
              <w:t>(217)</w:t>
            </w:r>
          </w:p>
        </w:tc>
        <w:tc>
          <w:tcPr>
            <w:tcW w:w="1680" w:type="dxa"/>
            <w:vAlign w:val="bottom"/>
          </w:tcPr>
          <w:p>
            <w:pPr>
              <w:jc w:val="right"/>
              <w:ind w:right="190"/>
              <w:spacing w:after="0"/>
              <w:rPr>
                <w:sz w:val="20"/>
                <w:szCs w:val="20"/>
                <w:color w:val="auto"/>
              </w:rPr>
            </w:pPr>
            <w:r>
              <w:rPr>
                <w:rFonts w:ascii="Arial" w:cs="Arial" w:eastAsia="Arial" w:hAnsi="Arial"/>
                <w:sz w:val="14"/>
                <w:szCs w:val="14"/>
                <w:color w:val="0E1020"/>
              </w:rPr>
              <w:t>(328)</w:t>
            </w:r>
          </w:p>
        </w:tc>
        <w:tc>
          <w:tcPr>
            <w:tcW w:w="1520" w:type="dxa"/>
            <w:vAlign w:val="bottom"/>
          </w:tcPr>
          <w:p>
            <w:pPr>
              <w:jc w:val="right"/>
              <w:ind w:right="290"/>
              <w:spacing w:after="0"/>
              <w:rPr>
                <w:sz w:val="20"/>
                <w:szCs w:val="20"/>
                <w:color w:val="auto"/>
              </w:rPr>
            </w:pPr>
            <w:r>
              <w:rPr>
                <w:rFonts w:ascii="Arial" w:cs="Arial" w:eastAsia="Arial" w:hAnsi="Arial"/>
                <w:sz w:val="14"/>
                <w:szCs w:val="14"/>
                <w:color w:val="0E1020"/>
              </w:rPr>
              <w:t>(225)</w:t>
            </w:r>
          </w:p>
        </w:tc>
        <w:tc>
          <w:tcPr>
            <w:tcW w:w="1140" w:type="dxa"/>
            <w:vAlign w:val="bottom"/>
          </w:tcPr>
          <w:p>
            <w:pPr>
              <w:jc w:val="right"/>
              <w:ind w:right="10"/>
              <w:spacing w:after="0"/>
              <w:rPr>
                <w:sz w:val="20"/>
                <w:szCs w:val="20"/>
                <w:color w:val="auto"/>
              </w:rPr>
            </w:pPr>
            <w:r>
              <w:rPr>
                <w:rFonts w:ascii="Arial" w:cs="Arial" w:eastAsia="Arial" w:hAnsi="Arial"/>
                <w:sz w:val="14"/>
                <w:szCs w:val="14"/>
                <w:color w:val="0E1020"/>
              </w:rPr>
              <w:t>(188)</w:t>
            </w:r>
          </w:p>
        </w:tc>
        <w:tc>
          <w:tcPr>
            <w:tcW w:w="1500" w:type="dxa"/>
            <w:vAlign w:val="bottom"/>
          </w:tcPr>
          <w:p>
            <w:pPr>
              <w:jc w:val="right"/>
              <w:ind w:right="90"/>
              <w:spacing w:after="0"/>
              <w:rPr>
                <w:sz w:val="20"/>
                <w:szCs w:val="20"/>
                <w:color w:val="auto"/>
              </w:rPr>
            </w:pPr>
            <w:r>
              <w:rPr>
                <w:rFonts w:ascii="Arial" w:cs="Arial" w:eastAsia="Arial" w:hAnsi="Arial"/>
                <w:sz w:val="14"/>
                <w:szCs w:val="14"/>
                <w:color w:val="0E1020"/>
              </w:rPr>
              <w:t>(295)</w:t>
            </w:r>
          </w:p>
        </w:tc>
      </w:tr>
      <w:tr>
        <w:trPr>
          <w:trHeight w:val="21"/>
        </w:trPr>
        <w:tc>
          <w:tcPr>
            <w:tcW w:w="3980" w:type="dxa"/>
            <w:vAlign w:val="bottom"/>
            <w:tcBorders>
              <w:bottom w:val="single" w:sz="8" w:color="CFCFD2"/>
            </w:tcBorders>
          </w:tcPr>
          <w:p>
            <w:pPr>
              <w:spacing w:after="0" w:line="20" w:lineRule="exact"/>
              <w:rPr>
                <w:sz w:val="1"/>
                <w:szCs w:val="1"/>
                <w:color w:val="auto"/>
              </w:rPr>
            </w:pPr>
          </w:p>
        </w:tc>
        <w:tc>
          <w:tcPr>
            <w:tcW w:w="1420" w:type="dxa"/>
            <w:vAlign w:val="bottom"/>
            <w:tcBorders>
              <w:bottom w:val="single" w:sz="8" w:color="CFCFD2"/>
            </w:tcBorders>
          </w:tcPr>
          <w:p>
            <w:pPr>
              <w:spacing w:after="0" w:line="20" w:lineRule="exact"/>
              <w:rPr>
                <w:sz w:val="1"/>
                <w:szCs w:val="1"/>
                <w:color w:val="auto"/>
              </w:rPr>
            </w:pPr>
          </w:p>
        </w:tc>
        <w:tc>
          <w:tcPr>
            <w:tcW w:w="1680" w:type="dxa"/>
            <w:vAlign w:val="bottom"/>
            <w:tcBorders>
              <w:bottom w:val="single" w:sz="8" w:color="CFCFD2"/>
            </w:tcBorders>
          </w:tcPr>
          <w:p>
            <w:pPr>
              <w:spacing w:after="0" w:line="20" w:lineRule="exact"/>
              <w:rPr>
                <w:sz w:val="1"/>
                <w:szCs w:val="1"/>
                <w:color w:val="auto"/>
              </w:rPr>
            </w:pPr>
          </w:p>
        </w:tc>
        <w:tc>
          <w:tcPr>
            <w:tcW w:w="1520" w:type="dxa"/>
            <w:vAlign w:val="bottom"/>
            <w:tcBorders>
              <w:bottom w:val="single" w:sz="8" w:color="CFCFD2"/>
            </w:tcBorders>
          </w:tcPr>
          <w:p>
            <w:pPr>
              <w:spacing w:after="0" w:line="20" w:lineRule="exact"/>
              <w:rPr>
                <w:sz w:val="1"/>
                <w:szCs w:val="1"/>
                <w:color w:val="auto"/>
              </w:rPr>
            </w:pPr>
          </w:p>
        </w:tc>
        <w:tc>
          <w:tcPr>
            <w:tcW w:w="1140" w:type="dxa"/>
            <w:vAlign w:val="bottom"/>
            <w:tcBorders>
              <w:bottom w:val="single" w:sz="8" w:color="CFCFD2"/>
            </w:tcBorders>
          </w:tcPr>
          <w:p>
            <w:pPr>
              <w:spacing w:after="0" w:line="20" w:lineRule="exact"/>
              <w:rPr>
                <w:sz w:val="1"/>
                <w:szCs w:val="1"/>
                <w:color w:val="auto"/>
              </w:rPr>
            </w:pPr>
          </w:p>
        </w:tc>
        <w:tc>
          <w:tcPr>
            <w:tcW w:w="1500" w:type="dxa"/>
            <w:vAlign w:val="bottom"/>
            <w:tcBorders>
              <w:bottom w:val="single" w:sz="8" w:color="CFCFD2"/>
            </w:tcBorders>
          </w:tcPr>
          <w:p>
            <w:pPr>
              <w:spacing w:after="0" w:line="20" w:lineRule="exact"/>
              <w:rPr>
                <w:sz w:val="1"/>
                <w:szCs w:val="1"/>
                <w:color w:val="auto"/>
              </w:rPr>
            </w:pPr>
          </w:p>
        </w:tc>
      </w:tr>
      <w:tr>
        <w:trPr>
          <w:trHeight w:val="253"/>
        </w:trPr>
        <w:tc>
          <w:tcPr>
            <w:tcW w:w="3980" w:type="dxa"/>
            <w:vAlign w:val="bottom"/>
            <w:tcBorders>
              <w:bottom w:val="single" w:sz="8" w:color="F6F3F0"/>
            </w:tcBorders>
            <w:shd w:val="clear" w:color="auto" w:fill="F6F3F0"/>
          </w:tcPr>
          <w:p>
            <w:pPr>
              <w:ind w:left="100"/>
              <w:spacing w:after="0"/>
              <w:rPr>
                <w:sz w:val="20"/>
                <w:szCs w:val="20"/>
                <w:color w:val="auto"/>
              </w:rPr>
            </w:pPr>
            <w:r>
              <w:rPr>
                <w:rFonts w:ascii="Arial" w:cs="Arial" w:eastAsia="Arial" w:hAnsi="Arial"/>
                <w:sz w:val="14"/>
                <w:szCs w:val="14"/>
                <w:b w:val="1"/>
                <w:bCs w:val="1"/>
                <w:color w:val="0E1020"/>
              </w:rPr>
              <w:t>Free Cash Flow</w:t>
            </w:r>
          </w:p>
        </w:tc>
        <w:tc>
          <w:tcPr>
            <w:tcW w:w="1420" w:type="dxa"/>
            <w:vAlign w:val="bottom"/>
            <w:tcBorders>
              <w:bottom w:val="single" w:sz="8" w:color="F6F3F0"/>
            </w:tcBorders>
            <w:shd w:val="clear" w:color="auto" w:fill="F6F3F0"/>
          </w:tcPr>
          <w:p>
            <w:pPr>
              <w:jc w:val="right"/>
              <w:spacing w:after="0"/>
              <w:rPr>
                <w:sz w:val="20"/>
                <w:szCs w:val="20"/>
                <w:color w:val="auto"/>
              </w:rPr>
            </w:pPr>
            <w:r>
              <w:rPr>
                <w:rFonts w:ascii="Arial" w:cs="Arial" w:eastAsia="Arial" w:hAnsi="Arial"/>
                <w:sz w:val="14"/>
                <w:szCs w:val="14"/>
                <w:b w:val="1"/>
                <w:bCs w:val="1"/>
                <w:color w:val="0E1020"/>
              </w:rPr>
              <w:t>$713</w:t>
            </w:r>
          </w:p>
        </w:tc>
        <w:tc>
          <w:tcPr>
            <w:tcW w:w="1680" w:type="dxa"/>
            <w:vAlign w:val="bottom"/>
            <w:tcBorders>
              <w:bottom w:val="single" w:sz="8" w:color="F6F3F0"/>
            </w:tcBorders>
            <w:shd w:val="clear" w:color="auto" w:fill="F6F3F0"/>
          </w:tcPr>
          <w:p>
            <w:pPr>
              <w:jc w:val="right"/>
              <w:ind w:right="190"/>
              <w:spacing w:after="0"/>
              <w:rPr>
                <w:sz w:val="20"/>
                <w:szCs w:val="20"/>
                <w:color w:val="auto"/>
              </w:rPr>
            </w:pPr>
            <w:r>
              <w:rPr>
                <w:rFonts w:ascii="Arial" w:cs="Arial" w:eastAsia="Arial" w:hAnsi="Arial"/>
                <w:sz w:val="14"/>
                <w:szCs w:val="14"/>
                <w:b w:val="1"/>
                <w:bCs w:val="1"/>
                <w:color w:val="0E1020"/>
              </w:rPr>
              <w:t>$687</w:t>
            </w:r>
          </w:p>
        </w:tc>
        <w:tc>
          <w:tcPr>
            <w:tcW w:w="1520" w:type="dxa"/>
            <w:vAlign w:val="bottom"/>
            <w:tcBorders>
              <w:bottom w:val="single" w:sz="8" w:color="F6F3F0"/>
            </w:tcBorders>
            <w:shd w:val="clear" w:color="auto" w:fill="F6F3F0"/>
          </w:tcPr>
          <w:p>
            <w:pPr>
              <w:jc w:val="right"/>
              <w:ind w:right="290"/>
              <w:spacing w:after="0"/>
              <w:rPr>
                <w:sz w:val="20"/>
                <w:szCs w:val="20"/>
                <w:color w:val="auto"/>
              </w:rPr>
            </w:pPr>
            <w:r>
              <w:rPr>
                <w:rFonts w:ascii="Arial" w:cs="Arial" w:eastAsia="Arial" w:hAnsi="Arial"/>
                <w:sz w:val="14"/>
                <w:szCs w:val="14"/>
                <w:b w:val="1"/>
                <w:bCs w:val="1"/>
                <w:color w:val="0E1020"/>
              </w:rPr>
              <w:t>$756</w:t>
            </w:r>
          </w:p>
        </w:tc>
        <w:tc>
          <w:tcPr>
            <w:tcW w:w="1140" w:type="dxa"/>
            <w:vAlign w:val="bottom"/>
            <w:tcBorders>
              <w:bottom w:val="single" w:sz="8" w:color="F6F3F0"/>
            </w:tcBorders>
            <w:shd w:val="clear" w:color="auto" w:fill="F6F3F0"/>
          </w:tcPr>
          <w:p>
            <w:pPr>
              <w:jc w:val="right"/>
              <w:ind w:right="10"/>
              <w:spacing w:after="0"/>
              <w:rPr>
                <w:sz w:val="20"/>
                <w:szCs w:val="20"/>
                <w:color w:val="auto"/>
              </w:rPr>
            </w:pPr>
            <w:r>
              <w:rPr>
                <w:rFonts w:ascii="Arial" w:cs="Arial" w:eastAsia="Arial" w:hAnsi="Arial"/>
                <w:sz w:val="14"/>
                <w:szCs w:val="14"/>
                <w:b w:val="1"/>
                <w:bCs w:val="1"/>
                <w:color w:val="0E1020"/>
              </w:rPr>
              <w:t>$737</w:t>
            </w:r>
          </w:p>
        </w:tc>
        <w:tc>
          <w:tcPr>
            <w:tcW w:w="1500" w:type="dxa"/>
            <w:vAlign w:val="bottom"/>
            <w:tcBorders>
              <w:bottom w:val="single" w:sz="8" w:color="F6F3F0"/>
            </w:tcBorders>
            <w:shd w:val="clear" w:color="auto" w:fill="F6F3F0"/>
          </w:tcPr>
          <w:p>
            <w:pPr>
              <w:jc w:val="right"/>
              <w:ind w:right="90"/>
              <w:spacing w:after="0"/>
              <w:rPr>
                <w:sz w:val="20"/>
                <w:szCs w:val="20"/>
                <w:color w:val="auto"/>
              </w:rPr>
            </w:pPr>
            <w:r>
              <w:rPr>
                <w:rFonts w:ascii="Arial" w:cs="Arial" w:eastAsia="Arial" w:hAnsi="Arial"/>
                <w:sz w:val="14"/>
                <w:szCs w:val="14"/>
                <w:b w:val="1"/>
                <w:bCs w:val="1"/>
                <w:color w:val="0E1020"/>
              </w:rPr>
              <w:t>$743</w:t>
            </w:r>
          </w:p>
        </w:tc>
      </w:tr>
      <w:tr>
        <w:trPr>
          <w:trHeight w:val="1031"/>
        </w:trPr>
        <w:tc>
          <w:tcPr>
            <w:tcW w:w="3980" w:type="dxa"/>
            <w:vAlign w:val="bottom"/>
            <w:tcBorders>
              <w:top w:val="single" w:sz="8" w:color="CFCFD2"/>
            </w:tcBorders>
          </w:tcPr>
          <w:p>
            <w:pPr>
              <w:ind w:left="20"/>
              <w:spacing w:after="0"/>
              <w:rPr>
                <w:sz w:val="20"/>
                <w:szCs w:val="20"/>
                <w:color w:val="auto"/>
              </w:rPr>
            </w:pPr>
            <w:r>
              <w:rPr>
                <w:rFonts w:ascii="Arial" w:cs="Arial" w:eastAsia="Arial" w:hAnsi="Arial"/>
                <w:sz w:val="14"/>
                <w:szCs w:val="14"/>
                <w:color w:val="0E1020"/>
              </w:rPr>
              <w:t>DXC Technology Company</w:t>
            </w:r>
          </w:p>
        </w:tc>
        <w:tc>
          <w:tcPr>
            <w:tcW w:w="1420" w:type="dxa"/>
            <w:vAlign w:val="bottom"/>
            <w:tcBorders>
              <w:top w:val="single" w:sz="8" w:color="CFCFD2"/>
            </w:tcBorders>
          </w:tcPr>
          <w:p>
            <w:pPr>
              <w:spacing w:after="0"/>
              <w:rPr>
                <w:sz w:val="24"/>
                <w:szCs w:val="24"/>
                <w:color w:val="auto"/>
              </w:rPr>
            </w:pPr>
          </w:p>
        </w:tc>
        <w:tc>
          <w:tcPr>
            <w:tcW w:w="1680" w:type="dxa"/>
            <w:vAlign w:val="bottom"/>
            <w:tcBorders>
              <w:top w:val="single" w:sz="8" w:color="CFCFD2"/>
            </w:tcBorders>
          </w:tcPr>
          <w:p>
            <w:pPr>
              <w:jc w:val="right"/>
              <w:ind w:right="1290"/>
              <w:spacing w:after="0"/>
              <w:rPr>
                <w:sz w:val="20"/>
                <w:szCs w:val="20"/>
                <w:color w:val="auto"/>
              </w:rPr>
            </w:pPr>
            <w:r>
              <w:rPr>
                <w:rFonts w:ascii="Arial" w:cs="Arial" w:eastAsia="Arial" w:hAnsi="Arial"/>
                <w:sz w:val="14"/>
                <w:szCs w:val="14"/>
                <w:color w:val="0E1020"/>
              </w:rPr>
              <w:t>A-3</w:t>
            </w:r>
          </w:p>
        </w:tc>
        <w:tc>
          <w:tcPr>
            <w:tcW w:w="1520" w:type="dxa"/>
            <w:vAlign w:val="bottom"/>
            <w:tcBorders>
              <w:top w:val="single" w:sz="8" w:color="CFCFD2"/>
            </w:tcBorders>
          </w:tcPr>
          <w:p>
            <w:pPr>
              <w:spacing w:after="0"/>
              <w:rPr>
                <w:sz w:val="24"/>
                <w:szCs w:val="24"/>
                <w:color w:val="auto"/>
              </w:rPr>
            </w:pPr>
          </w:p>
        </w:tc>
        <w:tc>
          <w:tcPr>
            <w:tcW w:w="1140" w:type="dxa"/>
            <w:vAlign w:val="bottom"/>
            <w:tcBorders>
              <w:top w:val="single" w:sz="8" w:color="CFCFD2"/>
            </w:tcBorders>
          </w:tcPr>
          <w:p>
            <w:pPr>
              <w:spacing w:after="0"/>
              <w:rPr>
                <w:sz w:val="24"/>
                <w:szCs w:val="24"/>
                <w:color w:val="auto"/>
              </w:rPr>
            </w:pPr>
          </w:p>
        </w:tc>
        <w:tc>
          <w:tcPr>
            <w:tcW w:w="1500" w:type="dxa"/>
            <w:vAlign w:val="bottom"/>
            <w:tcBorders>
              <w:top w:val="single" w:sz="8" w:color="CFCFD2"/>
            </w:tcBorders>
          </w:tcPr>
          <w:p>
            <w:pPr>
              <w:jc w:val="right"/>
              <w:spacing w:after="0"/>
              <w:rPr>
                <w:sz w:val="20"/>
                <w:szCs w:val="20"/>
                <w:color w:val="auto"/>
              </w:rPr>
            </w:pPr>
            <w:r>
              <w:rPr>
                <w:rFonts w:ascii="Arial" w:cs="Arial" w:eastAsia="Arial" w:hAnsi="Arial"/>
                <w:sz w:val="14"/>
                <w:szCs w:val="14"/>
                <w:color w:val="0E1020"/>
              </w:rPr>
              <w:t>2026 Proxy Statement</w:t>
            </w:r>
          </w:p>
        </w:tc>
      </w:tr>
      <w:tr>
        <w:trPr>
          <w:trHeight w:val="216"/>
        </w:trPr>
        <w:tc>
          <w:tcPr>
            <w:tcW w:w="398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6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24" w:name="page125"/>
    <w:bookmarkEnd w:id="124"/>
    <w:p>
      <w:pPr>
        <w:ind w:left="2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6166485</wp:posOffset>
            </wp:positionH>
            <wp:positionV relativeFrom="page">
              <wp:posOffset>106045</wp:posOffset>
            </wp:positionV>
            <wp:extent cx="1166495" cy="3232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232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39"/>
          <w:szCs w:val="39"/>
          <w:b w:val="1"/>
          <w:bCs w:val="1"/>
          <w:color w:val="0E1020"/>
        </w:rPr>
        <w:t>APPENDIX B: RESOLUTION ADOPTING AMENDMENTS TO THE AMENDED AND RESTATED DXC TECHNOLOGY COMPANY 2017 OMNIBUS INCENTIVE PLAN</w:t>
      </w:r>
    </w:p>
    <w:p>
      <w:pPr>
        <w:spacing w:after="0" w:line="27" w:lineRule="exact"/>
        <w:rPr>
          <w:sz w:val="20"/>
          <w:szCs w:val="20"/>
          <w:color w:val="auto"/>
        </w:rPr>
      </w:pPr>
    </w:p>
    <w:p>
      <w:pPr>
        <w:ind w:right="140"/>
        <w:spacing w:after="0" w:line="307" w:lineRule="auto"/>
        <w:rPr>
          <w:sz w:val="20"/>
          <w:szCs w:val="20"/>
          <w:color w:val="auto"/>
        </w:rPr>
      </w:pPr>
      <w:r>
        <w:rPr>
          <w:rFonts w:ascii="Arial" w:cs="Arial" w:eastAsia="Arial" w:hAnsi="Arial"/>
          <w:sz w:val="16"/>
          <w:szCs w:val="16"/>
          <w:color w:val="0E1020"/>
        </w:rPr>
        <w:t>THIS AMENDMENT TO THE AMENDED AND RESTATED DXC TECHNOLOGY COMPANY 2017 OMNIBUS INCENTIVE PLAN (this "</w:t>
      </w:r>
      <w:r>
        <w:rPr>
          <w:rFonts w:ascii="Arial" w:cs="Arial" w:eastAsia="Arial" w:hAnsi="Arial"/>
          <w:sz w:val="16"/>
          <w:szCs w:val="16"/>
          <w:b w:val="1"/>
          <w:bCs w:val="1"/>
          <w:color w:val="0E1020"/>
        </w:rPr>
        <w:t>Amendment</w:t>
      </w:r>
      <w:r>
        <w:rPr>
          <w:rFonts w:ascii="Arial" w:cs="Arial" w:eastAsia="Arial" w:hAnsi="Arial"/>
          <w:sz w:val="16"/>
          <w:szCs w:val="16"/>
          <w:color w:val="0E1020"/>
        </w:rPr>
        <w:t>") is made and adopted by DXC TECHNOLOGY COMPANY (the "</w:t>
      </w:r>
      <w:r>
        <w:rPr>
          <w:rFonts w:ascii="Arial" w:cs="Arial" w:eastAsia="Arial" w:hAnsi="Arial"/>
          <w:sz w:val="16"/>
          <w:szCs w:val="16"/>
          <w:b w:val="1"/>
          <w:bCs w:val="1"/>
          <w:color w:val="0E1020"/>
        </w:rPr>
        <w:t>Company</w:t>
      </w:r>
      <w:r>
        <w:rPr>
          <w:rFonts w:ascii="Arial" w:cs="Arial" w:eastAsia="Arial" w:hAnsi="Arial"/>
          <w:sz w:val="16"/>
          <w:szCs w:val="16"/>
          <w:color w:val="0E1020"/>
        </w:rPr>
        <w:t>"). Capitalized terms used but not otherwise defined herein shall have the meanings ascribed to them in the Plan (as defined below).</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0E1020"/>
        </w:rPr>
        <w:t>RECITALS</w:t>
      </w:r>
    </w:p>
    <w:p>
      <w:pPr>
        <w:spacing w:after="0" w:line="124" w:lineRule="exact"/>
        <w:rPr>
          <w:sz w:val="20"/>
          <w:szCs w:val="20"/>
          <w:color w:val="auto"/>
        </w:rPr>
      </w:pPr>
    </w:p>
    <w:p>
      <w:pPr>
        <w:ind w:right="220"/>
        <w:spacing w:after="0" w:line="346" w:lineRule="auto"/>
        <w:rPr>
          <w:sz w:val="20"/>
          <w:szCs w:val="20"/>
          <w:color w:val="auto"/>
        </w:rPr>
      </w:pPr>
      <w:r>
        <w:rPr>
          <w:rFonts w:ascii="Arial" w:cs="Arial" w:eastAsia="Arial" w:hAnsi="Arial"/>
          <w:sz w:val="16"/>
          <w:szCs w:val="16"/>
          <w:color w:val="0E1020"/>
        </w:rPr>
        <w:t>WHEREAS, the Company maintains the Amended and Restated DXC Technology Company 2017 Omnibus Incentive Plan (as amended from time to time, the "</w:t>
      </w:r>
      <w:r>
        <w:rPr>
          <w:rFonts w:ascii="Arial" w:cs="Arial" w:eastAsia="Arial" w:hAnsi="Arial"/>
          <w:sz w:val="16"/>
          <w:szCs w:val="16"/>
          <w:b w:val="1"/>
          <w:bCs w:val="1"/>
          <w:color w:val="0E1020"/>
        </w:rPr>
        <w:t>2017 OIP</w:t>
      </w:r>
      <w:r>
        <w:rPr>
          <w:rFonts w:ascii="Arial" w:cs="Arial" w:eastAsia="Arial" w:hAnsi="Arial"/>
          <w:sz w:val="16"/>
          <w:szCs w:val="16"/>
          <w:color w:val="0E1020"/>
        </w:rPr>
        <w:t>");</w:t>
      </w:r>
    </w:p>
    <w:p>
      <w:pPr>
        <w:spacing w:after="0" w:line="19" w:lineRule="exact"/>
        <w:rPr>
          <w:sz w:val="20"/>
          <w:szCs w:val="20"/>
          <w:color w:val="auto"/>
        </w:rPr>
      </w:pPr>
    </w:p>
    <w:p>
      <w:pPr>
        <w:ind w:right="300"/>
        <w:spacing w:after="0" w:line="318" w:lineRule="auto"/>
        <w:rPr>
          <w:sz w:val="20"/>
          <w:szCs w:val="20"/>
          <w:color w:val="auto"/>
        </w:rPr>
      </w:pPr>
      <w:r>
        <w:rPr>
          <w:rFonts w:ascii="Arial" w:cs="Arial" w:eastAsia="Arial" w:hAnsi="Arial"/>
          <w:sz w:val="16"/>
          <w:szCs w:val="16"/>
          <w:color w:val="0E1020"/>
        </w:rPr>
        <w:t>WHEREAS, pursuant to Section 16 of the 2017 OIP, the 2017 OIP may be amended by the Board of Directors of the Company (the "</w:t>
      </w:r>
      <w:r>
        <w:rPr>
          <w:rFonts w:ascii="Arial" w:cs="Arial" w:eastAsia="Arial" w:hAnsi="Arial"/>
          <w:sz w:val="16"/>
          <w:szCs w:val="16"/>
          <w:b w:val="1"/>
          <w:bCs w:val="1"/>
          <w:color w:val="0E1020"/>
        </w:rPr>
        <w:t>Board</w:t>
      </w:r>
      <w:r>
        <w:rPr>
          <w:rFonts w:ascii="Arial" w:cs="Arial" w:eastAsia="Arial" w:hAnsi="Arial"/>
          <w:sz w:val="16"/>
          <w:szCs w:val="16"/>
          <w:color w:val="0E1020"/>
        </w:rPr>
        <w:t>"), at any time, subject to the terms of the 2017 OIP; and</w:t>
      </w:r>
    </w:p>
    <w:p>
      <w:pPr>
        <w:spacing w:after="0" w:line="49" w:lineRule="exact"/>
        <w:rPr>
          <w:sz w:val="20"/>
          <w:szCs w:val="20"/>
          <w:color w:val="auto"/>
        </w:rPr>
      </w:pPr>
    </w:p>
    <w:p>
      <w:pPr>
        <w:ind w:right="380"/>
        <w:spacing w:after="0" w:line="346" w:lineRule="auto"/>
        <w:rPr>
          <w:sz w:val="20"/>
          <w:szCs w:val="20"/>
          <w:color w:val="auto"/>
        </w:rPr>
      </w:pPr>
      <w:r>
        <w:rPr>
          <w:rFonts w:ascii="Arial" w:cs="Arial" w:eastAsia="Arial" w:hAnsi="Arial"/>
          <w:sz w:val="16"/>
          <w:szCs w:val="16"/>
          <w:color w:val="0E1020"/>
        </w:rPr>
        <w:t>WHEREAS, the Board has adopted this Amendment, subject to and effective upon approval by the stockholders of the Company at the Company's 2026 Annual Meeting of Stockholders (the "</w:t>
      </w:r>
      <w:r>
        <w:rPr>
          <w:rFonts w:ascii="Arial" w:cs="Arial" w:eastAsia="Arial" w:hAnsi="Arial"/>
          <w:sz w:val="16"/>
          <w:szCs w:val="16"/>
          <w:b w:val="1"/>
          <w:bCs w:val="1"/>
          <w:color w:val="0E1020"/>
        </w:rPr>
        <w:t>2026 Annual Meeting</w:t>
      </w:r>
      <w:r>
        <w:rPr>
          <w:rFonts w:ascii="Arial" w:cs="Arial" w:eastAsia="Arial" w:hAnsi="Arial"/>
          <w:sz w:val="16"/>
          <w:szCs w:val="16"/>
          <w:color w:val="0E1020"/>
        </w:rPr>
        <w:t>").</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0E1020"/>
        </w:rPr>
        <w:t>NOW, THEREFORE, in consideration of the foregoing, the Company hereby amends the 2017 OIP as follows, subject to approval by the stockholders of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0E1020"/>
        </w:rPr>
        <w:t>Company at the Annual Meeting:</w:t>
      </w:r>
    </w:p>
    <w:p>
      <w:pPr>
        <w:spacing w:after="0" w:line="124" w:lineRule="exact"/>
        <w:rPr>
          <w:sz w:val="20"/>
          <w:szCs w:val="20"/>
          <w:color w:val="auto"/>
        </w:rPr>
      </w:pPr>
    </w:p>
    <w:p>
      <w:pPr>
        <w:ind w:left="340" w:hanging="333"/>
        <w:spacing w:after="0"/>
        <w:tabs>
          <w:tab w:leader="none" w:pos="340" w:val="left"/>
        </w:tabs>
        <w:numPr>
          <w:ilvl w:val="0"/>
          <w:numId w:val="115"/>
        </w:numPr>
        <w:rPr>
          <w:rFonts w:ascii="Arial" w:cs="Arial" w:eastAsia="Arial" w:hAnsi="Arial"/>
          <w:sz w:val="16"/>
          <w:szCs w:val="16"/>
          <w:color w:val="0E1020"/>
        </w:rPr>
      </w:pPr>
      <w:r>
        <w:rPr>
          <w:rFonts w:ascii="Arial" w:cs="Arial" w:eastAsia="Arial" w:hAnsi="Arial"/>
          <w:sz w:val="16"/>
          <w:szCs w:val="16"/>
          <w:color w:val="0E1020"/>
        </w:rPr>
        <w:t>Section 4.1 of the 2017 OIP is hereby amended and restated in its entirety to read as follows:</w:t>
      </w:r>
    </w:p>
    <w:p>
      <w:pPr>
        <w:spacing w:after="0" w:line="138" w:lineRule="exact"/>
        <w:rPr>
          <w:sz w:val="20"/>
          <w:szCs w:val="20"/>
          <w:color w:val="auto"/>
        </w:rPr>
      </w:pPr>
    </w:p>
    <w:p>
      <w:pPr>
        <w:ind w:left="660" w:right="60"/>
        <w:spacing w:after="0" w:line="304" w:lineRule="auto"/>
        <w:rPr>
          <w:sz w:val="20"/>
          <w:szCs w:val="20"/>
          <w:color w:val="auto"/>
        </w:rPr>
      </w:pPr>
      <w:r>
        <w:rPr>
          <w:rFonts w:ascii="Arial" w:cs="Arial" w:eastAsia="Arial" w:hAnsi="Arial"/>
          <w:sz w:val="16"/>
          <w:szCs w:val="16"/>
          <w:color w:val="0E1020"/>
        </w:rPr>
        <w:t>"4.1 Common Stock Available for Awards. Subject to the provisions of Section 18 hereof, there shall be available for Awards under this Plan granted wholly or partly in Common Stock (including rights or Options that may be exercised for or settled in Common Stock) an aggregate of 71,200,000 shares of Common Stock (the "Maximum Share Limit"). Each Award (including a Spinoff Award or CSC Rollover Award) granted under the Plan, regardless of type, shall reduce the Maximum Share Limit by one share for each share associated with the Award."</w:t>
      </w:r>
    </w:p>
    <w:p>
      <w:pPr>
        <w:spacing w:after="0" w:line="60" w:lineRule="exact"/>
        <w:rPr>
          <w:sz w:val="20"/>
          <w:szCs w:val="20"/>
          <w:color w:val="auto"/>
        </w:rPr>
      </w:pPr>
    </w:p>
    <w:p>
      <w:pPr>
        <w:ind w:left="360" w:hanging="353"/>
        <w:spacing w:after="0"/>
        <w:tabs>
          <w:tab w:leader="none" w:pos="360" w:val="left"/>
        </w:tabs>
        <w:numPr>
          <w:ilvl w:val="0"/>
          <w:numId w:val="116"/>
        </w:numPr>
        <w:rPr>
          <w:rFonts w:ascii="Arial" w:cs="Arial" w:eastAsia="Arial" w:hAnsi="Arial"/>
          <w:sz w:val="16"/>
          <w:szCs w:val="16"/>
          <w:color w:val="0E1020"/>
        </w:rPr>
      </w:pPr>
      <w:r>
        <w:rPr>
          <w:rFonts w:ascii="Arial" w:cs="Arial" w:eastAsia="Arial" w:hAnsi="Arial"/>
          <w:sz w:val="16"/>
          <w:szCs w:val="16"/>
          <w:color w:val="0E1020"/>
        </w:rPr>
        <w:t>Section 26 of the 2017 OIP is hereby amended and restated in its entirety to read as follows:</w:t>
      </w:r>
    </w:p>
    <w:p>
      <w:pPr>
        <w:spacing w:after="0" w:line="124" w:lineRule="exact"/>
        <w:rPr>
          <w:sz w:val="20"/>
          <w:szCs w:val="20"/>
          <w:color w:val="auto"/>
        </w:rPr>
      </w:pPr>
    </w:p>
    <w:p>
      <w:pPr>
        <w:ind w:left="660" w:right="380"/>
        <w:spacing w:after="0" w:line="335" w:lineRule="auto"/>
        <w:rPr>
          <w:sz w:val="20"/>
          <w:szCs w:val="20"/>
          <w:color w:val="auto"/>
        </w:rPr>
      </w:pPr>
      <w:r>
        <w:rPr>
          <w:rFonts w:ascii="Arial" w:cs="Arial" w:eastAsia="Arial" w:hAnsi="Arial"/>
          <w:sz w:val="16"/>
          <w:szCs w:val="16"/>
          <w:color w:val="0E1020"/>
        </w:rPr>
        <w:t>"Section 26. Term. This Plan shall be effective as of the Effective Date. No Award may be granted under this Plan after March 30, 2037, but any Award granted prior to that date may extend beyond that date."</w:t>
      </w:r>
    </w:p>
    <w:p>
      <w:pPr>
        <w:spacing w:after="0" w:line="23" w:lineRule="exact"/>
        <w:rPr>
          <w:sz w:val="20"/>
          <w:szCs w:val="20"/>
          <w:color w:val="auto"/>
        </w:rPr>
      </w:pPr>
    </w:p>
    <w:p>
      <w:pPr>
        <w:ind w:left="320" w:right="120" w:hanging="313"/>
        <w:spacing w:after="0" w:line="335" w:lineRule="auto"/>
        <w:tabs>
          <w:tab w:leader="none" w:pos="353" w:val="left"/>
        </w:tabs>
        <w:numPr>
          <w:ilvl w:val="0"/>
          <w:numId w:val="117"/>
        </w:numPr>
        <w:rPr>
          <w:rFonts w:ascii="Arial" w:cs="Arial" w:eastAsia="Arial" w:hAnsi="Arial"/>
          <w:sz w:val="16"/>
          <w:szCs w:val="16"/>
          <w:color w:val="0E1020"/>
        </w:rPr>
      </w:pPr>
      <w:r>
        <w:rPr>
          <w:rFonts w:ascii="Arial" w:cs="Arial" w:eastAsia="Arial" w:hAnsi="Arial"/>
          <w:sz w:val="16"/>
          <w:szCs w:val="16"/>
          <w:color w:val="0E1020"/>
        </w:rPr>
        <w:t>This Amendment shall be and is hereby incorporated in and forms a part of the 2017 OIP; provided that the Amendment shall be subject to approval by the stockholders of the Company at the Annual Meeting.</w:t>
      </w:r>
    </w:p>
    <w:p>
      <w:pPr>
        <w:spacing w:after="0" w:line="35" w:lineRule="exact"/>
        <w:rPr>
          <w:rFonts w:ascii="Arial" w:cs="Arial" w:eastAsia="Arial" w:hAnsi="Arial"/>
          <w:sz w:val="16"/>
          <w:szCs w:val="16"/>
          <w:color w:val="0E1020"/>
        </w:rPr>
      </w:pPr>
    </w:p>
    <w:p>
      <w:pPr>
        <w:ind w:left="360" w:hanging="353"/>
        <w:spacing w:after="0"/>
        <w:tabs>
          <w:tab w:leader="none" w:pos="360" w:val="left"/>
        </w:tabs>
        <w:numPr>
          <w:ilvl w:val="0"/>
          <w:numId w:val="117"/>
        </w:numPr>
        <w:rPr>
          <w:rFonts w:ascii="Arial" w:cs="Arial" w:eastAsia="Arial" w:hAnsi="Arial"/>
          <w:sz w:val="16"/>
          <w:szCs w:val="16"/>
          <w:color w:val="0E1020"/>
        </w:rPr>
      </w:pPr>
      <w:r>
        <w:rPr>
          <w:rFonts w:ascii="Arial" w:cs="Arial" w:eastAsia="Arial" w:hAnsi="Arial"/>
          <w:sz w:val="16"/>
          <w:szCs w:val="16"/>
          <w:color w:val="0E1020"/>
        </w:rPr>
        <w:t>Except as expressly provided herein, all other terms and provisions of the 2017 OIP shall remain unchanged and in full force and effect.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548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B-1</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146050</wp:posOffset>
            </wp:positionV>
            <wp:extent cx="715899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125" w:name="page126"/>
    <w:bookmarkEnd w:id="125"/>
    <w:p>
      <w:pPr>
        <w:ind w:left="2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6166485</wp:posOffset>
            </wp:positionH>
            <wp:positionV relativeFrom="page">
              <wp:posOffset>106045</wp:posOffset>
            </wp:positionV>
            <wp:extent cx="1166495" cy="3232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232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39"/>
          <w:szCs w:val="39"/>
          <w:b w:val="1"/>
          <w:bCs w:val="1"/>
          <w:color w:val="0E1020"/>
        </w:rPr>
        <w:t>APPENDIX C: RESOLUTION ADOPTING AMENDMENTS TO THE AMENDED AND RESTATED DXC TECHNOLOGY COMPANY 2017 NON-EMPLOYEE DIRECTOR INCENTIVE PLAN</w:t>
      </w:r>
    </w:p>
    <w:p>
      <w:pPr>
        <w:spacing w:after="0" w:line="37" w:lineRule="exact"/>
        <w:rPr>
          <w:sz w:val="20"/>
          <w:szCs w:val="20"/>
          <w:color w:val="auto"/>
        </w:rPr>
      </w:pPr>
    </w:p>
    <w:p>
      <w:pPr>
        <w:jc w:val="both"/>
        <w:ind w:right="260"/>
        <w:spacing w:after="0" w:line="316" w:lineRule="auto"/>
        <w:rPr>
          <w:sz w:val="20"/>
          <w:szCs w:val="20"/>
          <w:color w:val="auto"/>
        </w:rPr>
      </w:pPr>
      <w:r>
        <w:rPr>
          <w:rFonts w:ascii="Arial" w:cs="Arial" w:eastAsia="Arial" w:hAnsi="Arial"/>
          <w:sz w:val="16"/>
          <w:szCs w:val="16"/>
          <w:color w:val="0E1020"/>
        </w:rPr>
        <w:t>THIS AMENDMENT TO THE AMENDED AND RESTATED DXC TECHNOLOGY COMPANY 2017 NON-EMPLOYEE DIRECTOR INCENTIVE PLAN (this "</w:t>
      </w:r>
      <w:r>
        <w:rPr>
          <w:rFonts w:ascii="Arial" w:cs="Arial" w:eastAsia="Arial" w:hAnsi="Arial"/>
          <w:sz w:val="16"/>
          <w:szCs w:val="16"/>
          <w:b w:val="1"/>
          <w:bCs w:val="1"/>
          <w:color w:val="0E1020"/>
        </w:rPr>
        <w:t>Amendment</w:t>
      </w:r>
      <w:r>
        <w:rPr>
          <w:rFonts w:ascii="Arial" w:cs="Arial" w:eastAsia="Arial" w:hAnsi="Arial"/>
          <w:sz w:val="16"/>
          <w:szCs w:val="16"/>
          <w:color w:val="0E1020"/>
        </w:rPr>
        <w:t>") is made and adopted by DXC TECHNOLOGY COMPANY (the "</w:t>
      </w:r>
      <w:r>
        <w:rPr>
          <w:rFonts w:ascii="Arial" w:cs="Arial" w:eastAsia="Arial" w:hAnsi="Arial"/>
          <w:sz w:val="16"/>
          <w:szCs w:val="16"/>
          <w:b w:val="1"/>
          <w:bCs w:val="1"/>
          <w:color w:val="0E1020"/>
        </w:rPr>
        <w:t>Company</w:t>
      </w:r>
      <w:r>
        <w:rPr>
          <w:rFonts w:ascii="Arial" w:cs="Arial" w:eastAsia="Arial" w:hAnsi="Arial"/>
          <w:sz w:val="16"/>
          <w:szCs w:val="16"/>
          <w:color w:val="0E1020"/>
        </w:rPr>
        <w:t>"). Capitalized terms used but not otherwise defined herein shall have the meanings ascribed to them in the Plan (as defined below).</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0E1020"/>
        </w:rPr>
        <w:t>RECITALS</w:t>
      </w:r>
    </w:p>
    <w:p>
      <w:pPr>
        <w:spacing w:after="0" w:line="138" w:lineRule="exact"/>
        <w:rPr>
          <w:sz w:val="20"/>
          <w:szCs w:val="20"/>
          <w:color w:val="auto"/>
        </w:rPr>
      </w:pPr>
    </w:p>
    <w:p>
      <w:pPr>
        <w:ind w:right="120"/>
        <w:spacing w:after="0" w:line="328" w:lineRule="auto"/>
        <w:rPr>
          <w:sz w:val="20"/>
          <w:szCs w:val="20"/>
          <w:color w:val="auto"/>
        </w:rPr>
      </w:pPr>
      <w:r>
        <w:rPr>
          <w:rFonts w:ascii="Arial" w:cs="Arial" w:eastAsia="Arial" w:hAnsi="Arial"/>
          <w:sz w:val="16"/>
          <w:szCs w:val="16"/>
          <w:color w:val="0E1020"/>
        </w:rPr>
        <w:t>WHEREAS, the Company maintains the Amended and Restated DXC Technology Company 2017 Non-Employee Director Incentive Plan (as amended from time to time, the "</w:t>
      </w:r>
      <w:r>
        <w:rPr>
          <w:rFonts w:ascii="Arial" w:cs="Arial" w:eastAsia="Arial" w:hAnsi="Arial"/>
          <w:sz w:val="16"/>
          <w:szCs w:val="16"/>
          <w:b w:val="1"/>
          <w:bCs w:val="1"/>
          <w:color w:val="0E1020"/>
        </w:rPr>
        <w:t>2017 DIP</w:t>
      </w:r>
      <w:r>
        <w:rPr>
          <w:rFonts w:ascii="Arial" w:cs="Arial" w:eastAsia="Arial" w:hAnsi="Arial"/>
          <w:sz w:val="16"/>
          <w:szCs w:val="16"/>
          <w:color w:val="0E1020"/>
        </w:rPr>
        <w:t>");</w:t>
      </w:r>
    </w:p>
    <w:p>
      <w:pPr>
        <w:spacing w:after="0" w:line="33" w:lineRule="exact"/>
        <w:rPr>
          <w:sz w:val="20"/>
          <w:szCs w:val="20"/>
          <w:color w:val="auto"/>
        </w:rPr>
      </w:pPr>
    </w:p>
    <w:p>
      <w:pPr>
        <w:ind w:right="60"/>
        <w:spacing w:after="0" w:line="335" w:lineRule="auto"/>
        <w:rPr>
          <w:sz w:val="20"/>
          <w:szCs w:val="20"/>
          <w:color w:val="auto"/>
        </w:rPr>
      </w:pPr>
      <w:r>
        <w:rPr>
          <w:rFonts w:ascii="Arial" w:cs="Arial" w:eastAsia="Arial" w:hAnsi="Arial"/>
          <w:sz w:val="16"/>
          <w:szCs w:val="16"/>
          <w:color w:val="0E1020"/>
        </w:rPr>
        <w:t>WHEREAS, pursuant to Section 8 of the 2017 DIP, the 2017 DIP may be amended by the Board of Directors of the Company (the "</w:t>
      </w:r>
      <w:r>
        <w:rPr>
          <w:rFonts w:ascii="Arial" w:cs="Arial" w:eastAsia="Arial" w:hAnsi="Arial"/>
          <w:sz w:val="16"/>
          <w:szCs w:val="16"/>
          <w:b w:val="1"/>
          <w:bCs w:val="1"/>
          <w:color w:val="0E1020"/>
        </w:rPr>
        <w:t>Board</w:t>
      </w:r>
      <w:r>
        <w:rPr>
          <w:rFonts w:ascii="Arial" w:cs="Arial" w:eastAsia="Arial" w:hAnsi="Arial"/>
          <w:sz w:val="16"/>
          <w:szCs w:val="16"/>
          <w:color w:val="0E1020"/>
        </w:rPr>
        <w:t>") (in its capacity as Administrator under, and as defined in, the 2017 DIP) at any time, subject to the terms of the 2017 DIP; and</w:t>
      </w:r>
    </w:p>
    <w:p>
      <w:pPr>
        <w:spacing w:after="0" w:line="23" w:lineRule="exact"/>
        <w:rPr>
          <w:sz w:val="20"/>
          <w:szCs w:val="20"/>
          <w:color w:val="auto"/>
        </w:rPr>
      </w:pPr>
    </w:p>
    <w:p>
      <w:pPr>
        <w:ind w:right="380"/>
        <w:spacing w:after="0" w:line="346" w:lineRule="auto"/>
        <w:rPr>
          <w:sz w:val="20"/>
          <w:szCs w:val="20"/>
          <w:color w:val="auto"/>
        </w:rPr>
      </w:pPr>
      <w:r>
        <w:rPr>
          <w:rFonts w:ascii="Arial" w:cs="Arial" w:eastAsia="Arial" w:hAnsi="Arial"/>
          <w:sz w:val="16"/>
          <w:szCs w:val="16"/>
          <w:color w:val="0E1020"/>
        </w:rPr>
        <w:t>WHEREAS, the Board has adopted this Amendment, subject to and effective upon approval by the stockholders of the Company at the Company's 2026 Annual Meeting of Stockholders (the "</w:t>
      </w:r>
      <w:r>
        <w:rPr>
          <w:rFonts w:ascii="Arial" w:cs="Arial" w:eastAsia="Arial" w:hAnsi="Arial"/>
          <w:sz w:val="16"/>
          <w:szCs w:val="16"/>
          <w:b w:val="1"/>
          <w:bCs w:val="1"/>
          <w:color w:val="0E1020"/>
        </w:rPr>
        <w:t>2026 Annual Meeting</w:t>
      </w:r>
      <w:r>
        <w:rPr>
          <w:rFonts w:ascii="Arial" w:cs="Arial" w:eastAsia="Arial" w:hAnsi="Arial"/>
          <w:sz w:val="16"/>
          <w:szCs w:val="16"/>
          <w:color w:val="0E1020"/>
        </w:rPr>
        <w:t>").</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0E1020"/>
        </w:rPr>
        <w:t>NOW, THEREFORE, in consideration of the foregoing, the Company hereby amends the 2017 DIP as follows, subject to approval by the stockholders of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0E1020"/>
        </w:rPr>
        <w:t>Company at the Annual Meeting:</w:t>
      </w:r>
    </w:p>
    <w:p>
      <w:pPr>
        <w:spacing w:after="0" w:line="138" w:lineRule="exact"/>
        <w:rPr>
          <w:sz w:val="20"/>
          <w:szCs w:val="20"/>
          <w:color w:val="auto"/>
        </w:rPr>
      </w:pPr>
    </w:p>
    <w:p>
      <w:pPr>
        <w:ind w:left="340" w:hanging="333"/>
        <w:spacing w:after="0"/>
        <w:tabs>
          <w:tab w:leader="none" w:pos="340" w:val="left"/>
        </w:tabs>
        <w:numPr>
          <w:ilvl w:val="0"/>
          <w:numId w:val="118"/>
        </w:numPr>
        <w:rPr>
          <w:rFonts w:ascii="Arial" w:cs="Arial" w:eastAsia="Arial" w:hAnsi="Arial"/>
          <w:sz w:val="16"/>
          <w:szCs w:val="16"/>
          <w:color w:val="0E1020"/>
        </w:rPr>
      </w:pPr>
      <w:r>
        <w:rPr>
          <w:rFonts w:ascii="Arial" w:cs="Arial" w:eastAsia="Arial" w:hAnsi="Arial"/>
          <w:sz w:val="16"/>
          <w:szCs w:val="16"/>
          <w:color w:val="0E1020"/>
        </w:rPr>
        <w:t>Section 5(a) of the 2017 DIP is hereby amended and restated in its entirety to read as follows:</w:t>
      </w:r>
    </w:p>
    <w:p>
      <w:pPr>
        <w:spacing w:after="0" w:line="124" w:lineRule="exact"/>
        <w:rPr>
          <w:sz w:val="20"/>
          <w:szCs w:val="20"/>
          <w:color w:val="auto"/>
        </w:rPr>
      </w:pPr>
    </w:p>
    <w:p>
      <w:pPr>
        <w:ind w:left="660" w:right="280"/>
        <w:spacing w:after="0" w:line="335" w:lineRule="auto"/>
        <w:rPr>
          <w:sz w:val="20"/>
          <w:szCs w:val="20"/>
          <w:color w:val="auto"/>
        </w:rPr>
      </w:pPr>
      <w:r>
        <w:rPr>
          <w:rFonts w:ascii="Arial" w:cs="Arial" w:eastAsia="Arial" w:hAnsi="Arial"/>
          <w:sz w:val="16"/>
          <w:szCs w:val="16"/>
          <w:color w:val="0E1020"/>
        </w:rPr>
        <w:t>"(a) The maximum aggregate number of Shares that may be issued pursuant to all Awards granted under this Plan shall be 2,245,000, subject to adjustment as provided in Section 5(d) hereof."</w:t>
      </w:r>
    </w:p>
    <w:p>
      <w:pPr>
        <w:spacing w:after="0" w:line="23" w:lineRule="exact"/>
        <w:rPr>
          <w:sz w:val="20"/>
          <w:szCs w:val="20"/>
          <w:color w:val="auto"/>
        </w:rPr>
      </w:pPr>
    </w:p>
    <w:p>
      <w:pPr>
        <w:ind w:left="360" w:hanging="353"/>
        <w:spacing w:after="0"/>
        <w:tabs>
          <w:tab w:leader="none" w:pos="360" w:val="left"/>
        </w:tabs>
        <w:numPr>
          <w:ilvl w:val="0"/>
          <w:numId w:val="119"/>
        </w:numPr>
        <w:rPr>
          <w:rFonts w:ascii="Arial" w:cs="Arial" w:eastAsia="Arial" w:hAnsi="Arial"/>
          <w:sz w:val="16"/>
          <w:szCs w:val="16"/>
          <w:color w:val="0E1020"/>
        </w:rPr>
      </w:pPr>
      <w:r>
        <w:rPr>
          <w:rFonts w:ascii="Arial" w:cs="Arial" w:eastAsia="Arial" w:hAnsi="Arial"/>
          <w:sz w:val="16"/>
          <w:szCs w:val="16"/>
          <w:color w:val="0E1020"/>
        </w:rPr>
        <w:t>Section 11 of the 2017 DIP is hereby amended and restated in its entirety to read as follows:</w:t>
      </w:r>
    </w:p>
    <w:p>
      <w:pPr>
        <w:spacing w:after="0" w:line="138" w:lineRule="exact"/>
        <w:rPr>
          <w:sz w:val="20"/>
          <w:szCs w:val="20"/>
          <w:color w:val="auto"/>
        </w:rPr>
      </w:pPr>
    </w:p>
    <w:p>
      <w:pPr>
        <w:jc w:val="both"/>
        <w:ind w:left="660" w:right="180"/>
        <w:spacing w:after="0" w:line="307" w:lineRule="auto"/>
        <w:rPr>
          <w:sz w:val="20"/>
          <w:szCs w:val="20"/>
          <w:color w:val="auto"/>
        </w:rPr>
      </w:pPr>
      <w:r>
        <w:rPr>
          <w:rFonts w:ascii="Arial" w:cs="Arial" w:eastAsia="Arial" w:hAnsi="Arial"/>
          <w:sz w:val="16"/>
          <w:szCs w:val="16"/>
          <w:color w:val="0E1020"/>
        </w:rPr>
        <w:t>"SECTION 11. TERM OF PLAN. This Plan is effective as of March 30, 2017, the date prior to the Spinoff on which this Plan was approved by HPE as sole shareholder of Everett SpinCo, Inc., the predecessor to the Company. No Award may be granted under this Plan after March 30, 2037, but any Award granted prior to that date may extend beyond that date."</w:t>
      </w:r>
    </w:p>
    <w:p>
      <w:pPr>
        <w:spacing w:after="0" w:line="58" w:lineRule="exact"/>
        <w:rPr>
          <w:sz w:val="20"/>
          <w:szCs w:val="20"/>
          <w:color w:val="auto"/>
        </w:rPr>
      </w:pPr>
    </w:p>
    <w:p>
      <w:pPr>
        <w:ind w:left="320" w:right="140" w:hanging="313"/>
        <w:spacing w:after="0" w:line="335" w:lineRule="auto"/>
        <w:tabs>
          <w:tab w:leader="none" w:pos="353" w:val="left"/>
        </w:tabs>
        <w:numPr>
          <w:ilvl w:val="0"/>
          <w:numId w:val="120"/>
        </w:numPr>
        <w:rPr>
          <w:rFonts w:ascii="Arial" w:cs="Arial" w:eastAsia="Arial" w:hAnsi="Arial"/>
          <w:sz w:val="16"/>
          <w:szCs w:val="16"/>
          <w:color w:val="0E1020"/>
        </w:rPr>
      </w:pPr>
      <w:r>
        <w:rPr>
          <w:rFonts w:ascii="Arial" w:cs="Arial" w:eastAsia="Arial" w:hAnsi="Arial"/>
          <w:sz w:val="16"/>
          <w:szCs w:val="16"/>
          <w:color w:val="0E1020"/>
        </w:rPr>
        <w:t>This Amendment shall be and is hereby incorporated in and forms a part of the 2017 DIP; provided that the Amendment shall be subject to approval by the stockholders of the Company at the Annual Meeting.</w:t>
      </w:r>
    </w:p>
    <w:p>
      <w:pPr>
        <w:spacing w:after="0" w:line="22" w:lineRule="exact"/>
        <w:rPr>
          <w:rFonts w:ascii="Arial" w:cs="Arial" w:eastAsia="Arial" w:hAnsi="Arial"/>
          <w:sz w:val="16"/>
          <w:szCs w:val="16"/>
          <w:color w:val="0E1020"/>
        </w:rPr>
      </w:pPr>
    </w:p>
    <w:p>
      <w:pPr>
        <w:ind w:left="360" w:hanging="353"/>
        <w:spacing w:after="0"/>
        <w:tabs>
          <w:tab w:leader="none" w:pos="360" w:val="left"/>
        </w:tabs>
        <w:numPr>
          <w:ilvl w:val="0"/>
          <w:numId w:val="120"/>
        </w:numPr>
        <w:rPr>
          <w:rFonts w:ascii="Arial" w:cs="Arial" w:eastAsia="Arial" w:hAnsi="Arial"/>
          <w:sz w:val="16"/>
          <w:szCs w:val="16"/>
          <w:color w:val="0E1020"/>
        </w:rPr>
      </w:pPr>
      <w:r>
        <w:rPr>
          <w:rFonts w:ascii="Arial" w:cs="Arial" w:eastAsia="Arial" w:hAnsi="Arial"/>
          <w:sz w:val="16"/>
          <w:szCs w:val="16"/>
          <w:color w:val="0E1020"/>
        </w:rPr>
        <w:t>Except as expressly provided herein, all other terms and provisions of the 2017 DIP shall remain unchanged and in full force and effect.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5480" w:val="left"/>
          <w:tab w:leader="none" w:pos="9780" w:val="left"/>
        </w:tabs>
        <w:rPr>
          <w:sz w:val="20"/>
          <w:szCs w:val="20"/>
          <w:color w:val="auto"/>
        </w:rPr>
      </w:pPr>
      <w:r>
        <w:rPr>
          <w:rFonts w:ascii="Arial" w:cs="Arial" w:eastAsia="Arial" w:hAnsi="Arial"/>
          <w:sz w:val="14"/>
          <w:szCs w:val="14"/>
          <w:color w:val="0E1020"/>
        </w:rPr>
        <w:t>DXC Technology Company</w:t>
      </w:r>
      <w:r>
        <w:rPr>
          <w:sz w:val="20"/>
          <w:szCs w:val="20"/>
          <w:color w:val="auto"/>
        </w:rPr>
        <w:tab/>
      </w:r>
      <w:r>
        <w:rPr>
          <w:rFonts w:ascii="Arial" w:cs="Arial" w:eastAsia="Arial" w:hAnsi="Arial"/>
          <w:sz w:val="14"/>
          <w:szCs w:val="14"/>
          <w:color w:val="0E1020"/>
        </w:rPr>
        <w:t>C-1</w:t>
      </w:r>
      <w:r>
        <w:rPr>
          <w:sz w:val="20"/>
          <w:szCs w:val="20"/>
          <w:color w:val="auto"/>
        </w:rPr>
        <w:tab/>
      </w:r>
      <w:r>
        <w:rPr>
          <w:rFonts w:ascii="Arial" w:cs="Arial" w:eastAsia="Arial" w:hAnsi="Arial"/>
          <w:sz w:val="14"/>
          <w:szCs w:val="14"/>
          <w:color w:val="0E102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241935</wp:posOffset>
            </wp:positionV>
            <wp:extent cx="7158990" cy="894207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8990" cy="8942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241935</wp:posOffset>
            </wp:positionV>
            <wp:extent cx="7158990" cy="887412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8990" cy="8874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403860</wp:posOffset>
            </wp:positionH>
            <wp:positionV relativeFrom="page">
              <wp:posOffset>241935</wp:posOffset>
            </wp:positionV>
            <wp:extent cx="6741795" cy="87166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clrChange>
                        <a:clrFrom>
                          <a:srgbClr val="FFFFFF"/>
                        </a:clrFrom>
                        <a:clrTo>
                          <a:srgbClr val="FFFFFF">
                            <a:alpha val="0"/>
                          </a:srgbClr>
                        </a:clrTo>
                      </a:clrChange>
                      <a:extLst>
                        <a:ext uri="{28A0092B-C50C-407E-A947-70E740481C1C}"/>
                      </a:extLst>
                    </a:blip>
                    <a:srcRect/>
                    <a:stretch>
                      <a:fillRect/>
                    </a:stretch>
                  </pic:blipFill>
                  <pic:spPr bwMode="auto">
                    <a:xfrm>
                      <a:off x="0" y="0"/>
                      <a:ext cx="6741795" cy="87166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1)"/>
      <w:numFmt w:val="decimal"/>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
      <w:numFmt w:val="bullet"/>
      <w:start w:val="1"/>
    </w:lvl>
  </w:abstractNum>
  <w:abstractNum w:abstractNumId="25">
    <w:nsid w:val="1EBA5D23"/>
    <w:multiLevelType w:val="hybridMultilevel"/>
    <w:lvl w:ilvl="0">
      <w:lvlJc w:val="left"/>
      <w:lvlText w:val="•"/>
      <w:numFmt w:val="bullet"/>
      <w:start w:val="1"/>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
      <w:numFmt w:val="bullet"/>
      <w:start w:val="1"/>
    </w:lvl>
  </w:abstractNum>
  <w:abstractNum w:abstractNumId="32">
    <w:nsid w:val="BF72B14"/>
    <w:multiLevelType w:val="hybridMultilevel"/>
    <w:lvl w:ilvl="0">
      <w:lvlJc w:val="left"/>
      <w:lvlText w:val="•"/>
      <w:numFmt w:val="bullet"/>
      <w:start w:val="1"/>
    </w:lvl>
  </w:abstractNum>
  <w:abstractNum w:abstractNumId="33">
    <w:nsid w:val="11447B73"/>
    <w:multiLevelType w:val="hybridMultilevel"/>
    <w:lvl w:ilvl="0">
      <w:lvlJc w:val="left"/>
      <w:lvlText w:val="•"/>
      <w:numFmt w:val="bullet"/>
      <w:start w:val="1"/>
    </w:lvl>
  </w:abstractNum>
  <w:abstractNum w:abstractNumId="34">
    <w:nsid w:val="42963E5A"/>
    <w:multiLevelType w:val="hybridMultilevel"/>
    <w:lvl w:ilvl="0">
      <w:lvlJc w:val="left"/>
      <w:lvlText w:val="•"/>
      <w:numFmt w:val="bullet"/>
      <w:start w:val="1"/>
    </w:lvl>
  </w:abstractNum>
  <w:abstractNum w:abstractNumId="35">
    <w:nsid w:val="A0382C5"/>
    <w:multiLevelType w:val="hybridMultilevel"/>
    <w:lvl w:ilvl="0">
      <w:lvlJc w:val="left"/>
      <w:lvlText w:val="•"/>
      <w:numFmt w:val="bullet"/>
      <w:start w:val="1"/>
    </w:lvl>
  </w:abstractNum>
  <w:abstractNum w:abstractNumId="36">
    <w:nsid w:val="8F2B15E"/>
    <w:multiLevelType w:val="hybridMultilevel"/>
    <w:lvl w:ilvl="0">
      <w:lvlJc w:val="left"/>
      <w:lvlText w:val="•"/>
      <w:numFmt w:val="bullet"/>
      <w:start w:val="1"/>
    </w:lvl>
  </w:abstractNum>
  <w:abstractNum w:abstractNumId="37">
    <w:nsid w:val="1A32234B"/>
    <w:multiLevelType w:val="hybridMultilevel"/>
    <w:lvl w:ilvl="0">
      <w:lvlJc w:val="left"/>
      <w:lvlText w:val="•"/>
      <w:numFmt w:val="bullet"/>
      <w:start w:val="1"/>
    </w:lvl>
  </w:abstractNum>
  <w:abstractNum w:abstractNumId="38">
    <w:nsid w:val="3B0FD379"/>
    <w:multiLevelType w:val="hybridMultilevel"/>
    <w:lvl w:ilvl="0">
      <w:lvlJc w:val="left"/>
      <w:lvlText w:val="•"/>
      <w:numFmt w:val="bullet"/>
      <w:start w:val="1"/>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
      <w:numFmt w:val="bullet"/>
      <w:start w:val="1"/>
    </w:lvl>
  </w:abstractNum>
  <w:abstractNum w:abstractNumId="41">
    <w:nsid w:val="60B6DF70"/>
    <w:multiLevelType w:val="hybridMultilevel"/>
    <w:lvl w:ilvl="0">
      <w:lvlJc w:val="left"/>
      <w:lvlText w:val="•"/>
      <w:numFmt w:val="bullet"/>
      <w:start w:val="1"/>
    </w:lvl>
  </w:abstractNum>
  <w:abstractNum w:abstractNumId="42">
    <w:nsid w:val="6A5EE64"/>
    <w:multiLevelType w:val="hybridMultilevel"/>
    <w:lvl w:ilvl="0">
      <w:lvlJc w:val="left"/>
      <w:lvlText w:val="•"/>
      <w:numFmt w:val="bullet"/>
      <w:start w:val="1"/>
    </w:lvl>
  </w:abstractNum>
  <w:abstractNum w:abstractNumId="43">
    <w:nsid w:val="14330624"/>
    <w:multiLevelType w:val="hybridMultilevel"/>
    <w:lvl w:ilvl="0">
      <w:lvlJc w:val="left"/>
      <w:lvlText w:val="(%1)"/>
      <w:numFmt w:val="decimal"/>
      <w:start w:val="1"/>
    </w:lvl>
  </w:abstractNum>
  <w:abstractNum w:abstractNumId="44">
    <w:nsid w:val="7FFFCA11"/>
    <w:multiLevelType w:val="hybridMultilevel"/>
    <w:lvl w:ilvl="0">
      <w:lvlJc w:val="left"/>
      <w:lvlText w:val="(%1)"/>
      <w:numFmt w:val="decimal"/>
      <w:start w:val="2"/>
    </w:lvl>
  </w:abstractNum>
  <w:abstractNum w:abstractNumId="45">
    <w:nsid w:val="1A27709E"/>
    <w:multiLevelType w:val="hybridMultilevel"/>
    <w:lvl w:ilvl="0">
      <w:lvlJc w:val="left"/>
      <w:lvlText w:val="(%1)"/>
      <w:numFmt w:val="decimal"/>
      <w:start w:val="1"/>
    </w:lvl>
  </w:abstractNum>
  <w:abstractNum w:abstractNumId="46">
    <w:nsid w:val="71EA1109"/>
    <w:multiLevelType w:val="hybridMultilevel"/>
    <w:lvl w:ilvl="0">
      <w:lvlJc w:val="left"/>
      <w:lvlText w:val="(%1)"/>
      <w:numFmt w:val="decimal"/>
      <w:start w:val="3"/>
    </w:lvl>
  </w:abstractNum>
  <w:abstractNum w:abstractNumId="47">
    <w:nsid w:val="100F59DC"/>
    <w:multiLevelType w:val="hybridMultilevel"/>
    <w:lvl w:ilvl="0">
      <w:lvlJc w:val="left"/>
      <w:lvlText w:val="•"/>
      <w:numFmt w:val="bullet"/>
      <w:start w:val="1"/>
    </w:lvl>
  </w:abstractNum>
  <w:abstractNum w:abstractNumId="48">
    <w:nsid w:val="7FB7E0AA"/>
    <w:multiLevelType w:val="hybridMultilevel"/>
    <w:lvl w:ilvl="0">
      <w:lvlJc w:val="left"/>
      <w:lvlText w:val="(%1)"/>
      <w:numFmt w:val="decimal"/>
      <w:start w:val="1"/>
    </w:lvl>
  </w:abstractNum>
  <w:abstractNum w:abstractNumId="49">
    <w:nsid w:val="6EB5BD4"/>
    <w:multiLevelType w:val="hybridMultilevel"/>
    <w:lvl w:ilvl="0">
      <w:lvlJc w:val="left"/>
      <w:lvlText w:val="*"/>
      <w:numFmt w:val="bullet"/>
      <w:start w:val="1"/>
    </w:lvl>
  </w:abstractNum>
  <w:abstractNum w:abstractNumId="50">
    <w:nsid w:val="6F6DD9AC"/>
    <w:multiLevelType w:val="hybridMultilevel"/>
    <w:lvl w:ilvl="0">
      <w:lvlJc w:val="left"/>
      <w:lvlText w:val="•"/>
      <w:numFmt w:val="bullet"/>
      <w:start w:val="1"/>
    </w:lvl>
    <w:lvl w:ilvl="1">
      <w:lvlJc w:val="left"/>
      <w:lvlText w:val="•"/>
      <w:numFmt w:val="bullet"/>
      <w:start w:val="1"/>
    </w:lvl>
  </w:abstractNum>
  <w:abstractNum w:abstractNumId="51">
    <w:nsid w:val="94211F2"/>
    <w:multiLevelType w:val="hybridMultilevel"/>
    <w:lvl w:ilvl="0">
      <w:lvlJc w:val="left"/>
      <w:lvlText w:val="(%1)"/>
      <w:numFmt w:val="lowerLetter"/>
      <w:start w:val="1"/>
    </w:lvl>
  </w:abstractNum>
  <w:abstractNum w:abstractNumId="52">
    <w:nsid w:val="885E1B"/>
    <w:multiLevelType w:val="hybridMultilevel"/>
    <w:lvl w:ilvl="0">
      <w:lvlJc w:val="left"/>
      <w:lvlText w:val="*"/>
      <w:numFmt w:val="bullet"/>
      <w:start w:val="1"/>
    </w:lvl>
  </w:abstractNum>
  <w:abstractNum w:abstractNumId="53">
    <w:nsid w:val="76272110"/>
    <w:multiLevelType w:val="hybridMultilevel"/>
    <w:lvl w:ilvl="0">
      <w:lvlJc w:val="left"/>
      <w:lvlText w:val="(%1)"/>
      <w:numFmt w:val="decimal"/>
      <w:start w:val="1"/>
    </w:lvl>
  </w:abstractNum>
  <w:abstractNum w:abstractNumId="54">
    <w:nsid w:val="4C04A8AF"/>
    <w:multiLevelType w:val="hybridMultilevel"/>
    <w:lvl w:ilvl="0">
      <w:lvlJc w:val="left"/>
      <w:lvlText w:val="*"/>
      <w:numFmt w:val="bullet"/>
      <w:start w:val="1"/>
    </w:lvl>
  </w:abstractNum>
  <w:abstractNum w:abstractNumId="55">
    <w:nsid w:val="1716703B"/>
    <w:multiLevelType w:val="hybridMultilevel"/>
    <w:lvl w:ilvl="0">
      <w:lvlJc w:val="left"/>
      <w:lvlText w:val="•"/>
      <w:numFmt w:val="bullet"/>
      <w:start w:val="1"/>
    </w:lvl>
  </w:abstractNum>
  <w:abstractNum w:abstractNumId="56">
    <w:nsid w:val="14E17E33"/>
    <w:multiLevelType w:val="hybridMultilevel"/>
    <w:lvl w:ilvl="0">
      <w:lvlJc w:val="left"/>
      <w:lvlText w:val="•"/>
      <w:numFmt w:val="bullet"/>
      <w:start w:val="1"/>
    </w:lvl>
  </w:abstractNum>
  <w:abstractNum w:abstractNumId="57">
    <w:nsid w:val="3222E7CD"/>
    <w:multiLevelType w:val="hybridMultilevel"/>
    <w:lvl w:ilvl="0">
      <w:lvlJc w:val="left"/>
      <w:lvlText w:val="•"/>
      <w:numFmt w:val="bullet"/>
      <w:start w:val="1"/>
    </w:lvl>
  </w:abstractNum>
  <w:abstractNum w:abstractNumId="58">
    <w:nsid w:val="74DE0EE3"/>
    <w:multiLevelType w:val="hybridMultilevel"/>
    <w:lvl w:ilvl="0">
      <w:lvlJc w:val="left"/>
      <w:lvlText w:val="•"/>
      <w:numFmt w:val="bullet"/>
      <w:start w:val="1"/>
    </w:lvl>
  </w:abstractNum>
  <w:abstractNum w:abstractNumId="59">
    <w:nsid w:val="68EBC550"/>
    <w:multiLevelType w:val="hybridMultilevel"/>
    <w:lvl w:ilvl="0">
      <w:lvlJc w:val="left"/>
      <w:lvlText w:val="•"/>
      <w:numFmt w:val="bullet"/>
      <w:start w:val="1"/>
    </w:lvl>
  </w:abstractNum>
  <w:abstractNum w:abstractNumId="60">
    <w:nsid w:val="2DF6D648"/>
    <w:multiLevelType w:val="hybridMultilevel"/>
    <w:lvl w:ilvl="0">
      <w:lvlJc w:val="left"/>
      <w:lvlText w:val="•"/>
      <w:numFmt w:val="bullet"/>
      <w:start w:val="1"/>
    </w:lvl>
  </w:abstractNum>
  <w:abstractNum w:abstractNumId="61">
    <w:nsid w:val="46B7D447"/>
    <w:multiLevelType w:val="hybridMultilevel"/>
    <w:lvl w:ilvl="0">
      <w:lvlJc w:val="left"/>
      <w:lvlText w:val="•"/>
      <w:numFmt w:val="bullet"/>
      <w:start w:val="1"/>
    </w:lvl>
  </w:abstractNum>
  <w:abstractNum w:abstractNumId="62">
    <w:nsid w:val="4A2AC315"/>
    <w:multiLevelType w:val="hybridMultilevel"/>
    <w:lvl w:ilvl="0">
      <w:lvlJc w:val="left"/>
      <w:lvlText w:val="*"/>
      <w:numFmt w:val="bullet"/>
      <w:start w:val="1"/>
    </w:lvl>
  </w:abstractNum>
  <w:abstractNum w:abstractNumId="63">
    <w:nsid w:val="39EE015C"/>
    <w:multiLevelType w:val="hybridMultilevel"/>
    <w:lvl w:ilvl="0">
      <w:lvlJc w:val="left"/>
      <w:lvlText w:val="•"/>
      <w:numFmt w:val="bullet"/>
      <w:start w:val="1"/>
    </w:lvl>
  </w:abstractNum>
  <w:abstractNum w:abstractNumId="64">
    <w:nsid w:val="57FC4FBB"/>
    <w:multiLevelType w:val="hybridMultilevel"/>
    <w:lvl w:ilvl="0">
      <w:lvlJc w:val="left"/>
      <w:lvlText w:val="•"/>
      <w:numFmt w:val="bullet"/>
      <w:start w:val="1"/>
    </w:lvl>
  </w:abstractNum>
  <w:abstractNum w:abstractNumId="65">
    <w:nsid w:val="CC1016F"/>
    <w:multiLevelType w:val="hybridMultilevel"/>
    <w:lvl w:ilvl="0">
      <w:lvlJc w:val="left"/>
      <w:lvlText w:val="•"/>
      <w:numFmt w:val="bullet"/>
      <w:start w:val="1"/>
    </w:lvl>
  </w:abstractNum>
  <w:abstractNum w:abstractNumId="66">
    <w:nsid w:val="43F18422"/>
    <w:multiLevelType w:val="hybridMultilevel"/>
    <w:lvl w:ilvl="0">
      <w:lvlJc w:val="left"/>
      <w:lvlText w:val="(%1)"/>
      <w:numFmt w:val="decimal"/>
      <w:start w:val="1"/>
    </w:lvl>
  </w:abstractNum>
  <w:abstractNum w:abstractNumId="67">
    <w:nsid w:val="60EF0119"/>
    <w:multiLevelType w:val="hybridMultilevel"/>
    <w:lvl w:ilvl="0">
      <w:lvlJc w:val="left"/>
      <w:lvlText w:val="•"/>
      <w:numFmt w:val="bullet"/>
      <w:start w:val="1"/>
    </w:lvl>
  </w:abstractNum>
  <w:abstractNum w:abstractNumId="68">
    <w:nsid w:val="26F324BA"/>
    <w:multiLevelType w:val="hybridMultilevel"/>
    <w:lvl w:ilvl="0">
      <w:lvlJc w:val="left"/>
      <w:lvlText w:val="*"/>
      <w:numFmt w:val="bullet"/>
      <w:start w:val="1"/>
    </w:lvl>
  </w:abstractNum>
  <w:abstractNum w:abstractNumId="69">
    <w:nsid w:val="7F01579B"/>
    <w:multiLevelType w:val="hybridMultilevel"/>
    <w:lvl w:ilvl="0">
      <w:lvlJc w:val="left"/>
      <w:lvlText w:val="*"/>
      <w:numFmt w:val="bullet"/>
      <w:start w:val="1"/>
    </w:lvl>
  </w:abstractNum>
  <w:abstractNum w:abstractNumId="70">
    <w:nsid w:val="49DA307D"/>
    <w:multiLevelType w:val="hybridMultilevel"/>
    <w:lvl w:ilvl="0">
      <w:lvlJc w:val="left"/>
      <w:lvlText w:val="(%1)"/>
      <w:numFmt w:val="decimal"/>
      <w:start w:val="1"/>
    </w:lvl>
  </w:abstractNum>
  <w:abstractNum w:abstractNumId="71">
    <w:nsid w:val="7055A5F5"/>
    <w:multiLevelType w:val="hybridMultilevel"/>
    <w:lvl w:ilvl="0">
      <w:lvlJc w:val="left"/>
      <w:lvlText w:val="(%1)"/>
      <w:numFmt w:val="decimal"/>
      <w:start w:val="1"/>
    </w:lvl>
  </w:abstractNum>
  <w:abstractNum w:abstractNumId="72">
    <w:nsid w:val="5FB8370B"/>
    <w:multiLevelType w:val="hybridMultilevel"/>
    <w:lvl w:ilvl="0">
      <w:lvlJc w:val="left"/>
      <w:lvlText w:val="*"/>
      <w:numFmt w:val="bullet"/>
      <w:start w:val="1"/>
    </w:lvl>
  </w:abstractNum>
  <w:abstractNum w:abstractNumId="73">
    <w:nsid w:val="50801EE1"/>
    <w:multiLevelType w:val="hybridMultilevel"/>
    <w:lvl w:ilvl="0">
      <w:lvlJc w:val="left"/>
      <w:lvlText w:val="(%1)"/>
      <w:numFmt w:val="decimal"/>
      <w:start w:val="1"/>
    </w:lvl>
  </w:abstractNum>
  <w:abstractNum w:abstractNumId="74">
    <w:nsid w:val="488AC1A"/>
    <w:multiLevelType w:val="hybridMultilevel"/>
    <w:lvl w:ilvl="0">
      <w:lvlJc w:val="left"/>
      <w:lvlText w:val="(%1)"/>
      <w:numFmt w:val="decimal"/>
      <w:start w:val="1"/>
    </w:lvl>
  </w:abstractNum>
  <w:abstractNum w:abstractNumId="75">
    <w:nsid w:val="5FB8011C"/>
    <w:multiLevelType w:val="hybridMultilevel"/>
    <w:lvl w:ilvl="0">
      <w:lvlJc w:val="left"/>
      <w:lvlText w:val="(%1)"/>
      <w:numFmt w:val="decimal"/>
      <w:start w:val="1"/>
    </w:lvl>
  </w:abstractNum>
  <w:abstractNum w:abstractNumId="76">
    <w:nsid w:val="6AA78F7F"/>
    <w:multiLevelType w:val="hybridMultilevel"/>
    <w:lvl w:ilvl="0">
      <w:lvlJc w:val="left"/>
      <w:lvlText w:val="(%1)"/>
      <w:numFmt w:val="decimal"/>
      <w:start w:val="1"/>
    </w:lvl>
  </w:abstractNum>
  <w:abstractNum w:abstractNumId="77">
    <w:nsid w:val="7672BD23"/>
    <w:multiLevelType w:val="hybridMultilevel"/>
    <w:lvl w:ilvl="0">
      <w:lvlJc w:val="left"/>
      <w:lvlText w:val="*"/>
      <w:numFmt w:val="bullet"/>
      <w:start w:val="1"/>
    </w:lvl>
  </w:abstractNum>
  <w:abstractNum w:abstractNumId="78">
    <w:nsid w:val="6FC75AF8"/>
    <w:multiLevelType w:val="hybridMultilevel"/>
    <w:lvl w:ilvl="0">
      <w:lvlJc w:val="left"/>
      <w:lvlText w:val="•"/>
      <w:numFmt w:val="bullet"/>
      <w:start w:val="1"/>
    </w:lvl>
  </w:abstractNum>
  <w:abstractNum w:abstractNumId="79">
    <w:nsid w:val="6A5F7029"/>
    <w:multiLevelType w:val="hybridMultilevel"/>
    <w:lvl w:ilvl="0">
      <w:lvlJc w:val="left"/>
      <w:lvlText w:val="*"/>
      <w:numFmt w:val="bullet"/>
      <w:start w:val="1"/>
    </w:lvl>
  </w:abstractNum>
  <w:abstractNum w:abstractNumId="80">
    <w:nsid w:val="7D5E18F8"/>
    <w:multiLevelType w:val="hybridMultilevel"/>
    <w:lvl w:ilvl="0">
      <w:lvlJc w:val="left"/>
      <w:lvlText w:val="(%1)"/>
      <w:numFmt w:val="decimal"/>
      <w:start w:val="1"/>
    </w:lvl>
  </w:abstractNum>
  <w:abstractNum w:abstractNumId="81">
    <w:nsid w:val="5F3534A4"/>
    <w:multiLevelType w:val="hybridMultilevel"/>
    <w:lvl w:ilvl="0">
      <w:lvlJc w:val="left"/>
      <w:lvlText w:val="*"/>
      <w:numFmt w:val="bullet"/>
      <w:start w:val="1"/>
    </w:lvl>
  </w:abstractNum>
  <w:abstractNum w:abstractNumId="82">
    <w:nsid w:val="73A1821B"/>
    <w:multiLevelType w:val="hybridMultilevel"/>
    <w:lvl w:ilvl="0">
      <w:lvlJc w:val="left"/>
      <w:lvlText w:val="(%1)"/>
      <w:numFmt w:val="decimal"/>
      <w:start w:val="1"/>
    </w:lvl>
  </w:abstractNum>
  <w:abstractNum w:abstractNumId="83">
    <w:nsid w:val="7DE67713"/>
    <w:multiLevelType w:val="hybridMultilevel"/>
    <w:lvl w:ilvl="0">
      <w:lvlJc w:val="left"/>
      <w:lvlText w:val="%1."/>
      <w:numFmt w:val="decimal"/>
      <w:start w:val="718"/>
    </w:lvl>
  </w:abstractNum>
  <w:abstractNum w:abstractNumId="84">
    <w:nsid w:val="555C55B5"/>
    <w:multiLevelType w:val="hybridMultilevel"/>
    <w:lvl w:ilvl="0">
      <w:lvlJc w:val="left"/>
      <w:lvlText w:val="(%1)"/>
      <w:numFmt w:val="decimal"/>
      <w:start w:val="1"/>
    </w:lvl>
  </w:abstractNum>
  <w:abstractNum w:abstractNumId="85">
    <w:nsid w:val="3FA62ACA"/>
    <w:multiLevelType w:val="hybridMultilevel"/>
    <w:lvl w:ilvl="0">
      <w:lvlJc w:val="left"/>
      <w:lvlText w:val="(%1)"/>
      <w:numFmt w:val="decimal"/>
      <w:start w:val="2"/>
    </w:lvl>
  </w:abstractNum>
  <w:abstractNum w:abstractNumId="86">
    <w:nsid w:val="14FCE74E"/>
    <w:multiLevelType w:val="hybridMultilevel"/>
    <w:lvl w:ilvl="0">
      <w:lvlJc w:val="left"/>
      <w:lvlText w:val="(%1)"/>
      <w:numFmt w:val="decimal"/>
      <w:start w:val="4"/>
    </w:lvl>
  </w:abstractNum>
  <w:abstractNum w:abstractNumId="87">
    <w:nsid w:val="6A3DD3E8"/>
    <w:multiLevelType w:val="hybridMultilevel"/>
    <w:lvl w:ilvl="0">
      <w:lvlJc w:val="left"/>
      <w:lvlText w:val="(%1)"/>
      <w:numFmt w:val="lowerLetter"/>
      <w:start w:val="1"/>
    </w:lvl>
  </w:abstractNum>
  <w:abstractNum w:abstractNumId="88">
    <w:nsid w:val="71C91298"/>
    <w:multiLevelType w:val="hybridMultilevel"/>
    <w:lvl w:ilvl="0">
      <w:lvlJc w:val="left"/>
      <w:lvlText w:val="(%1)"/>
      <w:numFmt w:val="decimal"/>
      <w:start w:val="1"/>
    </w:lvl>
  </w:abstractNum>
  <w:abstractNum w:abstractNumId="89">
    <w:nsid w:val="9DAF632"/>
    <w:multiLevelType w:val="hybridMultilevel"/>
    <w:lvl w:ilvl="0">
      <w:lvlJc w:val="left"/>
      <w:lvlText w:val="(%1)"/>
      <w:numFmt w:val="decimal"/>
      <w:start w:val="1"/>
    </w:lvl>
  </w:abstractNum>
  <w:abstractNum w:abstractNumId="90">
    <w:nsid w:val="53299938"/>
    <w:multiLevelType w:val="hybridMultilevel"/>
    <w:lvl w:ilvl="0">
      <w:lvlJc w:val="left"/>
      <w:lvlText w:val="(%1)"/>
      <w:numFmt w:val="decimal"/>
      <w:start w:val="4"/>
    </w:lvl>
  </w:abstractNum>
  <w:abstractNum w:abstractNumId="91">
    <w:nsid w:val="1FBFE8E0"/>
    <w:multiLevelType w:val="hybridMultilevel"/>
    <w:lvl w:ilvl="0">
      <w:lvlJc w:val="left"/>
      <w:lvlText w:val="(%1)"/>
      <w:numFmt w:val="decimal"/>
      <w:start w:val="1"/>
    </w:lvl>
  </w:abstractNum>
  <w:abstractNum w:abstractNumId="92">
    <w:nsid w:val="5092CA79"/>
    <w:multiLevelType w:val="hybridMultilevel"/>
    <w:lvl w:ilvl="0">
      <w:lvlJc w:val="left"/>
      <w:lvlText w:val="•"/>
      <w:numFmt w:val="bullet"/>
      <w:start w:val="1"/>
    </w:lvl>
  </w:abstractNum>
  <w:abstractNum w:abstractNumId="93">
    <w:nsid w:val="1D545C4D"/>
    <w:multiLevelType w:val="hybridMultilevel"/>
    <w:lvl w:ilvl="0">
      <w:lvlJc w:val="left"/>
      <w:lvlText w:val="•"/>
      <w:numFmt w:val="bullet"/>
      <w:start w:val="1"/>
    </w:lvl>
    <w:lvl w:ilvl="1">
      <w:lvlJc w:val="left"/>
      <w:lvlText w:val="%2."/>
      <w:numFmt w:val="decimal"/>
      <w:start w:val="1"/>
    </w:lvl>
  </w:abstractNum>
  <w:abstractNum w:abstractNumId="94">
    <w:nsid w:val="59ADEA3D"/>
    <w:multiLevelType w:val="hybridMultilevel"/>
    <w:lvl w:ilvl="0">
      <w:lvlJc w:val="left"/>
      <w:lvlText w:val="%1."/>
      <w:numFmt w:val="decimal"/>
      <w:start w:val="3"/>
    </w:lvl>
    <w:lvl w:ilvl="1">
      <w:lvlJc w:val="left"/>
      <w:lvlText w:val="%2."/>
      <w:numFmt w:val="lowerRoman"/>
      <w:start w:val="3"/>
    </w:lvl>
    <w:lvl w:ilvl="2">
      <w:lvlJc w:val="left"/>
      <w:lvlText w:val="%3."/>
      <w:numFmt w:val="lowerRoman"/>
      <w:start w:val="1"/>
    </w:lvl>
  </w:abstractNum>
  <w:abstractNum w:abstractNumId="95">
    <w:nsid w:val="288F1A34"/>
    <w:multiLevelType w:val="hybridMultilevel"/>
    <w:lvl w:ilvl="0">
      <w:lvlJc w:val="left"/>
      <w:lvlText w:val="•"/>
      <w:numFmt w:val="bullet"/>
      <w:start w:val="1"/>
    </w:lvl>
  </w:abstractNum>
  <w:abstractNum w:abstractNumId="96">
    <w:nsid w:val="2A155DBC"/>
    <w:multiLevelType w:val="hybridMultilevel"/>
    <w:lvl w:ilvl="0">
      <w:lvlJc w:val="left"/>
      <w:lvlText w:val="(%1)"/>
      <w:numFmt w:val="decimal"/>
      <w:start w:val="1"/>
    </w:lvl>
  </w:abstractNum>
  <w:abstractNum w:abstractNumId="97">
    <w:nsid w:val="1D9F6E5F"/>
    <w:multiLevelType w:val="hybridMultilevel"/>
    <w:lvl w:ilvl="0">
      <w:lvlJc w:val="left"/>
      <w:lvlText w:val="(%1)"/>
      <w:numFmt w:val="decimal"/>
      <w:start w:val="3"/>
    </w:lvl>
  </w:abstractNum>
  <w:abstractNum w:abstractNumId="98">
    <w:nsid w:val="97E1B4E"/>
    <w:multiLevelType w:val="hybridMultilevel"/>
    <w:lvl w:ilvl="0">
      <w:lvlJc w:val="left"/>
      <w:lvlText w:val="(%1)"/>
      <w:numFmt w:val="decimal"/>
      <w:start w:val="1"/>
    </w:lvl>
  </w:abstractNum>
  <w:abstractNum w:abstractNumId="99">
    <w:nsid w:val="51088277"/>
    <w:multiLevelType w:val="hybridMultilevel"/>
    <w:lvl w:ilvl="0">
      <w:lvlJc w:val="left"/>
      <w:lvlText w:val="(%1)"/>
      <w:numFmt w:val="decimal"/>
      <w:start w:val="4"/>
    </w:lvl>
  </w:abstractNum>
  <w:abstractNum w:abstractNumId="100">
    <w:nsid w:val="1CA0C5FA"/>
    <w:multiLevelType w:val="hybridMultilevel"/>
    <w:lvl w:ilvl="0">
      <w:lvlJc w:val="left"/>
      <w:lvlText w:val="•"/>
      <w:numFmt w:val="bullet"/>
      <w:start w:val="1"/>
    </w:lvl>
  </w:abstractNum>
  <w:abstractNum w:abstractNumId="101">
    <w:nsid w:val="53584BCB"/>
    <w:multiLevelType w:val="hybridMultilevel"/>
    <w:lvl w:ilvl="0">
      <w:lvlJc w:val="left"/>
      <w:lvlText w:val="(%1)"/>
      <w:numFmt w:val="decimal"/>
      <w:start w:val="1"/>
    </w:lvl>
  </w:abstractNum>
  <w:abstractNum w:abstractNumId="102">
    <w:nsid w:val="415E286C"/>
    <w:multiLevelType w:val="hybridMultilevel"/>
    <w:lvl w:ilvl="0">
      <w:lvlJc w:val="left"/>
      <w:lvlText w:val="(%1)"/>
      <w:numFmt w:val="decimal"/>
      <w:start w:val="2"/>
    </w:lvl>
  </w:abstractNum>
  <w:abstractNum w:abstractNumId="103">
    <w:nsid w:val="7C58FD05"/>
    <w:multiLevelType w:val="hybridMultilevel"/>
    <w:lvl w:ilvl="0">
      <w:lvlJc w:val="left"/>
      <w:lvlText w:val="(%1)"/>
      <w:numFmt w:val="decimal"/>
      <w:start w:val="3"/>
    </w:lvl>
  </w:abstractNum>
  <w:abstractNum w:abstractNumId="104">
    <w:nsid w:val="23D86AAC"/>
    <w:multiLevelType w:val="hybridMultilevel"/>
    <w:lvl w:ilvl="0">
      <w:lvlJc w:val="left"/>
      <w:lvlText w:val="(%1)"/>
      <w:numFmt w:val="decimal"/>
      <w:start w:val="4"/>
    </w:lvl>
  </w:abstractNum>
  <w:abstractNum w:abstractNumId="105">
    <w:nsid w:val="45E6D486"/>
    <w:multiLevelType w:val="hybridMultilevel"/>
    <w:lvl w:ilvl="0">
      <w:lvlJc w:val="left"/>
      <w:lvlText w:val="%1."/>
      <w:numFmt w:val="decimal"/>
      <w:start w:val="1"/>
    </w:lvl>
  </w:abstractNum>
  <w:abstractNum w:abstractNumId="106">
    <w:nsid w:val="5C10FE21"/>
    <w:multiLevelType w:val="hybridMultilevel"/>
    <w:lvl w:ilvl="0">
      <w:lvlJc w:val="left"/>
      <w:lvlText w:val="•"/>
      <w:numFmt w:val="bullet"/>
      <w:start w:val="1"/>
    </w:lvl>
  </w:abstractNum>
  <w:abstractNum w:abstractNumId="107">
    <w:nsid w:val="E7FFA2B"/>
    <w:multiLevelType w:val="hybridMultilevel"/>
    <w:lvl w:ilvl="0">
      <w:lvlJc w:val="left"/>
      <w:lvlText w:val="%1."/>
      <w:numFmt w:val="decimal"/>
      <w:start w:val="7"/>
    </w:lvl>
  </w:abstractNum>
  <w:abstractNum w:abstractNumId="108">
    <w:nsid w:val="3C5991AA"/>
    <w:multiLevelType w:val="hybridMultilevel"/>
    <w:lvl w:ilvl="0">
      <w:lvlJc w:val="left"/>
      <w:lvlText w:val="%1."/>
      <w:numFmt w:val="decimal"/>
      <w:start w:val="10"/>
    </w:lvl>
  </w:abstractNum>
  <w:abstractNum w:abstractNumId="109">
    <w:nsid w:val="4BD8591A"/>
    <w:multiLevelType w:val="hybridMultilevel"/>
    <w:lvl w:ilvl="0">
      <w:lvlJc w:val="left"/>
      <w:lvlText w:val="%1."/>
      <w:numFmt w:val="decimal"/>
      <w:start w:val="15"/>
    </w:lvl>
  </w:abstractNum>
  <w:abstractNum w:abstractNumId="110">
    <w:nsid w:val="78DF6A55"/>
    <w:multiLevelType w:val="hybridMultilevel"/>
    <w:lvl w:ilvl="0">
      <w:lvlJc w:val="left"/>
      <w:lvlText w:val="%1."/>
      <w:numFmt w:val="decimal"/>
      <w:start w:val="17"/>
    </w:lvl>
    <w:lvl w:ilvl="1">
      <w:lvlJc w:val="left"/>
      <w:lvlText w:val="•"/>
      <w:numFmt w:val="bullet"/>
      <w:start w:val="1"/>
    </w:lvl>
  </w:abstractNum>
  <w:abstractNum w:abstractNumId="111">
    <w:nsid w:val="39B7AAA2"/>
    <w:multiLevelType w:val="hybridMultilevel"/>
    <w:lvl w:ilvl="0">
      <w:lvlJc w:val="left"/>
      <w:lvlText w:val="%1."/>
      <w:numFmt w:val="decimal"/>
      <w:start w:val="18"/>
    </w:lvl>
  </w:abstractNum>
  <w:abstractNum w:abstractNumId="112">
    <w:nsid w:val="2B0D8DBE"/>
    <w:multiLevelType w:val="hybridMultilevel"/>
    <w:lvl w:ilvl="0">
      <w:lvlJc w:val="left"/>
      <w:lvlText w:val="%1."/>
      <w:numFmt w:val="decimal"/>
      <w:start w:val="21"/>
    </w:lvl>
  </w:abstractNum>
  <w:abstractNum w:abstractNumId="113">
    <w:nsid w:val="6C80EC70"/>
    <w:multiLevelType w:val="hybridMultilevel"/>
    <w:lvl w:ilvl="0">
      <w:lvlJc w:val="left"/>
      <w:lvlText w:val="•"/>
      <w:numFmt w:val="bullet"/>
      <w:start w:val="1"/>
    </w:lvl>
  </w:abstractNum>
  <w:abstractNum w:abstractNumId="114">
    <w:nsid w:val="379E21B5"/>
    <w:multiLevelType w:val="hybridMultilevel"/>
    <w:lvl w:ilvl="0">
      <w:lvlJc w:val="left"/>
      <w:lvlText w:val="%1."/>
      <w:numFmt w:val="decimal"/>
      <w:start w:val="1"/>
    </w:lvl>
  </w:abstractNum>
  <w:abstractNum w:abstractNumId="115">
    <w:nsid w:val="69E373"/>
    <w:multiLevelType w:val="hybridMultilevel"/>
    <w:lvl w:ilvl="0">
      <w:lvlJc w:val="left"/>
      <w:lvlText w:val="%1."/>
      <w:numFmt w:val="decimal"/>
      <w:start w:val="2"/>
    </w:lvl>
  </w:abstractNum>
  <w:abstractNum w:abstractNumId="116">
    <w:nsid w:val="2C27173B"/>
    <w:multiLevelType w:val="hybridMultilevel"/>
    <w:lvl w:ilvl="0">
      <w:lvlJc w:val="left"/>
      <w:lvlText w:val="%1."/>
      <w:numFmt w:val="decimal"/>
      <w:start w:val="3"/>
    </w:lvl>
  </w:abstractNum>
  <w:abstractNum w:abstractNumId="117">
    <w:nsid w:val="4C9B0904"/>
    <w:multiLevelType w:val="hybridMultilevel"/>
    <w:lvl w:ilvl="0">
      <w:lvlJc w:val="left"/>
      <w:lvlText w:val="%1."/>
      <w:numFmt w:val="decimal"/>
      <w:start w:val="1"/>
    </w:lvl>
  </w:abstractNum>
  <w:abstractNum w:abstractNumId="118">
    <w:nsid w:val="6AA7B75C"/>
    <w:multiLevelType w:val="hybridMultilevel"/>
    <w:lvl w:ilvl="0">
      <w:lvlJc w:val="left"/>
      <w:lvlText w:val="%1."/>
      <w:numFmt w:val="decimal"/>
      <w:start w:val="2"/>
    </w:lvl>
  </w:abstractNum>
  <w:abstractNum w:abstractNumId="119">
    <w:nsid w:val="1DF029D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jpe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2026-06-04T19:05:43Z</dcterms:created>
  <dcterms:modified xsi:type="dcterms:W3CDTF">2026-06-04T19:05:43Z</dcterms:modified>
</cp:coreProperties>
</file>