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9"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2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200" w:lineRule="exact"/>
        <w:rPr>
          <w:sz w:val="24"/>
          <w:szCs w:val="24"/>
          <w:color w:val="auto"/>
        </w:rPr>
      </w:pPr>
    </w:p>
    <w:p>
      <w:pPr>
        <w:spacing w:after="0" w:line="263"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ANNUAL REPORT</w:t>
      </w:r>
    </w:p>
    <w:p>
      <w:pPr>
        <w:spacing w:after="0" w:line="21"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PURSUANT TO SECTION 15(d) OF THE</w:t>
      </w:r>
    </w:p>
    <w:p>
      <w:pPr>
        <w:jc w:val="center"/>
        <w:ind w:left="660"/>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3547110</wp:posOffset>
            </wp:positionH>
            <wp:positionV relativeFrom="paragraph">
              <wp:posOffset>100330</wp:posOffset>
            </wp:positionV>
            <wp:extent cx="171450"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 cy="197485"/>
                    </a:xfrm>
                    <a:prstGeom prst="rect">
                      <a:avLst/>
                    </a:prstGeom>
                    <a:noFill/>
                  </pic:spPr>
                </pic:pic>
              </a:graphicData>
            </a:graphic>
          </wp:anchor>
        </w:drawing>
      </w:r>
    </w:p>
    <w:p>
      <w:pPr>
        <w:spacing w:after="0" w:line="15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0"/>
          <w:szCs w:val="20"/>
          <w:color w:val="auto"/>
        </w:rPr>
        <w:t>X</w:t>
      </w:r>
    </w:p>
    <w:p>
      <w:pPr>
        <w:spacing w:after="0" w:line="4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9"/>
          <w:szCs w:val="19"/>
          <w:color w:val="auto"/>
        </w:rPr>
        <w:t>ANNUAL REPORT PURSUANT TO SECTION 15(d) OF THE SECURITIES EXCHANGE ACT OF 1934</w:t>
      </w:r>
    </w:p>
    <w:p>
      <w:pPr>
        <w:spacing w:after="0" w:line="24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0"/>
          <w:szCs w:val="20"/>
          <w:color w:val="auto"/>
        </w:rPr>
        <w:t>For the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163195"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179"/>
        <w:spacing w:after="0"/>
        <w:rPr>
          <w:sz w:val="20"/>
          <w:szCs w:val="20"/>
          <w:color w:val="auto"/>
        </w:rPr>
      </w:pPr>
      <w:r>
        <w:rPr>
          <w:rFonts w:ascii="Times New Roman" w:cs="Times New Roman" w:eastAsia="Times New Roman" w:hAnsi="Times New Roman"/>
          <w:sz w:val="19"/>
          <w:szCs w:val="19"/>
          <w:color w:val="auto"/>
        </w:rPr>
        <w:t>TRANSITION REPORT PURSUANT TO SECTION 15(d) OF THE SECURITIES EXCHANGE ACT OF 1934.</w:t>
      </w:r>
    </w:p>
    <w:p>
      <w:pPr>
        <w:spacing w:after="0" w:line="24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0"/>
          <w:szCs w:val="20"/>
          <w:color w:val="auto"/>
        </w:rPr>
        <w:t>For the transition period from ____ to ____</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0"/>
          <w:szCs w:val="20"/>
          <w:color w:val="auto"/>
        </w:rPr>
        <w:t>Commission file number: 1-4850</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A. Full title of plan and the address of the plan, if different from that of the issuer named below:</w:t>
      </w:r>
    </w:p>
    <w:p>
      <w:pPr>
        <w:spacing w:after="0" w:line="2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Computer Sciences Corporation Matched Asset Plan</w:t>
      </w:r>
    </w:p>
    <w:p>
      <w:pPr>
        <w:spacing w:after="0" w:line="2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22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0"/>
          <w:szCs w:val="20"/>
          <w:b w:val="1"/>
          <w:bCs w:val="1"/>
          <w:color w:val="auto"/>
        </w:rPr>
        <w:t>Computer Sciences Corporation</w:t>
      </w:r>
    </w:p>
    <w:p>
      <w:pPr>
        <w:spacing w:after="0" w:line="2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0"/>
          <w:szCs w:val="20"/>
          <w:color w:val="auto"/>
        </w:rPr>
        <w:t>1775 Tysons Boulevard</w:t>
      </w:r>
    </w:p>
    <w:p>
      <w:pPr>
        <w:jc w:val="center"/>
        <w:ind w:right="-1220"/>
        <w:spacing w:after="0"/>
        <w:rPr>
          <w:sz w:val="20"/>
          <w:szCs w:val="20"/>
          <w:color w:val="auto"/>
        </w:rPr>
      </w:pPr>
      <w:r>
        <w:rPr>
          <w:rFonts w:ascii="Times New Roman" w:cs="Times New Roman" w:eastAsia="Times New Roman" w:hAnsi="Times New Roman"/>
          <w:sz w:val="20"/>
          <w:szCs w:val="20"/>
          <w:color w:val="auto"/>
        </w:rPr>
        <w:t>Tysons, Virginia 22102</w:t>
      </w:r>
    </w:p>
    <w:p>
      <w:pPr>
        <w:sectPr>
          <w:pgSz w:w="11900" w:h="16838" w:orient="portrait"/>
          <w:cols w:equalWidth="0" w:num="1">
            <w:col w:w="10219"/>
          </w:cols>
          <w:pgMar w:left="240" w:top="680" w:right="1440" w:bottom="1440" w:gutter="0" w:footer="0" w:header="0"/>
        </w:sectPr>
      </w:pPr>
    </w:p>
    <w:bookmarkStart w:id="1" w:name="page2"/>
    <w:bookmarkEnd w:id="1"/>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Computer Sciences Corporation Matched Asset Plan</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Financial Statements and Supplemental Schedule</w:t>
      </w:r>
    </w:p>
    <w:p>
      <w:pPr>
        <w:spacing w:after="0" w:line="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December 31, 2016 and 2015</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82"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20"/>
          <w:szCs w:val="20"/>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306070</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3180" w:type="dxa"/>
            <w:vAlign w:val="bottom"/>
          </w:tcPr>
          <w:p>
            <w:pPr>
              <w:jc w:val="right"/>
              <w:spacing w:after="0"/>
              <w:rPr>
                <w:rFonts w:ascii="Times New Roman" w:cs="Times New Roman" w:eastAsia="Times New Roman" w:hAnsi="Times New Roman"/>
                <w:sz w:val="20"/>
                <w:szCs w:val="20"/>
                <w:color w:val="auto"/>
              </w:rPr>
            </w:pPr>
            <w:hyperlink w:anchor="page3">
              <w:r>
                <w:rPr>
                  <w:rFonts w:ascii="Times New Roman" w:cs="Times New Roman" w:eastAsia="Times New Roman" w:hAnsi="Times New Roman"/>
                  <w:sz w:val="20"/>
                  <w:szCs w:val="20"/>
                  <w:color w:val="auto"/>
                </w:rPr>
                <w:t>2</w:t>
              </w:r>
            </w:hyperlink>
          </w:p>
        </w:tc>
      </w:tr>
    </w:tbl>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Financial Statements as of December 31, 2016 and 2015 and for the year ended December 31, 2016:</w:t>
      </w: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Statements of Net Assets Available for Plan Benefits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76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1760" w:type="dxa"/>
            <w:vAlign w:val="bottom"/>
          </w:tcPr>
          <w:p>
            <w:pPr>
              <w:jc w:val="center"/>
              <w:ind w:left="1281"/>
              <w:spacing w:after="0"/>
              <w:rPr>
                <w:rFonts w:ascii="Times New Roman" w:cs="Times New Roman" w:eastAsia="Times New Roman" w:hAnsi="Times New Roman"/>
                <w:sz w:val="20"/>
                <w:szCs w:val="20"/>
                <w:color w:val="auto"/>
                <w:w w:val="99"/>
              </w:rPr>
            </w:pPr>
            <w:hyperlink w:anchor="page4">
              <w:r>
                <w:rPr>
                  <w:rFonts w:ascii="Times New Roman" w:cs="Times New Roman" w:eastAsia="Times New Roman" w:hAnsi="Times New Roman"/>
                  <w:sz w:val="20"/>
                  <w:szCs w:val="20"/>
                  <w:color w:val="auto"/>
                  <w:w w:val="99"/>
                </w:rPr>
                <w:t>3</w:t>
              </w:r>
            </w:hyperlink>
          </w:p>
        </w:tc>
        <w:tc>
          <w:tcPr>
            <w:tcW w:w="0" w:type="dxa"/>
            <w:vAlign w:val="bottom"/>
          </w:tcPr>
          <w:p>
            <w:pPr>
              <w:spacing w:after="0"/>
              <w:rPr>
                <w:sz w:val="1"/>
                <w:szCs w:val="1"/>
                <w:color w:val="auto"/>
              </w:rPr>
            </w:pPr>
          </w:p>
        </w:tc>
      </w:tr>
      <w:tr>
        <w:trPr>
          <w:trHeight w:val="262"/>
        </w:trPr>
        <w:tc>
          <w:tcPr>
            <w:tcW w:w="9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Statement of Changes in Net Assets Available for Plan Benefits</w:t>
            </w:r>
          </w:p>
        </w:tc>
        <w:tc>
          <w:tcPr>
            <w:tcW w:w="1760" w:type="dxa"/>
            <w:vAlign w:val="bottom"/>
            <w:vMerge w:val="restart"/>
          </w:tcPr>
          <w:p>
            <w:pPr>
              <w:jc w:val="center"/>
              <w:ind w:left="1281"/>
              <w:spacing w:after="0"/>
              <w:rPr>
                <w:rFonts w:ascii="Times New Roman" w:cs="Times New Roman" w:eastAsia="Times New Roman" w:hAnsi="Times New Roman"/>
                <w:sz w:val="20"/>
                <w:szCs w:val="20"/>
                <w:color w:val="auto"/>
                <w:w w:val="99"/>
              </w:rPr>
            </w:pPr>
            <w:hyperlink w:anchor="page5">
              <w:r>
                <w:rPr>
                  <w:rFonts w:ascii="Times New Roman" w:cs="Times New Roman" w:eastAsia="Times New Roman" w:hAnsi="Times New Roman"/>
                  <w:sz w:val="20"/>
                  <w:szCs w:val="20"/>
                  <w:color w:val="auto"/>
                  <w:w w:val="99"/>
                </w:rPr>
                <w:t>4</w:t>
              </w:r>
            </w:hyperlink>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9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760" w:type="dxa"/>
            <w:vAlign w:val="bottom"/>
          </w:tcPr>
          <w:p>
            <w:pPr>
              <w:jc w:val="center"/>
              <w:ind w:left="1281"/>
              <w:spacing w:after="0"/>
              <w:rPr>
                <w:rFonts w:ascii="Times New Roman" w:cs="Times New Roman" w:eastAsia="Times New Roman" w:hAnsi="Times New Roman"/>
                <w:sz w:val="20"/>
                <w:szCs w:val="20"/>
                <w:color w:val="auto"/>
                <w:w w:val="99"/>
              </w:rPr>
            </w:pPr>
            <w:hyperlink w:anchor="page6">
              <w:r>
                <w:rPr>
                  <w:rFonts w:ascii="Times New Roman" w:cs="Times New Roman" w:eastAsia="Times New Roman" w:hAnsi="Times New Roman"/>
                  <w:sz w:val="20"/>
                  <w:szCs w:val="20"/>
                  <w:color w:val="auto"/>
                  <w:w w:val="99"/>
                </w:rPr>
                <w:t>5</w:t>
              </w:r>
            </w:hyperlink>
          </w:p>
        </w:tc>
        <w:tc>
          <w:tcPr>
            <w:tcW w:w="0" w:type="dxa"/>
            <w:vAlign w:val="bottom"/>
          </w:tcPr>
          <w:p>
            <w:pPr>
              <w:spacing w:after="0"/>
              <w:rPr>
                <w:sz w:val="1"/>
                <w:szCs w:val="1"/>
                <w:color w:val="auto"/>
              </w:rPr>
            </w:pPr>
          </w:p>
        </w:tc>
      </w:tr>
      <w:tr>
        <w:trPr>
          <w:trHeight w:val="608"/>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Supplemental Schedule as of December 31, 2016: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7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Schedule H, Line 4i</w:t>
            </w:r>
          </w:p>
        </w:tc>
        <w:tc>
          <w:tcPr>
            <w:tcW w:w="7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Schedule of Assets (Held at End of Year)</w:t>
            </w:r>
          </w:p>
        </w:tc>
        <w:tc>
          <w:tcPr>
            <w:tcW w:w="1760" w:type="dxa"/>
            <w:vAlign w:val="bottom"/>
          </w:tcPr>
          <w:p>
            <w:pPr>
              <w:jc w:val="center"/>
              <w:ind w:left="1261"/>
              <w:spacing w:after="0"/>
              <w:rPr>
                <w:rFonts w:ascii="Times New Roman" w:cs="Times New Roman" w:eastAsia="Times New Roman" w:hAnsi="Times New Roman"/>
                <w:sz w:val="20"/>
                <w:szCs w:val="20"/>
                <w:color w:val="auto"/>
              </w:rPr>
            </w:pPr>
            <w:hyperlink w:anchor="page18">
              <w:r>
                <w:rPr>
                  <w:rFonts w:ascii="Times New Roman" w:cs="Times New Roman" w:eastAsia="Times New Roman" w:hAnsi="Times New Roman"/>
                  <w:sz w:val="20"/>
                  <w:szCs w:val="20"/>
                  <w:color w:val="auto"/>
                </w:rPr>
                <w:t>S-1</w:t>
              </w:r>
            </w:hyperlink>
          </w:p>
        </w:tc>
        <w:tc>
          <w:tcPr>
            <w:tcW w:w="0" w:type="dxa"/>
            <w:vAlign w:val="bottom"/>
          </w:tcPr>
          <w:p>
            <w:pPr>
              <w:spacing w:after="0"/>
              <w:rPr>
                <w:sz w:val="1"/>
                <w:szCs w:val="1"/>
                <w:color w:val="auto"/>
              </w:rPr>
            </w:pPr>
          </w:p>
        </w:tc>
      </w:tr>
      <w:tr>
        <w:trPr>
          <w:trHeight w:val="500"/>
        </w:trPr>
        <w:tc>
          <w:tcPr>
            <w:tcW w:w="17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Schedule H, Line 4j</w:t>
            </w:r>
          </w:p>
        </w:tc>
        <w:tc>
          <w:tcPr>
            <w:tcW w:w="7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Schedule of Reportable Transactions for the year ended December 31, 2016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76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rPr>
              <w:t>S-45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Exhibits 23.1: 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20"/>
          <w:szCs w:val="20"/>
          <w:color w:val="auto"/>
        </w:rPr>
        <w:t>NOTE: All other schedules required by Section 29 CFR 2520.103-10 of the Department of Labor's Rules and Regulations for Reporting and Disclosure under the Employee Retirement Income Security Act of 1974 have been omitted because they are not applicable.</w:t>
      </w: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240" w:top="1161"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4040"/>
        <w:spacing w:after="0" w:line="259" w:lineRule="auto"/>
        <w:rPr>
          <w:sz w:val="20"/>
          <w:szCs w:val="20"/>
          <w:color w:val="auto"/>
        </w:rPr>
      </w:pPr>
      <w:r>
        <w:rPr>
          <w:rFonts w:ascii="Times New Roman" w:cs="Times New Roman" w:eastAsia="Times New Roman" w:hAnsi="Times New Roman"/>
          <w:sz w:val="20"/>
          <w:szCs w:val="20"/>
          <w:color w:val="auto"/>
        </w:rPr>
        <w:t>Computer Sciences Corporation Employee Benefits Fiduciary Committee and Participants of Computer Sciences Corporation Matched Asset Plan Tysons, Virginia</w:t>
      </w:r>
    </w:p>
    <w:p>
      <w:pPr>
        <w:spacing w:after="0" w:line="200" w:lineRule="exact"/>
        <w:rPr>
          <w:sz w:val="20"/>
          <w:szCs w:val="20"/>
          <w:color w:val="auto"/>
        </w:rPr>
      </w:pP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Computer Sciences Corporation Matched Asset Plan (the Plan) as of December 31, 2016 and 2015, and the related statement of changes in net assets available for benefits for the year ended December 31, 2016. These financial statements are the responsibility of the Plan’s management. Our responsibility is to express an opinion on these financial statements based on our audits.</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our opinion, the financial statements referred to above present fairly, in all material respects, the net assets available for benefits of the Plan as of December 31, 2016 and 2015, and the changes in net assets available for benefits for the year ended December 31, 2016, in conformity with accounting principles generally accepted in the United States of America.</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supplemental information in the accompanying Schedule of Assets (Held at End of Year) at December 31, 2016 and the Schedule of Reportable Transactions for the year ended December 31, 2016 have been subjected to audit procedures performed in conjunction with the audit of the Plan’s financial statements. The supplemental information is presented for the purpose of additional analysis and is not a required part of the financial statements but include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(Schedule of Assets [Held at End of Year] at December 31, 2016 and the Schedule of Reportable Transactions for the year ended December 31, 2016) is fairly stated in all material respects in relation to the financial statements as a whole.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Johnson Lambert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Vienna, Virginia</w:t>
      </w:r>
    </w:p>
    <w:p>
      <w:pPr>
        <w:spacing w:after="0"/>
        <w:rPr>
          <w:sz w:val="20"/>
          <w:szCs w:val="20"/>
          <w:color w:val="auto"/>
        </w:rPr>
      </w:pPr>
      <w:r>
        <w:rPr>
          <w:rFonts w:ascii="Times New Roman" w:cs="Times New Roman" w:eastAsia="Times New Roman" w:hAnsi="Times New Roman"/>
          <w:sz w:val="20"/>
          <w:szCs w:val="20"/>
          <w:color w:val="auto"/>
        </w:rPr>
        <w:t>June 26, 2017</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COMPUTER SCIENCES CORPORATION MATCHED ASSET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Plan Benefits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4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participant-directed investments - at fair value</w:t>
            </w:r>
          </w:p>
        </w:tc>
        <w:tc>
          <w:tcPr>
            <w:tcW w:w="2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2,511,539,177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2,546,530,814</w:t>
            </w:r>
          </w:p>
        </w:tc>
        <w:tc>
          <w:tcPr>
            <w:tcW w:w="0" w:type="dxa"/>
            <w:vAlign w:val="bottom"/>
          </w:tcPr>
          <w:p>
            <w:pPr>
              <w:spacing w:after="0"/>
              <w:rPr>
                <w:sz w:val="1"/>
                <w:szCs w:val="1"/>
                <w:color w:val="auto"/>
              </w:rPr>
            </w:pPr>
          </w:p>
        </w:tc>
      </w:tr>
      <w:tr>
        <w:trPr>
          <w:trHeight w:val="324"/>
        </w:trPr>
        <w:tc>
          <w:tcPr>
            <w:tcW w:w="4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w:t>
            </w:r>
          </w:p>
        </w:tc>
        <w:tc>
          <w:tcPr>
            <w:tcW w:w="2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17,659,536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20,241,123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20,556,214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24,565,683</w:t>
            </w:r>
          </w:p>
        </w:tc>
        <w:tc>
          <w:tcPr>
            <w:tcW w:w="0" w:type="dxa"/>
            <w:vAlign w:val="bottom"/>
          </w:tcPr>
          <w:p>
            <w:pPr>
              <w:spacing w:after="0"/>
              <w:rPr>
                <w:sz w:val="1"/>
                <w:szCs w:val="1"/>
                <w:color w:val="auto"/>
              </w:rPr>
            </w:pPr>
          </w:p>
        </w:tc>
      </w:tr>
      <w:tr>
        <w:trPr>
          <w:trHeight w:val="243"/>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1,742,931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2,350,895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Unsettled trade receivables</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5,504,523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1,898,351</w:t>
            </w:r>
          </w:p>
        </w:tc>
        <w:tc>
          <w:tcPr>
            <w:tcW w:w="0" w:type="dxa"/>
            <w:vAlign w:val="bottom"/>
          </w:tcPr>
          <w:p>
            <w:pPr>
              <w:spacing w:after="0"/>
              <w:rPr>
                <w:sz w:val="1"/>
                <w:szCs w:val="1"/>
                <w:color w:val="auto"/>
              </w:rPr>
            </w:pPr>
          </w:p>
        </w:tc>
      </w:tr>
      <w:tr>
        <w:trPr>
          <w:trHeight w:val="237"/>
        </w:trPr>
        <w:tc>
          <w:tcPr>
            <w:tcW w:w="4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receivables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45,463,204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49,056,052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2,557,002,381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2,595,586,866</w:t>
            </w:r>
          </w:p>
        </w:tc>
        <w:tc>
          <w:tcPr>
            <w:tcW w:w="0" w:type="dxa"/>
            <w:vAlign w:val="bottom"/>
          </w:tcPr>
          <w:p>
            <w:pPr>
              <w:spacing w:after="0"/>
              <w:rPr>
                <w:sz w:val="1"/>
                <w:szCs w:val="1"/>
                <w:color w:val="auto"/>
              </w:rPr>
            </w:pPr>
          </w:p>
        </w:tc>
      </w:tr>
      <w:tr>
        <w:trPr>
          <w:trHeight w:val="318"/>
        </w:trPr>
        <w:tc>
          <w:tcPr>
            <w:tcW w:w="4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1,947,104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Unsettled trade payables</w:t>
            </w:r>
          </w:p>
        </w:tc>
        <w:tc>
          <w:tcPr>
            <w:tcW w:w="2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21,658,425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19,995,022</w:t>
            </w: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22,405,338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21,942,126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w:t>
            </w:r>
          </w:p>
        </w:tc>
        <w:tc>
          <w:tcPr>
            <w:tcW w:w="2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2,534,597,043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2,573,644,740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9"/>
                <w:szCs w:val="19"/>
                <w:color w:val="auto"/>
              </w:rPr>
              <w:t>accompanying notes to financial statements.</w:t>
            </w: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3"/>
        </w:trPr>
        <w:tc>
          <w:tcPr>
            <w:tcW w:w="4740" w:type="dxa"/>
            <w:vAlign w:val="bottom"/>
          </w:tcPr>
          <w:p>
            <w:pPr>
              <w:spacing w:after="0"/>
              <w:rPr>
                <w:sz w:val="24"/>
                <w:szCs w:val="24"/>
                <w:color w:val="auto"/>
              </w:rPr>
            </w:pPr>
          </w:p>
        </w:tc>
        <w:tc>
          <w:tcPr>
            <w:tcW w:w="23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7"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200" w:type="dxa"/>
            <w:vAlign w:val="bottom"/>
            <w:gridSpan w:val="4"/>
          </w:tcPr>
          <w:p>
            <w:pPr>
              <w:ind w:left="2400"/>
              <w:spacing w:after="0"/>
              <w:rPr>
                <w:sz w:val="20"/>
                <w:szCs w:val="20"/>
                <w:color w:val="auto"/>
              </w:rPr>
            </w:pPr>
            <w:r>
              <w:rPr>
                <w:rFonts w:ascii="Times New Roman" w:cs="Times New Roman" w:eastAsia="Times New Roman" w:hAnsi="Times New Roman"/>
                <w:sz w:val="22"/>
                <w:szCs w:val="22"/>
                <w:b w:val="1"/>
                <w:bCs w:val="1"/>
                <w:color w:val="auto"/>
              </w:rPr>
              <w:t>COMPUTER SCIENCES CORPORATION MATCHED ASSET PLAN</w:t>
            </w:r>
          </w:p>
        </w:tc>
      </w:tr>
      <w:tr>
        <w:trPr>
          <w:trHeight w:val="513"/>
        </w:trPr>
        <w:tc>
          <w:tcPr>
            <w:tcW w:w="9200" w:type="dxa"/>
            <w:vAlign w:val="bottom"/>
            <w:gridSpan w:val="4"/>
          </w:tcPr>
          <w:p>
            <w:pPr>
              <w:ind w:left="2820"/>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Plan Benefits</w:t>
            </w:r>
          </w:p>
        </w:tc>
      </w:tr>
      <w:tr>
        <w:trPr>
          <w:trHeight w:val="812"/>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70"/>
        </w:trPr>
        <w:tc>
          <w:tcPr>
            <w:tcW w:w="7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7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247,740,261</w:t>
            </w:r>
          </w:p>
        </w:tc>
      </w:tr>
      <w:tr>
        <w:trPr>
          <w:trHeight w:val="243"/>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9,219,354</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6,477,148</w:t>
            </w:r>
          </w:p>
        </w:tc>
      </w:tr>
      <w:tr>
        <w:trPr>
          <w:trHeight w:val="237"/>
        </w:trPr>
        <w:tc>
          <w:tcPr>
            <w:tcW w:w="7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Net investment gain</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263,436,763</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7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81,450,443</w:t>
            </w:r>
          </w:p>
        </w:tc>
      </w:tr>
      <w:tr>
        <w:trPr>
          <w:trHeight w:val="243"/>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21,141,173</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Participant rollovers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14,703,784</w:t>
            </w:r>
          </w:p>
        </w:tc>
      </w:tr>
      <w:tr>
        <w:trPr>
          <w:trHeight w:val="237"/>
        </w:trPr>
        <w:tc>
          <w:tcPr>
            <w:tcW w:w="7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additions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117,295,400</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7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418,010,674</w:t>
            </w:r>
          </w:p>
        </w:tc>
      </w:tr>
      <w:tr>
        <w:trPr>
          <w:trHeight w:val="243"/>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1,769,186</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5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deductions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419,779,860</w:t>
            </w:r>
          </w:p>
        </w:tc>
      </w:tr>
      <w:tr>
        <w:trPr>
          <w:trHeight w:val="318"/>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net assets available for plan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(39,047,697)</w:t>
            </w:r>
          </w:p>
        </w:tc>
      </w:tr>
      <w:tr>
        <w:trPr>
          <w:trHeight w:val="324"/>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2,573,644,740</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2,534,597,043</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581" w:right="1440" w:bottom="1440" w:gutter="0" w:footer="0" w:header="0"/>
        </w:sectPr>
      </w:pPr>
    </w:p>
    <w:bookmarkStart w:id="5" w:name="page6"/>
    <w:bookmarkEnd w:id="5"/>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COMPUTER SCIENCES CORPORATION MATCHED ASSET PLAN</w:t>
      </w:r>
    </w:p>
    <w:p>
      <w:pPr>
        <w:spacing w:after="0" w:line="2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the Plan</w:t>
      </w:r>
    </w:p>
    <w:p>
      <w:pPr>
        <w:spacing w:after="0" w:line="23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following brief description of the Computer Sciences Corporation Matched Asset Plan (the "Plan") is provided for general information purposes only. Participants should refer to the Plan document for more complete information. Computer Sciences Corporation, its subsidiaries, and those joint ventures and partnerships over which Computer Sciences Corporation exercises control and that participate in the Plan are hereafter collectively referred to as "CSC" or the "Company."</w:t>
      </w:r>
    </w:p>
    <w:p>
      <w:pPr>
        <w:spacing w:after="0" w:line="180"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The Plan is a defined contribution plan adopted by the action of the Board of Directors of CSC taken on November 3, 1986, and constituted an amendment and restatement of the Employee Stock Purchase Plan (the "Prior Plan").</w:t>
      </w:r>
    </w:p>
    <w:p>
      <w:pPr>
        <w:spacing w:after="0" w:line="16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Plan is a continuation of the Prior Plan and is qualified under the Internal Revenue Code, as amended (the "Code"), Section 401(a). Effective as of January 1, 1987, with respect to the portion thereof that qualifies as a qualified cash or deferred arrangement, is intended to satisfy the requirements of Code Section 401(k). It is also subject to the provisions of the Employee Retirement Income Security Act of 1974, as amended ("ERISA").</w:t>
      </w:r>
    </w:p>
    <w:p>
      <w:pPr>
        <w:spacing w:after="0" w:line="18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Company established the CSC Employee Benefits Fiduciary Committee (the "Committee"), which generally consists of five members appointed by the Compensation Committee of the Board of Directors of the Company who serve without additional compensation and are reimbursed by the Company for all reasonable expenses incurred in the discharge of their duties as members of the Committee to the extent such expenses are not paid by the Plan. The Committee serves as the named fiduciary and administrator of the Plan and has the power to interpret, construe and administer the Plan, and to decide any dispute which may arise under the Plan.</w:t>
      </w:r>
    </w:p>
    <w:p>
      <w:pPr>
        <w:spacing w:after="0" w:line="181"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20"/>
          <w:szCs w:val="20"/>
          <w:color w:val="auto"/>
        </w:rPr>
        <w:t>Effective April 1, 2015, the Plan was updated to incorporate several changes which included an updated investment menu line-up with white-labeled options, a restriction of future contributions to the CSC stock fund of 10% of eligible compensation, and a change in the default investment option to the Target Series fund by 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July 1, 2015, a self-directed brokerage account option was offered to plan participants.</w:t>
      </w:r>
    </w:p>
    <w:p>
      <w:pPr>
        <w:spacing w:after="0" w:line="216"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Effective November 30, 2016, a liquidation of the CSRA stock fund was completed in an orderly fashion and proceeds from the liquidation were deposited in the Qualified Default Investment Account of each affected participant.</w:t>
      </w:r>
    </w:p>
    <w:p>
      <w:pPr>
        <w:spacing w:after="0" w:line="16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Separation of NPS - </w:t>
      </w:r>
      <w:r>
        <w:rPr>
          <w:rFonts w:ascii="Times New Roman" w:cs="Times New Roman" w:eastAsia="Times New Roman" w:hAnsi="Times New Roman"/>
          <w:sz w:val="20"/>
          <w:szCs w:val="20"/>
          <w:color w:val="auto"/>
        </w:rPr>
        <w:t>On November 27, 2015, the Company completed the separation of the Company's U.S. public sector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("NPS") and combination of NPS with SRA International, Inc. to form a new independent publicly traded Company: CSRA Inc. ("CSRA") (the "Separation"). Under the terms of the Separation agreements, on November 27, 2015, stockholders who held CSC common stock at the close of business on November 18, 2015 (the "Record Date"), received a distribution of one CSRA common share for every one share of CSC common stock held.</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Interest in the CSC Sponsored Trust </w:t>
      </w:r>
      <w:r>
        <w:rPr>
          <w:rFonts w:ascii="Times New Roman" w:cs="Times New Roman" w:eastAsia="Times New Roman" w:hAnsi="Times New Roman"/>
          <w:sz w:val="20"/>
          <w:szCs w:val="20"/>
          <w:color w:val="auto"/>
        </w:rPr>
        <w:t>- Through November 2, 2015 the Plan assets were held in The Bank of New York in a master trust.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part of the Separation, CSC assigned the trust to CSRA and transferred all assets associated with CSC employees into a newly formed master trust sponsored by the Company. The Bank of New York serves as trustee, agent, and custodian of the Plan for purposes of investment of the assets of the trust.</w:t>
      </w:r>
    </w:p>
    <w:p>
      <w:pPr>
        <w:spacing w:after="0" w:line="200" w:lineRule="exact"/>
        <w:rPr>
          <w:sz w:val="20"/>
          <w:szCs w:val="20"/>
          <w:color w:val="auto"/>
        </w:rPr>
      </w:pPr>
    </w:p>
    <w:p>
      <w:pPr>
        <w:spacing w:after="0" w:line="22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660" w:top="797"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At both December 31, 2016 and 2015, the Plan’s interest in the assets of the trust in which its asset were held was approximately</w:t>
      </w:r>
    </w:p>
    <w:p>
      <w:pPr>
        <w:spacing w:after="0" w:line="22"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0"/>
          <w:szCs w:val="20"/>
          <w:color w:val="auto"/>
        </w:rPr>
        <w:t>99%. Investment income and administrative expenses relating to each discretionary or directed fund are allocated to the individual plans based upon average monthly balances invested by each plan in each discretionary or directed fund. Accordingly, the Plan reports its investment in the trust account based on an allocation of individual investments of the trust account.</w:t>
      </w:r>
    </w:p>
    <w:p>
      <w:pPr>
        <w:spacing w:after="0" w:line="183"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Plan Termination </w:t>
      </w:r>
      <w:r>
        <w:rPr>
          <w:rFonts w:ascii="Times New Roman" w:cs="Times New Roman" w:eastAsia="Times New Roman" w:hAnsi="Times New Roman"/>
          <w:sz w:val="20"/>
          <w:szCs w:val="20"/>
          <w:color w:val="auto"/>
        </w:rPr>
        <w:t>- Although it has not expressed any intent to do so, the Company reserves the right, under the Plan, to discontinue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contributions at any time and to terminate the Plan subject to the provisions of ERISA. In the event of Plan termination, the participants' rights to the Company's contributions fully vest immediately.</w:t>
      </w:r>
    </w:p>
    <w:p>
      <w:pPr>
        <w:spacing w:after="0" w:line="16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Eligibility and Participation </w:t>
      </w:r>
      <w:r>
        <w:rPr>
          <w:rFonts w:ascii="Times New Roman" w:cs="Times New Roman" w:eastAsia="Times New Roman" w:hAnsi="Times New Roman"/>
          <w:sz w:val="20"/>
          <w:szCs w:val="20"/>
          <w:color w:val="auto"/>
        </w:rPr>
        <w:t>- Any eligible employee (as defined in the Plan) who has satisfied the Plan's age requirement, and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employed by a participating employer, and who receives a stated compensation in respect of employment on the U.S. payroll of the Company, is eligible to become a participant, with the exception of a person who is represented by a collective bargaining unit and whose benefits have been the subject of good faith bargaining under a contract that does not specify that such person is eligible to participate in the Plan. In addition, the Company may decide to exempt all employees of any division, unit, facility or class from coverage under the Plan. Any person who leaves the Company and, at a later time becomes re-employed, must reapply to participate in the Plan, provided he or she otherwise meets the eligibility requirements.</w:t>
      </w:r>
    </w:p>
    <w:p>
      <w:pPr>
        <w:spacing w:after="0" w:line="1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Employee and Company Contributions </w:t>
      </w:r>
      <w:r>
        <w:rPr>
          <w:rFonts w:ascii="Times New Roman" w:cs="Times New Roman" w:eastAsia="Times New Roman" w:hAnsi="Times New Roman"/>
          <w:sz w:val="20"/>
          <w:szCs w:val="20"/>
          <w:color w:val="auto"/>
        </w:rPr>
        <w:t>- An eligible employee who elects to become a participant may authorize any whole percentage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least 1% but not more than 50%, subject to certain additional limitations for highly compensated employees) of their compensation (as defined in the Plan) to be deferred and contributed to the trust fund on his or her behalf, subject to certain Code limitations. Any compensation deferral in excess of applicable Code limitations, together with income allocable to that excess, will be returned to a participant. Any matching Company contribution attributable to any excess contribution, and income allocable thereto, will be forfeited and returned to the Company via the forfeiture account or applied to reduce future matching Company contributions or Plan administrative expenses. The Plan permits participants age 50 and over to make additional "catch-up" contributions in excess of the statutory limit up to an additional $6,000 on a pre-tax basis in 2016.</w:t>
      </w:r>
    </w:p>
    <w:p>
      <w:pPr>
        <w:spacing w:after="0" w:line="18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A participant is not permitted to make voluntary after-tax contributions to the Plan unless the participant is part of a collective bargaining unit for which after-tax contributions have been negotiated.</w:t>
      </w:r>
    </w:p>
    <w:p>
      <w:pPr>
        <w:spacing w:after="0" w:line="16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Company will contribute an amount equal to 50% of the first 6% of the participant's compensation deferral, except for certain groups of employees for whom, under the terms of their contract agreements, the Company will contribute different amounts.</w:t>
      </w:r>
    </w:p>
    <w:p>
      <w:pPr>
        <w:spacing w:after="0" w:line="16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Company match earned for all participants that are in the standard match is posted to participant accounts in January of the following year. In order to receive this match, participants must remain employed through the end of the year or terminate due to retirement or death. Retired or deceased employees receive their contribution as soon as administratively feasible. The few select participants that receive a match during the year include collectively bargained employees, Swiss Re and service contract employees. Participants should refer to the Plan document for more information about the aforementioned groups.</w:t>
      </w:r>
    </w:p>
    <w:p>
      <w:pPr>
        <w:spacing w:after="0" w:line="177"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Participant Accounts </w:t>
      </w:r>
      <w:r>
        <w:rPr>
          <w:rFonts w:ascii="Times New Roman" w:cs="Times New Roman" w:eastAsia="Times New Roman" w:hAnsi="Times New Roman"/>
          <w:sz w:val="20"/>
          <w:szCs w:val="20"/>
          <w:color w:val="auto"/>
        </w:rPr>
        <w:t>- Individual accounts are maintained for each Plan participant. Each participant's account is credited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contribution, the Company's matching and discretionary contributions and allocations of Plan investment returns, net of an allocation of investment management fees, and is reduced by any distributions. Allocations are based on participant earnings or account balances, as defined by the Plan document. The benefit to which a participant is entitled is the benefit that can be provided from the participant's vested account.</w:t>
      </w:r>
    </w:p>
    <w:p>
      <w:pPr>
        <w:spacing w:after="0" w:line="17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color w:val="auto"/>
        </w:rPr>
        <w:t>- Participants direct the investment of their contributions and account balance into various investment options offered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The Plan currently offers the 18 investment options listed below.</w:t>
      </w:r>
    </w:p>
    <w:p>
      <w:pPr>
        <w:spacing w:after="0" w:line="1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660" w:top="576" w:right="239" w:bottom="1440" w:gutter="0" w:footer="0" w:header="0"/>
        </w:sectPr>
      </w:pPr>
    </w:p>
    <w:bookmarkStart w:id="7" w:name="page8"/>
    <w:bookmarkEnd w:id="7"/>
    <w:p>
      <w:pPr>
        <w:spacing w:after="0" w:line="245" w:lineRule="auto"/>
        <w:rPr>
          <w:sz w:val="20"/>
          <w:szCs w:val="20"/>
          <w:color w:val="auto"/>
        </w:rPr>
      </w:pPr>
      <w:r>
        <w:rPr>
          <w:rFonts w:ascii="Times New Roman" w:cs="Times New Roman" w:eastAsia="Times New Roman" w:hAnsi="Times New Roman"/>
          <w:sz w:val="20"/>
          <w:szCs w:val="20"/>
          <w:color w:val="auto"/>
        </w:rPr>
        <w:t>Subject to rules the Committee may from time to time adopt, each participant has the right to designate one or more funds established by the Committee for the investment of his or her compensation deferral contributions, in increments of 1%. After an initial election has been made, a participant may designate a different fund or funds into which future compensation deferral contributions shall be invested as of the next possible pay date once per calendar month. In addition, a participant may elect to redesignate twice per month any amounts in his or her account as of the current or next business day of any month (depending on when the election is made) to be invested in a different fund. These elections may be made by giving such advance notice as may be required by the Plan administrator.</w:t>
      </w:r>
    </w:p>
    <w:p>
      <w:pPr>
        <w:spacing w:after="0" w:line="19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T. Rowe Price Stable Value Common Trust Fund is frozen to new participants and to new contributions. These investment options are made up of various investments as determined by the investment manager.</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Each of the investment funds noted below are listed as one fund on Form 5500, Schedule H, Line 4i and subtotaled as Interest in</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Commingled Funds:</w:t>
      </w:r>
    </w:p>
    <w:p>
      <w:pPr>
        <w:spacing w:after="0" w:line="207" w:lineRule="exact"/>
        <w:rPr>
          <w:sz w:val="20"/>
          <w:szCs w:val="20"/>
          <w:color w:val="auto"/>
        </w:rPr>
      </w:pP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Blackrock Global Allocation Collective Fund</w:t>
      </w:r>
    </w:p>
    <w:p>
      <w:pPr>
        <w:spacing w:after="0" w:line="21" w:lineRule="exact"/>
        <w:rPr>
          <w:rFonts w:ascii="Times New Roman" w:cs="Times New Roman" w:eastAsia="Times New Roman" w:hAnsi="Times New Roman"/>
          <w:sz w:val="20"/>
          <w:szCs w:val="20"/>
          <w:color w:val="auto"/>
        </w:rPr>
      </w:pP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Pyramis Select Global Equity Commingled Funds</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MCM International Country World Index EX US issued by Bank of New York Mellon (EB DL ACWI)</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Mellon EB Daily Liquidity Stock Index Fund issued by BNYM</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MCM Daily Liquidity Completion Fund issued by BNYM (EB Daily Liquidity Market Completion Fund)</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Mellon TIPS Index Fund issued by BYNM (EB Daily Liquidity Non-SL)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Fund issued by SSgA (Target Retirement Income)</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2015 Fund issued by SSgA (Target Retirement 2015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2020 Fund issued by SSgA (Target Retirement 2020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2025 Fund issued by SSgA (Target Retirement 2025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2030 Fund issued by SSgA (Target Retirement 2030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2035 Fund issued by SSgA (Target Retirement 2035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2040 Fund issued by SSgA (Target Retirement 2040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2045 Fund issued by SSgA (Target Retirement 2045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2050 Fund issued by SSgA (Target Retirement 2050 SL)</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2055 Fund issued by SSgA (Target Retirement 2055)</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Series Retirement 2060 Fund issued by SSgA (Target Retirement 2060)</w:t>
      </w:r>
    </w:p>
    <w:p>
      <w:pPr>
        <w:ind w:left="640" w:hanging="24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 Rowe Price Stable Value Common Trust Fund</w:t>
      </w:r>
    </w:p>
    <w:p>
      <w:pPr>
        <w:spacing w:after="0" w:line="203" w:lineRule="exact"/>
        <w:rPr>
          <w:sz w:val="20"/>
          <w:szCs w:val="20"/>
          <w:color w:val="auto"/>
        </w:rPr>
      </w:pPr>
    </w:p>
    <w:p>
      <w:pPr>
        <w:ind w:left="80" w:right="240"/>
        <w:spacing w:after="0" w:line="273" w:lineRule="auto"/>
        <w:rPr>
          <w:sz w:val="20"/>
          <w:szCs w:val="20"/>
          <w:color w:val="auto"/>
        </w:rPr>
      </w:pPr>
      <w:r>
        <w:rPr>
          <w:rFonts w:ascii="Times New Roman" w:cs="Times New Roman" w:eastAsia="Times New Roman" w:hAnsi="Times New Roman"/>
          <w:sz w:val="20"/>
          <w:szCs w:val="20"/>
          <w:b w:val="1"/>
          <w:bCs w:val="1"/>
          <w:color w:val="auto"/>
        </w:rPr>
        <w:t>Separately managed investment funds for which the underlying investments are listed individually on Form 5500, Schedule H, Line 4i:</w:t>
      </w:r>
    </w:p>
    <w:p>
      <w:pPr>
        <w:spacing w:after="0" w:line="170" w:lineRule="exact"/>
        <w:rPr>
          <w:sz w:val="20"/>
          <w:szCs w:val="20"/>
          <w:color w:val="auto"/>
        </w:rPr>
      </w:pPr>
    </w:p>
    <w:p>
      <w:pPr>
        <w:ind w:left="640" w:hanging="242"/>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CSC Stock Fund (Computer Sciences Corporation Common Stock)</w:t>
      </w:r>
    </w:p>
    <w:p>
      <w:pPr>
        <w:spacing w:after="0" w:line="21" w:lineRule="exact"/>
        <w:rPr>
          <w:rFonts w:ascii="Times New Roman" w:cs="Times New Roman" w:eastAsia="Times New Roman" w:hAnsi="Times New Roman"/>
          <w:sz w:val="20"/>
          <w:szCs w:val="20"/>
          <w:color w:val="auto"/>
        </w:rPr>
      </w:pPr>
    </w:p>
    <w:p>
      <w:pPr>
        <w:ind w:left="640" w:hanging="242"/>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BlackRock Core Bond Portfolio (Bond Option)</w:t>
      </w:r>
    </w:p>
    <w:p>
      <w:pPr>
        <w:spacing w:after="0" w:line="6" w:lineRule="exact"/>
        <w:rPr>
          <w:rFonts w:ascii="Times New Roman" w:cs="Times New Roman" w:eastAsia="Times New Roman" w:hAnsi="Times New Roman"/>
          <w:sz w:val="20"/>
          <w:szCs w:val="20"/>
          <w:color w:val="auto"/>
        </w:rPr>
      </w:pPr>
    </w:p>
    <w:p>
      <w:pPr>
        <w:ind w:left="680" w:hanging="282"/>
        <w:spacing w:after="0"/>
        <w:tabs>
          <w:tab w:leader="none" w:pos="6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Epoch Global Equity (Strategic Equity Option)</w:t>
      </w:r>
    </w:p>
    <w:p>
      <w:pPr>
        <w:spacing w:after="0" w:line="227" w:lineRule="exact"/>
        <w:rPr>
          <w:sz w:val="20"/>
          <w:szCs w:val="20"/>
          <w:color w:val="auto"/>
        </w:rPr>
      </w:pPr>
    </w:p>
    <w:p>
      <w:pPr>
        <w:ind w:left="400" w:right="140"/>
        <w:spacing w:after="0" w:line="269" w:lineRule="auto"/>
        <w:rPr>
          <w:sz w:val="20"/>
          <w:szCs w:val="20"/>
          <w:color w:val="auto"/>
        </w:rPr>
      </w:pPr>
      <w:r>
        <w:rPr>
          <w:rFonts w:ascii="Times New Roman" w:cs="Times New Roman" w:eastAsia="Times New Roman" w:hAnsi="Times New Roman"/>
          <w:sz w:val="20"/>
          <w:szCs w:val="20"/>
          <w:color w:val="auto"/>
        </w:rPr>
        <w:t>The individual investments of the above listed separately managed funds are listed in the Form 5500, Schedule H, Line 4i Schedule of Assets with the following descriptions:</w:t>
      </w:r>
    </w:p>
    <w:p>
      <w:pPr>
        <w:spacing w:after="0" w:line="173" w:lineRule="exact"/>
        <w:rPr>
          <w:sz w:val="20"/>
          <w:szCs w:val="20"/>
          <w:color w:val="auto"/>
        </w:rPr>
      </w:pPr>
    </w:p>
    <w:p>
      <w:pPr>
        <w:ind w:left="1280" w:hanging="233"/>
        <w:spacing w:after="0"/>
        <w:tabs>
          <w:tab w:leader="none" w:pos="1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Short-Term Investments</w:t>
      </w:r>
    </w:p>
    <w:p>
      <w:pPr>
        <w:spacing w:after="0" w:line="21" w:lineRule="exact"/>
        <w:rPr>
          <w:rFonts w:ascii="Times New Roman" w:cs="Times New Roman" w:eastAsia="Times New Roman" w:hAnsi="Times New Roman"/>
          <w:sz w:val="20"/>
          <w:szCs w:val="20"/>
          <w:color w:val="auto"/>
        </w:rPr>
      </w:pPr>
    </w:p>
    <w:p>
      <w:pPr>
        <w:ind w:left="1280" w:hanging="233"/>
        <w:spacing w:after="0"/>
        <w:tabs>
          <w:tab w:leader="none" w:pos="1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CSC Common Stock</w:t>
      </w:r>
    </w:p>
    <w:p>
      <w:pPr>
        <w:ind w:left="1280" w:hanging="233"/>
        <w:spacing w:after="0"/>
        <w:tabs>
          <w:tab w:leader="none" w:pos="1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Registered Investments</w:t>
      </w:r>
    </w:p>
    <w:p>
      <w:pPr>
        <w:ind w:left="1280" w:hanging="233"/>
        <w:spacing w:after="0"/>
        <w:tabs>
          <w:tab w:leader="none" w:pos="1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Bonds</w:t>
      </w:r>
    </w:p>
    <w:p>
      <w:pPr>
        <w:ind w:left="1280" w:hanging="233"/>
        <w:spacing w:after="0"/>
        <w:tabs>
          <w:tab w:leader="none" w:pos="1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and Local Obligations</w:t>
      </w:r>
    </w:p>
    <w:p>
      <w:pPr>
        <w:ind w:left="1280" w:hanging="233"/>
        <w:spacing w:after="0"/>
        <w:tabs>
          <w:tab w:leader="none" w:pos="1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Agency Mortgage Backed Securities</w:t>
      </w:r>
    </w:p>
    <w:p>
      <w:pPr>
        <w:ind w:left="1280" w:hanging="233"/>
        <w:spacing w:after="0"/>
        <w:tabs>
          <w:tab w:leader="none" w:pos="1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and other Mortgage Backed Securities</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660" w:top="805" w:right="299" w:bottom="1440" w:gutter="0" w:footer="0" w:header="0"/>
        </w:sectPr>
      </w:pPr>
    </w:p>
    <w:bookmarkStart w:id="8" w:name="page9"/>
    <w:bookmarkEnd w:id="8"/>
    <w:p>
      <w:pPr>
        <w:ind w:left="1280" w:hanging="233"/>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 U.S. Government Funds</w:t>
      </w:r>
    </w:p>
    <w:p>
      <w:pPr>
        <w:spacing w:after="0" w:line="21" w:lineRule="exact"/>
        <w:rPr>
          <w:rFonts w:ascii="Times New Roman" w:cs="Times New Roman" w:eastAsia="Times New Roman" w:hAnsi="Times New Roman"/>
          <w:sz w:val="20"/>
          <w:szCs w:val="20"/>
          <w:color w:val="auto"/>
        </w:rPr>
      </w:pPr>
    </w:p>
    <w:p>
      <w:pPr>
        <w:ind w:left="1280" w:hanging="233"/>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Stock</w:t>
      </w:r>
    </w:p>
    <w:p>
      <w:pPr>
        <w:ind w:left="1280" w:hanging="233"/>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Treasuries</w:t>
      </w:r>
    </w:p>
    <w:p>
      <w:pPr>
        <w:ind w:left="1280" w:hanging="233"/>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Self-Directed Brokerage</w:t>
      </w:r>
    </w:p>
    <w:p>
      <w:pPr>
        <w:spacing w:after="0" w:line="20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investment return, gains and losses in the respective funds fluctuates on a daily basis within a participant's account due to changes in the net asset values ("NAVs").</w:t>
      </w:r>
    </w:p>
    <w:p>
      <w:pPr>
        <w:spacing w:after="0" w:line="156"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Vesting of Participants' Interests/Forfeitures </w:t>
      </w:r>
      <w:r>
        <w:rPr>
          <w:rFonts w:ascii="Times New Roman" w:cs="Times New Roman" w:eastAsia="Times New Roman" w:hAnsi="Times New Roman"/>
          <w:sz w:val="20"/>
          <w:szCs w:val="20"/>
          <w:color w:val="auto"/>
        </w:rPr>
        <w:t>- Participants are fully vested immediately in their contributions plus actual earnings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thereon.</w:t>
      </w:r>
    </w:p>
    <w:p>
      <w:pPr>
        <w:spacing w:after="0" w:line="1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majority of participants have a vested interest in his or her Matching Contributions Account of 100% after achieving one full year of service. For a few selected groups of participants, vesting in his or her Matching Contributions Account, as defined, is equal to twenty-five percent (25%) after completing two full years of service and increasing by twenty-five percent (25%) for each additional full year of service. Vesting accelerates to 100% in the event of reaching age 65 while employed by the Company, upon severance by reason of death or total and permanent disability.</w:t>
      </w:r>
    </w:p>
    <w:p>
      <w:pPr>
        <w:spacing w:after="0" w:line="18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Any nonvested portion of the Matching Contributions Account will be forfeited at the earlier of five one-year consecutive Breaks in Service, as defined, or upon withdrawal from the Plan. Such forfeitures during 2016 amounted to $3,062,681. Forfeitures may be applied to reduce future matching contributions by the Company, pay Plan administrative expenses and restore amounts previously forfeited by terminated employees. The Plan had a forfeiture balance of $2,868,685 at December 31, 2016 and $2,386,649 at December 31, 2015. In 2016, employer contributions attributable to the year ended December 31, 2015 were reduced by $2,386,649. The Plan also paid administrative expenses of $185,143 and restored forfeitures of $8,853.</w:t>
      </w:r>
    </w:p>
    <w:p>
      <w:pPr>
        <w:spacing w:after="0" w:line="18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Distributable Amounts, Withdrawals and Refunds </w:t>
      </w:r>
      <w:r>
        <w:rPr>
          <w:rFonts w:ascii="Times New Roman" w:cs="Times New Roman" w:eastAsia="Times New Roman" w:hAnsi="Times New Roman"/>
          <w:sz w:val="20"/>
          <w:szCs w:val="20"/>
          <w:color w:val="auto"/>
        </w:rPr>
        <w:t>- With a few exceptions applicable to a few selected groups, a participant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entitled to his or her distributable benefit by reason of retirement, death, total and permanent disability, voluntary termination of employment, dismissal, or attainment of age fifty-nine and one-half (59-1/2). The rules of payment of a participant's distributable benefit depend upon the age of and number of years of service completed by the participant and the type of severance.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still an employee, a participant may take a withdrawal of his or her compensation deferral contributions provided a fully completed application is submitted. The request for withdrawal will be approved if it is deemed that an adequate financial hardship and resulting need for such an amount has been demonstrated by the participant.</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Certain administrative expenses are paid by CSC (the "Plan sponsor"), as provided by the Plan. A $3.20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monthly administration fee is applied to accounts of terminated participants. Plan participants also incurred quarterly advisory fees totaling $4.70 during calendar year 2016.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29"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Basis of Accounting </w:t>
      </w:r>
      <w:r>
        <w:rPr>
          <w:rFonts w:ascii="Times New Roman" w:cs="Times New Roman" w:eastAsia="Times New Roman" w:hAnsi="Times New Roman"/>
          <w:sz w:val="20"/>
          <w:szCs w:val="20"/>
          <w:color w:val="auto"/>
        </w:rPr>
        <w:t>- The accompanying consolidated financial statements have been prepared in accordance with U.S. generally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accepted accounting principles ("GAAP").</w:t>
      </w:r>
    </w:p>
    <w:p>
      <w:pPr>
        <w:spacing w:after="0" w:line="15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 The preparation of financial statements in conformity with GAAP requires management to make estimates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 that affect the reported amounts in the financial statements and accompanying notes. These estimates are based on management’s knowledge of historical information and current events, and expectations about actions that the Company may undertake in the future. Actual results could differ materially from those estimates. In the opinion of Company management, the accompanying consolidated financial statements contain all adjustments necessary, including those of a normal recurring nature, to fairly present the financial statements.</w:t>
      </w:r>
    </w:p>
    <w:p>
      <w:pPr>
        <w:spacing w:after="0" w:line="200" w:lineRule="exact"/>
        <w:rPr>
          <w:sz w:val="20"/>
          <w:szCs w:val="20"/>
          <w:color w:val="auto"/>
        </w:rPr>
      </w:pPr>
    </w:p>
    <w:p>
      <w:pPr>
        <w:spacing w:after="0" w:line="2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660" w:top="576" w:right="239" w:bottom="1440" w:gutter="0" w:footer="0" w:header="0"/>
        </w:sectPr>
      </w:pPr>
    </w:p>
    <w:bookmarkStart w:id="9" w:name="page10"/>
    <w:bookmarkEnd w:id="9"/>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Risks and Uncertainties </w:t>
      </w:r>
      <w:r>
        <w:rPr>
          <w:rFonts w:ascii="Times New Roman" w:cs="Times New Roman" w:eastAsia="Times New Roman" w:hAnsi="Times New Roman"/>
          <w:sz w:val="20"/>
          <w:szCs w:val="20"/>
          <w:color w:val="auto"/>
        </w:rPr>
        <w:t>- The Plan utilizes various investment instruments including short-term investment funds ("STIF"), fixed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commingled funds, a stable value fund and Company stock. Investment securities, in general, are exposed to various risks such as interest rate, credit, and overall market volatility. Due to the level of risk associated with certain investment securities, it is reasonably possible that changes in the value of investment securities will occur in the near term and that such changes could materially affect participants' account balances and the amounts reported in the financial statements.</w:t>
      </w:r>
    </w:p>
    <w:p>
      <w:pPr>
        <w:spacing w:after="0" w:line="1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Plan also invests in securities of international companies, which involves special risks and considerations not typically associated with investing in U.S. companies. These risks include devaluation of currencies, less reliable information about issuers, different securities transaction clearance and settlement practices, and possible adverse political and economic developments. Moreover, securities of many international companies and their markets may be less liquid and their prices more volatile than those securities of comparable U.S. companies.</w:t>
      </w:r>
    </w:p>
    <w:p>
      <w:pPr>
        <w:spacing w:after="0" w:line="177"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Security Transactions </w:t>
      </w:r>
      <w:r>
        <w:rPr>
          <w:rFonts w:ascii="Times New Roman" w:cs="Times New Roman" w:eastAsia="Times New Roman" w:hAnsi="Times New Roman"/>
          <w:sz w:val="20"/>
          <w:szCs w:val="20"/>
          <w:color w:val="auto"/>
        </w:rPr>
        <w:t>- Security transactions are accounted for on a trade-date basis. Dividend income is recorded on the ex-dividend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Interest income is accounted for on the accrual basis. Net appreciation (depreciation) in fair value of investments includes realized and unrealized gains and losses on investments sold or held during the year.</w:t>
      </w:r>
    </w:p>
    <w:p>
      <w:pPr>
        <w:spacing w:after="0" w:line="16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Valuation of Investment Securities </w:t>
      </w:r>
      <w:r>
        <w:rPr>
          <w:rFonts w:ascii="Times New Roman" w:cs="Times New Roman" w:eastAsia="Times New Roman" w:hAnsi="Times New Roman"/>
          <w:sz w:val="20"/>
          <w:szCs w:val="20"/>
          <w:color w:val="auto"/>
        </w:rPr>
        <w:t>- The Plan's investments are stated at fair value. Fair value of a financial instrument is the price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would be received to sell an asset or paid to transfer a liability in an orderly transaction between market participants at the measurement date (see Note 4 - Fair Value Measurements). Investments in the STIF are stated at amortized cost which approximates fair value. Fixed income securities including U.S. Treasuries, U.S. government agencies securities, corporate bonds, asset and other mortgage backed securities, agency mortgage backed securities and non U.S. government funds are generally valued using model-based pricing methods that use observable market data as inputs. Investments in common stocks are stated at fair value based upon closing sales prices reported on recognized securities exchanges on the last business day of the plan year.</w:t>
      </w:r>
    </w:p>
    <w:p>
      <w:pPr>
        <w:spacing w:after="0" w:line="184"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Investments in commingled funds are stated at estimated fair values, which have been determined based on the NAVs of the funds. NAVs are determined by the financial institution sponsoring such funds by dividing the fund's net assets at fair value by its units outstanding at the valuation dates.</w:t>
      </w:r>
    </w:p>
    <w:p>
      <w:pPr>
        <w:spacing w:after="0" w:line="17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Plan invests in the T. Rowe Price Stable Value Common Trust Fund (the "Fund"), which is frozen to new participants and to new contributions. The Fund is stated at the fair value of the underlying investments based upon NAV. The beneficial interest of each participant is represented by units which are issued and redeemed daily at the Fund's constant NAV of $1 per unit. The Fund invests principally in Guaranteed Investment Contracts ("GICs") issued by insurance companies; Bank Investment Contracts ("BICs") issued by banks; Synthetic Investment Contracts ("SICs") issued by banks, insurance companies and other issuers, as well as the securities supporting such SICs; separate account contracts ("SACs"); and other similar instruments which are intended to maintain a constant NAV. These investments are included in "Investments measured at net asset value" in the fair value of Plan assets table included in Note 4-Fair Value Measurements.</w:t>
      </w:r>
    </w:p>
    <w:p>
      <w:pPr>
        <w:spacing w:after="0" w:line="19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Participants may ordinarily direct the withdrawal or transfer of all or a portion of their investment at contract value. The Fund imposes certain restrictions on the Plan, and the Fund itself may be subject to circumstances that affect its ability to transact at contract value. Specifically, any event outside the normal operation of the trust that causes a withdrawal from an investment contract may result in a negative market value adjustment with respect to such withdrawal. Examples of circumstances that may affect the Fund's ability to transact at contract value include partial or complete legal termination of the trust or a unit holder, tax disqualification of the trust or a unit holder and certain trust amendments if the issuer's consent is not obtained. As of December 31, 2016, the occurrence of an event outside the normal operation of the trust that would cause a withdrawal from an investment contract is not considered to be probable.</w:t>
      </w:r>
    </w:p>
    <w:p>
      <w:pPr>
        <w:spacing w:after="0" w:line="200" w:lineRule="exact"/>
        <w:rPr>
          <w:sz w:val="20"/>
          <w:szCs w:val="20"/>
          <w:color w:val="auto"/>
        </w:rPr>
      </w:pPr>
    </w:p>
    <w:p>
      <w:pPr>
        <w:spacing w:after="0" w:line="2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660" w:top="572" w:right="239" w:bottom="1440" w:gutter="0" w:footer="0" w:header="0"/>
        </w:sectPr>
      </w:pPr>
    </w:p>
    <w:bookmarkStart w:id="10" w:name="page11"/>
    <w:bookmarkEnd w:id="10"/>
    <w:p>
      <w:pPr>
        <w:ind w:left="7" w:right="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Notes receivable from participants are measured at their unpaid principal balance plus any accrued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unpaid interest. Delinquent participant loans are recorded as distributions based on the terms of the Plan document.</w:t>
      </w:r>
    </w:p>
    <w:p>
      <w:pPr>
        <w:spacing w:after="0" w:line="166" w:lineRule="exact"/>
        <w:rPr>
          <w:sz w:val="20"/>
          <w:szCs w:val="20"/>
          <w:color w:val="auto"/>
        </w:rPr>
      </w:pPr>
    </w:p>
    <w:p>
      <w:pPr>
        <w:ind w:left="7" w:right="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Benefit payments to participants are recorded upon distribution. Amounts allocated to accounts of persons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elected to withdraw from the Plan but have not yet been paid were $1,215,962 and $2,902,807 at December 31, 2016 and 2015, respectively.</w:t>
      </w:r>
    </w:p>
    <w:p>
      <w:pPr>
        <w:spacing w:after="0" w:line="1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 xml:space="preserve">New Accounting Standards </w:t>
      </w:r>
      <w:r>
        <w:rPr>
          <w:rFonts w:ascii="Times New Roman" w:cs="Times New Roman" w:eastAsia="Times New Roman" w:hAnsi="Times New Roman"/>
          <w:sz w:val="20"/>
          <w:szCs w:val="20"/>
          <w:color w:val="auto"/>
        </w:rPr>
        <w:t>- During 2016, the Company adopted the following Accounting Standards Updates ("ASU") issued by the</w:t>
      </w:r>
    </w:p>
    <w:p>
      <w:pPr>
        <w:spacing w:after="0" w:line="2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Financial Accounting Standards Board ("FASB"):</w:t>
      </w:r>
    </w:p>
    <w:p>
      <w:pPr>
        <w:spacing w:after="0" w:line="207" w:lineRule="exact"/>
        <w:rPr>
          <w:sz w:val="20"/>
          <w:szCs w:val="20"/>
          <w:color w:val="auto"/>
        </w:rPr>
      </w:pPr>
    </w:p>
    <w:p>
      <w:pPr>
        <w:ind w:left="7" w:right="40"/>
        <w:spacing w:after="0" w:line="249" w:lineRule="auto"/>
        <w:rPr>
          <w:sz w:val="20"/>
          <w:szCs w:val="20"/>
          <w:color w:val="auto"/>
        </w:rPr>
      </w:pPr>
      <w:r>
        <w:rPr>
          <w:rFonts w:ascii="Times New Roman" w:cs="Times New Roman" w:eastAsia="Times New Roman" w:hAnsi="Times New Roman"/>
          <w:sz w:val="20"/>
          <w:szCs w:val="20"/>
          <w:color w:val="auto"/>
        </w:rPr>
        <w:t>ASU 2015-07, "Fair Value Measurement (Topic 820): Disclosures for Investments in Certain Entities That Calculate Net Asset Value per Share (or Its Equivalent)." ASU 2015-07 removes the requirement to include investments in the fair value hierarchy for which fair value is measured using the net asset value per share practical expedient under ASC 820. There is no impact from this guidance on the Plan's financial statements and footnotes other than the format of disclosure as included in Note 4 - Fair Value Measurements.</w:t>
      </w:r>
    </w:p>
    <w:p>
      <w:pPr>
        <w:spacing w:after="0" w:line="1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ASU 2015-12, "Plan Accounting: Defined Benefit Pension Plans (Topic 960), Defined Contribution Pension Plans (Topic 962), Health and</w:t>
      </w:r>
    </w:p>
    <w:p>
      <w:pPr>
        <w:spacing w:after="0" w:line="3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Welfare Benefit Plans (Topic 965): (Part I) Fully Benefit-Responsive Investment Contracts, (Part II) Plan Investment Disclosures, (Part</w:t>
      </w:r>
    </w:p>
    <w:p>
      <w:pPr>
        <w:ind w:left="7" w:right="100" w:hanging="7"/>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Measurement Date Practical Expedient." Part I of the ASU eliminates the requirements to measure the fair value of fully benefit-responsive investment contracts and provide certain disclosures. Contract value is the only required measure for fully benefit-responsive investment contracts. Part II of ASU 2015-12 eliminates the requirements to disclose individual investments that represent five percent or more of net assets available for benefits and the net appreciation or depreciation in fair value of investments by general type. It also simplifies the level of disaggregation of investments that are measured using fair value. Plans will continue to disaggregate investments that are measured using fair value by general type; however, plans are no longer required to also disaggregate investments by nature, characteristics and risks. Further, the disclosure of information about fair value measurements shall be provided by general type of plan asset. Part III of the ASU is not applicable to the Plan.</w:t>
      </w:r>
    </w:p>
    <w:p>
      <w:pPr>
        <w:spacing w:after="0" w:line="204" w:lineRule="exact"/>
        <w:rPr>
          <w:sz w:val="20"/>
          <w:szCs w:val="20"/>
          <w:color w:val="auto"/>
        </w:rPr>
      </w:pPr>
    </w:p>
    <w:p>
      <w:pPr>
        <w:ind w:left="7" w:right="20"/>
        <w:spacing w:after="0" w:line="244" w:lineRule="auto"/>
        <w:rPr>
          <w:sz w:val="20"/>
          <w:szCs w:val="20"/>
          <w:color w:val="auto"/>
        </w:rPr>
      </w:pPr>
      <w:r>
        <w:rPr>
          <w:rFonts w:ascii="Times New Roman" w:cs="Times New Roman" w:eastAsia="Times New Roman" w:hAnsi="Times New Roman"/>
          <w:sz w:val="20"/>
          <w:szCs w:val="20"/>
          <w:color w:val="auto"/>
        </w:rPr>
        <w:t>As a result of clarifications to the guidance associated with this ASU, Plan management determined that an investment in a stable value fund that was previously measured and reported at contract value was an indirect investment through an investment company in a fully benefit-responsive investment contract ("FBRIC"), rather than a direct investment in a FBRIC. As such, the Plan has no investments that are to be measured or disclosed at contract value as required by Part I. In accordance with this ASU, the adjustment from fair value to contract value that was disclosed within the Plan's statement of net assets available for plan benefits for the year ended December 31, 2015 has retrospectively been removed. Prospectively, the adjustment from fair value to contract value will no longer be presented. Disclosures associated with the adoption of Part II have been modified accordingly.</w:t>
      </w:r>
    </w:p>
    <w:p>
      <w:pPr>
        <w:spacing w:after="0" w:line="1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 xml:space="preserve">Standards Issued But Not Yet Effective </w:t>
      </w:r>
      <w:r>
        <w:rPr>
          <w:rFonts w:ascii="Times New Roman" w:cs="Times New Roman" w:eastAsia="Times New Roman" w:hAnsi="Times New Roman"/>
          <w:sz w:val="20"/>
          <w:szCs w:val="20"/>
          <w:color w:val="auto"/>
        </w:rPr>
        <w:t>- The following ASU was recently issued but has not yet been adopted by CSC:</w:t>
      </w:r>
    </w:p>
    <w:p>
      <w:pPr>
        <w:spacing w:after="0" w:line="233" w:lineRule="exact"/>
        <w:rPr>
          <w:sz w:val="20"/>
          <w:szCs w:val="20"/>
          <w:color w:val="auto"/>
        </w:rPr>
      </w:pPr>
    </w:p>
    <w:p>
      <w:pPr>
        <w:ind w:left="7"/>
        <w:spacing w:after="0" w:line="243" w:lineRule="auto"/>
        <w:rPr>
          <w:sz w:val="20"/>
          <w:szCs w:val="20"/>
          <w:color w:val="auto"/>
        </w:rPr>
      </w:pPr>
      <w:r>
        <w:rPr>
          <w:rFonts w:ascii="Times New Roman" w:cs="Times New Roman" w:eastAsia="Times New Roman" w:hAnsi="Times New Roman"/>
          <w:sz w:val="20"/>
          <w:szCs w:val="20"/>
          <w:color w:val="auto"/>
        </w:rPr>
        <w:t xml:space="preserve">In February 2017, the FASB issued ASU 2017-06, "Plan Accounting: Defined Benefit Pension Costs (Topic 960); Defined Contribution Pension Plans (Topic 962) Health and Welfare Benefit Plans (Topic 965) </w:t>
      </w:r>
      <w:r>
        <w:rPr>
          <w:rFonts w:ascii="Times New Roman" w:cs="Times New Roman" w:eastAsia="Times New Roman" w:hAnsi="Times New Roman"/>
          <w:sz w:val="20"/>
          <w:szCs w:val="20"/>
          <w:i w:val="1"/>
          <w:iCs w:val="1"/>
          <w:color w:val="auto"/>
        </w:rPr>
        <w:t>Employee Benefit Plan Master Trust Reporting"</w:t>
      </w:r>
      <w:r>
        <w:rPr>
          <w:rFonts w:ascii="Times New Roman" w:cs="Times New Roman" w:eastAsia="Times New Roman" w:hAnsi="Times New Roman"/>
          <w:sz w:val="20"/>
          <w:szCs w:val="20"/>
          <w:color w:val="auto"/>
        </w:rPr>
        <w:t xml:space="preserve"> which is intended to improve the usefulness of the information reported to users of employee benefit plan financial statements and to provide clarity to preparers and auditors. For each master trust in which a plan holds an interest, the amendments in this update require a plan’s interest in that master trust and any change in that interest to be presented in separate line items in the statement of net assets available for benefits and in the statement of changes in net assets available for benefits, respectively. ASU 2017-06 is effective for fiscal years beginning after December 15, 2018, with early adoption permitted, applied retrospectively. CSC is currently evaluating the impact that this ASU will have on its reporting and related</w:t>
      </w:r>
    </w:p>
    <w:p>
      <w:pPr>
        <w:spacing w:after="0" w:line="221"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7"/>
          </w:cols>
          <w:pgMar w:left="653" w:top="572" w:right="239" w:bottom="1440" w:gutter="0" w:footer="0" w:header="0"/>
        </w:sectPr>
      </w:pPr>
    </w:p>
    <w:bookmarkStart w:id="11" w:name="page12"/>
    <w:bookmarkEnd w:id="11"/>
    <w:p>
      <w:pPr>
        <w:ind w:right="160"/>
        <w:spacing w:after="0" w:line="269" w:lineRule="auto"/>
        <w:rPr>
          <w:sz w:val="20"/>
          <w:szCs w:val="20"/>
          <w:color w:val="auto"/>
        </w:rPr>
      </w:pPr>
      <w:r>
        <w:rPr>
          <w:rFonts w:ascii="Times New Roman" w:cs="Times New Roman" w:eastAsia="Times New Roman" w:hAnsi="Times New Roman"/>
          <w:sz w:val="20"/>
          <w:szCs w:val="20"/>
          <w:color w:val="auto"/>
        </w:rPr>
        <w:t>disclosures. CSC does not expect changes in its current accounting policies upon adoption; however, expanded disclosure in CSC's notes to its financial statements as prescribed is anticipated.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Tax Status</w:t>
      </w:r>
    </w:p>
    <w:p>
      <w:pPr>
        <w:spacing w:after="0" w:line="23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Internal Revenue Service has determined and informed the Company by a determination letter dated May 8, 2015, that the Plan and related trust are designed in accordance with applicable sections of the Code.</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(or asset) if the Plan has taken an uncertain position that more likely than not would not be sustained upon examination by the taxing authorities. The Plan is subject to routine audits by taxing jurisdictions, and is currently not under an IRS audit.</w:t>
      </w:r>
    </w:p>
    <w:p>
      <w:pPr>
        <w:spacing w:after="0" w:line="17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Plan administrator and tax counsel believe that although the Plan was amended in 2015 and 2016 and these amendments were not considered in the most recent determination letter, the Plan is currently designed and being operated in compliance with applicable requirements of the Code and the Plan continues to be tax-exempt. As such, no provision for income taxes has been included in the Plan's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Fair Value Measurements</w:t>
      </w:r>
    </w:p>
    <w:p>
      <w:pPr>
        <w:spacing w:after="0" w:line="2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Company applies fair value accounting for all financial assets and liabilities and non-financial assets and liabilities that are recognized or disclosed at fair value in the financial statements on a recurring basis. The objective of a fair value measurement is to estimate the price to sell an asset or transfer a liability in an orderly transaction between market participants at the measurement date under current market conditions. Such transactions to sell an asset or transfer a liability are assumed to occur in the principal market for that asset or liability, or in the absence of the principal market, the most advantageous market.</w:t>
      </w:r>
    </w:p>
    <w:p>
      <w:pPr>
        <w:spacing w:after="0" w:line="19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Assets and liabilities subject to fair value measurement disclosures are required to be classified according to a three-level fair value hierarchy with respect to the inputs used to determine fair value. The level in which an asset or liability is disclosed within the fair value hierarchy is based on the lowest level input that is significant to the related fair value measurement in its entirety. The levels of input are defined as follows: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Level 1: Quoted prices unadjusted for identical assets or liabilities in an active market.</w:t>
      </w:r>
    </w:p>
    <w:p>
      <w:pPr>
        <w:spacing w:after="0" w:line="22" w:lineRule="exact"/>
        <w:rPr>
          <w:sz w:val="20"/>
          <w:szCs w:val="20"/>
          <w:color w:val="auto"/>
        </w:rPr>
      </w:pPr>
    </w:p>
    <w:p>
      <w:pPr>
        <w:ind w:left="1280" w:right="1780" w:hanging="647"/>
        <w:spacing w:after="0" w:line="239" w:lineRule="auto"/>
        <w:rPr>
          <w:sz w:val="20"/>
          <w:szCs w:val="20"/>
          <w:color w:val="auto"/>
        </w:rPr>
      </w:pPr>
      <w:r>
        <w:rPr>
          <w:rFonts w:ascii="Times New Roman" w:cs="Times New Roman" w:eastAsia="Times New Roman" w:hAnsi="Times New Roman"/>
          <w:sz w:val="20"/>
          <w:szCs w:val="20"/>
          <w:color w:val="auto"/>
        </w:rPr>
        <w:t>Level 2: Inputs other than quoted prices that are observable, either directly or indirectly, for similar assets or liabilities.</w:t>
      </w:r>
    </w:p>
    <w:p>
      <w:pPr>
        <w:spacing w:after="0" w:line="1" w:lineRule="exact"/>
        <w:rPr>
          <w:sz w:val="20"/>
          <w:szCs w:val="20"/>
          <w:color w:val="auto"/>
        </w:rPr>
      </w:pPr>
    </w:p>
    <w:p>
      <w:pPr>
        <w:ind w:left="1280" w:right="1820" w:hanging="647"/>
        <w:spacing w:after="0" w:line="246" w:lineRule="auto"/>
        <w:rPr>
          <w:sz w:val="20"/>
          <w:szCs w:val="20"/>
          <w:color w:val="auto"/>
        </w:rPr>
      </w:pPr>
      <w:r>
        <w:rPr>
          <w:rFonts w:ascii="Times New Roman" w:cs="Times New Roman" w:eastAsia="Times New Roman" w:hAnsi="Times New Roman"/>
          <w:sz w:val="20"/>
          <w:szCs w:val="20"/>
          <w:color w:val="auto"/>
        </w:rPr>
        <w:t>Level 3: Unobservable inputs that reflect the entity's own assumptions which market participants would use in pricing the asset or liability.</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Asset Valuation Techniques - </w:t>
      </w:r>
      <w:r>
        <w:rPr>
          <w:rFonts w:ascii="Times New Roman" w:cs="Times New Roman" w:eastAsia="Times New Roman" w:hAnsi="Times New Roman"/>
          <w:sz w:val="20"/>
          <w:szCs w:val="20"/>
          <w:color w:val="auto"/>
        </w:rPr>
        <w:t>Self-directed brokerage is categorized as Level 1. They are valued using quoted prices in active markets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identical assets. Cash and cash equivalents are primarily short-term investment funds that are categorized as Level 2 and are stated at amortized cost which approximates fair value.</w:t>
      </w:r>
    </w:p>
    <w:p>
      <w:pPr>
        <w:spacing w:after="0" w:line="173"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9"/>
          <w:szCs w:val="19"/>
          <w:color w:val="auto"/>
        </w:rPr>
        <w:t>Fixed income securities are generally categorized as Level 2. These investments are generally valued using model-based pricing methods that use observable market data as inputs. Broker dealer bids or quotes of securities with similar characteristics may also be used.</w:t>
      </w:r>
    </w:p>
    <w:p>
      <w:pPr>
        <w:spacing w:after="0" w:line="136"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The following table provides examples of inputs that are commonly relevant for valuing particular classes of fixed income securities in which the Plan invests. However, these classifications are not exclusive, and any of the inputs may be used to value any other class of fixed income security.</w:t>
      </w:r>
    </w:p>
    <w:p>
      <w:pPr>
        <w:spacing w:after="0" w:line="200" w:lineRule="exact"/>
        <w:rPr>
          <w:sz w:val="20"/>
          <w:szCs w:val="20"/>
          <w:color w:val="auto"/>
        </w:rPr>
      </w:pPr>
    </w:p>
    <w:p>
      <w:pPr>
        <w:spacing w:after="0" w:line="2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660" w:top="576" w:right="259" w:bottom="1440" w:gutter="0" w:footer="0" w:header="0"/>
        </w:sectPr>
      </w:pPr>
    </w:p>
    <w:bookmarkStart w:id="12" w:name="page13"/>
    <w:bookmarkEnd w:id="12"/>
    <w:p>
      <w:pPr>
        <w:jc w:val="center"/>
        <w:ind w:left="6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620395</wp:posOffset>
            </wp:positionH>
            <wp:positionV relativeFrom="page">
              <wp:posOffset>466090</wp:posOffset>
            </wp:positionV>
            <wp:extent cx="291592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197485"/>
                    </a:xfrm>
                    <a:prstGeom prst="rect">
                      <a:avLst/>
                    </a:prstGeom>
                    <a:noFill/>
                  </pic:spPr>
                </pic:pic>
              </a:graphicData>
            </a:graphic>
          </wp:anchor>
        </w:drawing>
        <w:t>Fixed income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120015</wp:posOffset>
            </wp:positionV>
            <wp:extent cx="291592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5920" cy="6343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340360</wp:posOffset>
            </wp:positionV>
            <wp:extent cx="291592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59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194310</wp:posOffset>
            </wp:positionV>
            <wp:extent cx="291592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5920" cy="342900"/>
                    </a:xfrm>
                    <a:prstGeom prst="rect">
                      <a:avLst/>
                    </a:prstGeom>
                    <a:noFill/>
                  </pic:spPr>
                </pic:pic>
              </a:graphicData>
            </a:graphic>
          </wp:anchor>
        </w:drawing>
      </w:r>
    </w:p>
    <w:p>
      <w:pPr>
        <w:spacing w:after="0" w:line="304" w:lineRule="exact"/>
        <w:rPr>
          <w:sz w:val="20"/>
          <w:szCs w:val="20"/>
          <w:color w:val="auto"/>
        </w:rPr>
      </w:pPr>
    </w:p>
    <w:p>
      <w:pPr>
        <w:ind w:left="360"/>
        <w:spacing w:after="0" w:line="296" w:lineRule="auto"/>
        <w:rPr>
          <w:sz w:val="20"/>
          <w:szCs w:val="20"/>
          <w:color w:val="auto"/>
        </w:rPr>
      </w:pPr>
      <w:r>
        <w:rPr>
          <w:rFonts w:ascii="Times New Roman" w:cs="Times New Roman" w:eastAsia="Times New Roman" w:hAnsi="Times New Roman"/>
          <w:sz w:val="19"/>
          <w:szCs w:val="19"/>
          <w:color w:val="auto"/>
        </w:rPr>
        <w:t>U.S. Treasuries, U.S. government agencies, state and local obligations, non-U.S.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66675</wp:posOffset>
            </wp:positionV>
            <wp:extent cx="291592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15920" cy="342900"/>
                    </a:xfrm>
                    <a:prstGeom prst="rect">
                      <a:avLst/>
                    </a:prstGeom>
                    <a:noFill/>
                  </pic:spPr>
                </pic:pic>
              </a:graphicData>
            </a:graphic>
          </wp:anchor>
        </w:drawing>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Mortgage backed securities, asset backed securities</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Times New Roman" w:cs="Times New Roman" w:eastAsia="Times New Roman" w:hAnsi="Times New Roman"/>
          <w:sz w:val="20"/>
          <w:szCs w:val="20"/>
          <w:b w:val="1"/>
          <w:bCs w:val="1"/>
          <w:color w:val="auto"/>
        </w:rPr>
        <w:t>Examples of standard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-154305</wp:posOffset>
            </wp:positionV>
            <wp:extent cx="3653155"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53155" cy="909320"/>
                    </a:xfrm>
                    <a:prstGeom prst="rect">
                      <a:avLst/>
                    </a:prstGeom>
                    <a:noFill/>
                  </pic:spPr>
                </pic:pic>
              </a:graphicData>
            </a:graphic>
          </wp:anchor>
        </w:drawing>
      </w:r>
    </w:p>
    <w:p>
      <w:pPr>
        <w:spacing w:after="0" w:line="18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Trade execution data, live trading levels, cash flows, bids, offers, quotes, spreads, indices, Treasury curves, observed market movements, volatility, specific terms and conditions (collectively referred to as "standard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94615</wp:posOffset>
            </wp:positionV>
            <wp:extent cx="365315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53155" cy="342900"/>
                    </a:xfrm>
                    <a:prstGeom prst="rect">
                      <a:avLst/>
                    </a:prstGeom>
                    <a:noFill/>
                  </pic:spPr>
                </pic:pic>
              </a:graphicData>
            </a:graphic>
          </wp:anchor>
        </w:drawing>
      </w:r>
    </w:p>
    <w:p>
      <w:pPr>
        <w:spacing w:after="0" w:line="147"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Standard inputs and events affecting market sectors and individual issuer credit worthiness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81915</wp:posOffset>
            </wp:positionV>
            <wp:extent cx="3653155"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53155" cy="34290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Standard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194310</wp:posOffset>
            </wp:positionV>
            <wp:extent cx="365315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53155" cy="342900"/>
                    </a:xfrm>
                    <a:prstGeom prst="rect">
                      <a:avLst/>
                    </a:prstGeom>
                    <a:noFill/>
                  </pic:spPr>
                </pic:pic>
              </a:graphicData>
            </a:graphic>
          </wp:anchor>
        </w:drawing>
      </w:r>
    </w:p>
    <w:p>
      <w:pPr>
        <w:spacing w:after="0" w:line="304" w:lineRule="exact"/>
        <w:rPr>
          <w:sz w:val="20"/>
          <w:szCs w:val="20"/>
          <w:color w:val="auto"/>
        </w:rPr>
      </w:pPr>
    </w:p>
    <w:p>
      <w:pPr>
        <w:ind w:right="880"/>
        <w:spacing w:after="0" w:line="269" w:lineRule="auto"/>
        <w:rPr>
          <w:sz w:val="20"/>
          <w:szCs w:val="20"/>
          <w:color w:val="auto"/>
        </w:rPr>
      </w:pPr>
      <w:r>
        <w:rPr>
          <w:rFonts w:ascii="Times New Roman" w:cs="Times New Roman" w:eastAsia="Times New Roman" w:hAnsi="Times New Roman"/>
          <w:sz w:val="20"/>
          <w:szCs w:val="20"/>
          <w:color w:val="auto"/>
        </w:rPr>
        <w:t>Standard inputs, prepayment speeds, actual pool, and collateral information</w:t>
      </w:r>
    </w:p>
    <w:p>
      <w:pPr>
        <w:spacing w:after="0" w:line="200" w:lineRule="exact"/>
        <w:rPr>
          <w:sz w:val="20"/>
          <w:szCs w:val="20"/>
          <w:color w:val="auto"/>
        </w:rPr>
      </w:pPr>
    </w:p>
    <w:p>
      <w:pPr>
        <w:sectPr>
          <w:pgSz w:w="11900" w:h="16838" w:orient="portrait"/>
          <w:cols w:equalWidth="0" w:num="2">
            <w:col w:w="4560" w:space="500"/>
            <w:col w:w="5860"/>
          </w:cols>
          <w:pgMar w:left="660" w:top="747" w:right="319" w:bottom="1440" w:gutter="0" w:footer="0" w:header="0"/>
        </w:sectPr>
      </w:pPr>
    </w:p>
    <w:p>
      <w:pPr>
        <w:spacing w:after="0" w:line="1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U.S. and global equity securities in separately managed funds are categorized as Level 1 if the securities trade on national or international exchanges and are valued at their last reported closing price. If the securities do not trade on national or international exchanges they are categorized as Level 2 using significant observable inputs.</w:t>
      </w:r>
    </w:p>
    <w:p>
      <w:pPr>
        <w:spacing w:after="0" w:line="1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Transfers Between Levels - </w:t>
      </w:r>
      <w:r>
        <w:rPr>
          <w:rFonts w:ascii="Times New Roman" w:cs="Times New Roman" w:eastAsia="Times New Roman" w:hAnsi="Times New Roman"/>
          <w:sz w:val="20"/>
          <w:szCs w:val="20"/>
          <w:color w:val="auto"/>
        </w:rPr>
        <w:t>The availability of observable market data is monitored to assess the appropriate classification of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w:t>
      </w:r>
    </w:p>
    <w:p>
      <w:pPr>
        <w:spacing w:after="0" w:line="180"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Plan management evaluates the significance of transfers between levels based upon the nature of the financial instrument and size of the transfer relative to total net assets available for benefits. For the years ended December 31, 2016, and December 31, 2015, there were no transfers between levels.</w:t>
      </w:r>
    </w:p>
    <w:p>
      <w:pPr>
        <w:spacing w:after="0" w:line="198"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Short-Term and Commingled Funds </w:t>
      </w:r>
      <w:r>
        <w:rPr>
          <w:rFonts w:ascii="Times New Roman" w:cs="Times New Roman" w:eastAsia="Times New Roman" w:hAnsi="Times New Roman"/>
          <w:sz w:val="20"/>
          <w:szCs w:val="20"/>
          <w:color w:val="auto"/>
        </w:rPr>
        <w:t>- The funds held by the Plan have a daily redemption frequency and have no unfunded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commitments or notice period requirement for participants.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660" w:top="747" w:right="319" w:bottom="1440" w:gutter="0" w:footer="0" w:header="0"/>
          <w:type w:val="continuous"/>
        </w:sectPr>
      </w:pPr>
    </w:p>
    <w:bookmarkStart w:id="13" w:name="page14"/>
    <w:bookmarkEnd w:id="13"/>
    <w:p>
      <w:pPr>
        <w:spacing w:after="0" w:line="269" w:lineRule="auto"/>
        <w:rPr>
          <w:sz w:val="20"/>
          <w:szCs w:val="20"/>
          <w:color w:val="auto"/>
        </w:rPr>
      </w:pPr>
      <w:r>
        <w:rPr>
          <w:rFonts w:ascii="Times New Roman" w:cs="Times New Roman" w:eastAsia="Times New Roman" w:hAnsi="Times New Roman"/>
          <w:sz w:val="20"/>
          <w:szCs w:val="20"/>
          <w:color w:val="auto"/>
        </w:rPr>
        <w:t>The fair value of Plan assets by investment category and the corresponding level within the fair value hierarchy as of December 31, 2016 was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 Assets at Fair Value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26,406,180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26,406,180</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CSC common stock</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286,779,816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286,779,816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equity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11,503,256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11,503,256</w:t>
            </w:r>
          </w:p>
        </w:tc>
        <w:tc>
          <w:tcPr>
            <w:tcW w:w="0" w:type="dxa"/>
            <w:vAlign w:val="bottom"/>
          </w:tcPr>
          <w:p>
            <w:pPr>
              <w:spacing w:after="0"/>
              <w:rPr>
                <w:sz w:val="1"/>
                <w:szCs w:val="1"/>
                <w:color w:val="auto"/>
              </w:rPr>
            </w:pPr>
          </w:p>
        </w:tc>
      </w:tr>
      <w:tr>
        <w:trPr>
          <w:trHeight w:val="324"/>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57,965,794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57,965,794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8,931,269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8,931,269</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1,000,373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1,000,373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Non-U.S. government funds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1,452,861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1,452,861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35,870,871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35,870,871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and other mortgage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23,194,575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23,194,575</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47,128,127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47,128,127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Alternatives fund (mutual fund)</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65,657,534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65,657,534</w:t>
            </w:r>
          </w:p>
        </w:tc>
        <w:tc>
          <w:tcPr>
            <w:tcW w:w="0" w:type="dxa"/>
            <w:vAlign w:val="bottom"/>
          </w:tcPr>
          <w:p>
            <w:pPr>
              <w:spacing w:after="0"/>
              <w:rPr>
                <w:sz w:val="1"/>
                <w:szCs w:val="1"/>
                <w:color w:val="auto"/>
              </w:rPr>
            </w:pPr>
          </w:p>
        </w:tc>
      </w:tr>
      <w:tr>
        <w:trPr>
          <w:trHeight w:val="324"/>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Self-directed brokerage</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25,645,045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25,645,045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&amp; cash equivalents: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208,235,838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208,235,838</w:t>
            </w:r>
          </w:p>
        </w:tc>
        <w:tc>
          <w:tcPr>
            <w:tcW w:w="0" w:type="dxa"/>
            <w:vAlign w:val="bottom"/>
          </w:tcPr>
          <w:p>
            <w:pPr>
              <w:spacing w:after="0"/>
              <w:rPr>
                <w:sz w:val="1"/>
                <w:szCs w:val="1"/>
                <w:color w:val="auto"/>
              </w:rPr>
            </w:pPr>
          </w:p>
        </w:tc>
      </w:tr>
      <w:tr>
        <w:trPr>
          <w:trHeight w:val="324"/>
        </w:trPr>
        <w:tc>
          <w:tcPr>
            <w:tcW w:w="38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the fair value hierarchy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415,991,831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383,779,708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799,771,539</w:t>
            </w:r>
          </w:p>
        </w:tc>
        <w:tc>
          <w:tcPr>
            <w:tcW w:w="0" w:type="dxa"/>
            <w:vAlign w:val="bottom"/>
          </w:tcPr>
          <w:p>
            <w:pPr>
              <w:spacing w:after="0"/>
              <w:rPr>
                <w:sz w:val="1"/>
                <w:szCs w:val="1"/>
                <w:color w:val="auto"/>
              </w:rPr>
            </w:pPr>
          </w:p>
        </w:tc>
      </w:tr>
      <w:tr>
        <w:trPr>
          <w:trHeight w:val="324"/>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1,711,767,638</w:t>
            </w:r>
          </w:p>
        </w:tc>
        <w:tc>
          <w:tcPr>
            <w:tcW w:w="0" w:type="dxa"/>
            <w:vAlign w:val="bottom"/>
          </w:tcPr>
          <w:p>
            <w:pPr>
              <w:spacing w:after="0"/>
              <w:rPr>
                <w:sz w:val="1"/>
                <w:szCs w:val="1"/>
                <w:color w:val="auto"/>
              </w:rPr>
            </w:pPr>
          </w:p>
        </w:tc>
      </w:tr>
      <w:tr>
        <w:trPr>
          <w:trHeight w:val="324"/>
        </w:trPr>
        <w:tc>
          <w:tcPr>
            <w:tcW w:w="38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415,991,831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383,779,708</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2,511,539,177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660" w:top="576" w:right="399" w:bottom="1440" w:gutter="0" w:footer="0" w:header="0"/>
        </w:sectPr>
      </w:pPr>
    </w:p>
    <w:bookmarkStart w:id="14" w:name="page15"/>
    <w:bookmarkEnd w:id="14"/>
    <w:p>
      <w:pPr>
        <w:ind w:right="140"/>
        <w:spacing w:after="0" w:line="269" w:lineRule="auto"/>
        <w:rPr>
          <w:sz w:val="20"/>
          <w:szCs w:val="20"/>
          <w:color w:val="auto"/>
        </w:rPr>
      </w:pPr>
      <w:r>
        <w:rPr>
          <w:rFonts w:ascii="Times New Roman" w:cs="Times New Roman" w:eastAsia="Times New Roman" w:hAnsi="Times New Roman"/>
          <w:sz w:val="20"/>
          <w:szCs w:val="20"/>
          <w:color w:val="auto"/>
        </w:rPr>
        <w:t>The fair value of Plan assets by investment category and the corresponding level within the fair value hierarchy as of December 31, 2015 was as follows:</w:t>
      </w:r>
    </w:p>
    <w:p>
      <w:pPr>
        <w:spacing w:after="0" w:line="106"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 Assets at Fair Value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3"/>
                <w:szCs w:val="23"/>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20,151,164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20,151,164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CSC common stock</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188,304,219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188,304,219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CSRA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198,149,310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198,149,310</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equity</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32,351,808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32,351,808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51,010,616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51,010,616</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2,892,679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2,892,679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1,031,781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Non-U.S. government</w:t>
            </w: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1,881,541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1,881,541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42,677,873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42,677,873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and other mortgage backed securities</w:t>
            </w: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36,120,496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36,120,496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44,144,737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44,144,737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Alternatives fund (mutual fund)</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69,881,840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69,881,840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Self-directed brokerage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17,429,043</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213,209,240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213,209,240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 in the fair value hierarchy</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526,267,384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392,968,963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919,236,347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w:t>
            </w: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1,627,294,467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526,267,384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392,968,963</w:t>
            </w:r>
          </w:p>
        </w:tc>
        <w:tc>
          <w:tcPr>
            <w:tcW w:w="120" w:type="dxa"/>
            <w:vAlign w:val="bottom"/>
          </w:tcPr>
          <w:p>
            <w:pPr>
              <w:spacing w:after="0"/>
              <w:rPr>
                <w:sz w:val="22"/>
                <w:szCs w:val="22"/>
                <w:color w:val="auto"/>
              </w:rPr>
            </w:pP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2,546,530,814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Notes Receivable to Participants</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Plan allows participants to borrow from their vested account balances from a minimum of $1,000 to a maximum of 50% of their vested account balances up to $50,000, subject to certain limitations. The loans are secured by the balance in the participant account and bear interest at the prime rate quoted in the Wall Street Journal plus 1%. Loan terms range from 1-5 years or up to 15 years for purchase of a principal residence.</w:t>
      </w:r>
    </w:p>
    <w:p>
      <w:pPr>
        <w:spacing w:after="0" w:line="19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Loan amounts are taken from the participants' accounts according to a priority specified in the Plan's loan rules and, within each account, prorated from the funds based on their balances at the time. Loan principal repayments go back into the participants' accounts in the reverse order of the priority specified in the Plan's loan rules. Interest payments are prorated to the participants' accounts based on each account's outstanding principal. Both loan principal and interest repayments are invested according to the participant's current investment fund elections. Principal and interest are paid ratably through payroll deductions.</w:t>
      </w:r>
    </w:p>
    <w:p>
      <w:pPr>
        <w:spacing w:after="0" w:line="200" w:lineRule="exact"/>
        <w:rPr>
          <w:sz w:val="20"/>
          <w:szCs w:val="20"/>
          <w:color w:val="auto"/>
        </w:rPr>
      </w:pPr>
    </w:p>
    <w:p>
      <w:pPr>
        <w:spacing w:after="0" w:line="2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660" w:top="576"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Note 6 - Exempt Party-in-Interest Transactions</w:t>
      </w:r>
    </w:p>
    <w:p>
      <w:pPr>
        <w:spacing w:after="0" w:line="23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Certain investment funds are managed by The Bank of New York Mellon and by one of its management firms, Mellon Capital Management. The Bank of New York Mellon is the trustee as defined by the Plan and, therefore, these transactions qualify as exempt party-in-interest transactions. The trustee fees associated with the short-term investment fund managed by the trustee were paid by the Company and amounted to $3,000 for the year ended December 31, 2016. During the year ended December 31, 2016, the Plan expensed $158,370 to The Bank of New York Mellon's Mellon Capital Management for fund manager fees.</w:t>
      </w:r>
    </w:p>
    <w:p>
      <w:pPr>
        <w:spacing w:after="0" w:line="18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At December 31, 2016 and 2015, the Plan held 4,826,318 and 5,762,063 shares, respectively, of common stock of CSC, the sponsoring employer, with a cost basis of $120,173,088 and $142,886,305, respectively. The Plan received $2,795,405 in dividends from CSC common stock for the year ended December 31,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Reconciliation of Financial Statements to Form 5500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net assets available for benefits per the financial statements to the Form 5500:</w:t>
      </w:r>
    </w:p>
    <w:p>
      <w:pPr>
        <w:spacing w:after="0" w:line="158"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7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1"/>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6"/>
        </w:trPr>
        <w:tc>
          <w:tcPr>
            <w:tcW w:w="7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2015</w:t>
            </w:r>
          </w:p>
        </w:tc>
      </w:tr>
      <w:tr>
        <w:trPr>
          <w:trHeight w:val="21"/>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 per the financial statements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2,534,597,043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2,573,644,740</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Amounts allocated to withdrawing participants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(1,215,962)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(2,902,807)</w:t>
            </w:r>
          </w:p>
        </w:tc>
      </w:tr>
      <w:tr>
        <w:trPr>
          <w:trHeight w:val="21"/>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 per Form 5500</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2,533,381,081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2,570,741,933</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the net decrease in assets per the financial statements to the Form 5500 for the year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2016</w:t>
            </w:r>
          </w:p>
        </w:tc>
      </w:tr>
      <w:tr>
        <w:trPr>
          <w:trHeight w:val="21"/>
        </w:trPr>
        <w:tc>
          <w:tcPr>
            <w:tcW w:w="8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decrease in net assets per the financial statements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(39,047,697)</w:t>
            </w:r>
          </w:p>
        </w:tc>
      </w:tr>
      <w:tr>
        <w:trPr>
          <w:trHeight w:val="26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Distributions allocated to withdrawing participants at end of year</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(1,215,962)</w:t>
            </w:r>
          </w:p>
        </w:tc>
      </w:tr>
      <w:tr>
        <w:trPr>
          <w:trHeight w:val="21"/>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4"/>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Distributions allocated to withdrawing participants at start of year</w:t>
            </w:r>
          </w:p>
        </w:tc>
        <w:tc>
          <w:tcPr>
            <w:tcW w:w="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2,902,807</w:t>
            </w:r>
          </w:p>
        </w:tc>
      </w:tr>
      <w:tr>
        <w:trPr>
          <w:trHeight w:val="27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decrease in net assets per Form 5500</w:t>
            </w: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(37,360,852)</w:t>
            </w: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distributions to participants per the financial statements to the Form 5500, for the year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2016:</w:t>
      </w:r>
    </w:p>
    <w:p>
      <w:pPr>
        <w:spacing w:after="0" w:line="136"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8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2016</w:t>
            </w:r>
          </w:p>
        </w:tc>
      </w:tr>
      <w:tr>
        <w:trPr>
          <w:trHeight w:val="21"/>
        </w:trPr>
        <w:tc>
          <w:tcPr>
            <w:tcW w:w="8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6"/>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Distributions to participants per the financial statements</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418,010,674</w:t>
            </w:r>
          </w:p>
        </w:tc>
      </w:tr>
      <w:tr>
        <w:trPr>
          <w:trHeight w:val="21"/>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Amounts allocated to withdrawing participants at end of year</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1,215,962</w:t>
            </w:r>
          </w:p>
        </w:tc>
      </w:tr>
      <w:tr>
        <w:trPr>
          <w:trHeight w:val="26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Amounts allocated to withdrawing participants at start of year</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(2,902,807)</w:t>
            </w:r>
          </w:p>
        </w:tc>
      </w:tr>
      <w:tr>
        <w:trPr>
          <w:trHeight w:val="21"/>
        </w:trPr>
        <w:tc>
          <w:tcPr>
            <w:tcW w:w="8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3"/>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Distributions to participants per the Form 5500</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416,323,829</w:t>
            </w: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Amounts allocated to withdrawing participants are recorded as distributions on the Form 5500 for benefit claims that have been processed and approved for payment prior to year-end but not paid as of that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Subsequent Events</w:t>
      </w:r>
    </w:p>
    <w:p>
      <w:pPr>
        <w:spacing w:after="0" w:line="233"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9"/>
          <w:szCs w:val="19"/>
          <w:color w:val="auto"/>
        </w:rPr>
        <w:t>Prior to February 28, 2017, the Master Trust Agreement held investments in both the CSC Pension and CSC 401(k) plans. Effective February 28, 2017, the Master Trust Agreement was amended to hold investments only for those relating to CSC's 401(k) plan.</w:t>
      </w:r>
    </w:p>
    <w:p>
      <w:pPr>
        <w:spacing w:after="0" w:line="3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660" w:top="572" w:right="319" w:bottom="1440" w:gutter="0" w:footer="0" w:header="0"/>
        </w:sectPr>
      </w:pPr>
    </w:p>
    <w:bookmarkStart w:id="16" w:name="page17"/>
    <w:bookmarkEnd w:id="16"/>
    <w:p>
      <w:pPr>
        <w:ind w:right="140"/>
        <w:spacing w:after="0" w:line="254" w:lineRule="auto"/>
        <w:rPr>
          <w:sz w:val="20"/>
          <w:szCs w:val="20"/>
          <w:color w:val="auto"/>
        </w:rPr>
      </w:pPr>
      <w:r>
        <w:rPr>
          <w:rFonts w:ascii="Times New Roman" w:cs="Times New Roman" w:eastAsia="Times New Roman" w:hAnsi="Times New Roman"/>
          <w:sz w:val="20"/>
          <w:szCs w:val="20"/>
          <w:color w:val="auto"/>
        </w:rPr>
        <w:t>Effective March 3, 2017, the Plan was updated to add a Roth 401(k) feature. Participants may now elect to designate all or a part of their Compensation Deferral Contributions or Catch-Up Contributions as Roth Contributions, or roll over funds from another qualified Roth 401(k) account.</w:t>
      </w:r>
    </w:p>
    <w:p>
      <w:pPr>
        <w:spacing w:after="0" w:line="1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Effective April 1, 2017, CSC became a wholly owned subsidiary of DXC Technology Company ("DXC"), an independent public company formed in connection with the spin-off of the enterprise services business of the Hewlett Packard Enterprise Company ("HPE"). The CSC common stock held by the Plan was converted to DXC stock as part of this transaction. Sponsorship of the Plan was transferred to DXC and the Plan name was changed to the "DXC Technology Matched Asset Plan." In addition, pursuant to the Employee Matters Agreement entered into between HPE, CSC and DXC, CSC caused the Plan to accept eligible rollovers of the account balances of the employees of the enterprise services business of HPE from the HPE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660" w:top="576" w:right="2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Supplemental Schedule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of Assets Held</w:t>
      </w:r>
    </w:p>
    <w:p>
      <w:pPr>
        <w:spacing w:after="0" w:line="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Form 5500, Schedule H, Line 4i</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Computer Sciences Corporation</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EIN 95-2043126</w:t>
      </w:r>
    </w:p>
    <w:p>
      <w:pPr>
        <w:spacing w:after="0" w:line="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141" w:lineRule="exact"/>
        <w:rPr>
          <w:sz w:val="20"/>
          <w:szCs w:val="20"/>
          <w:color w:val="auto"/>
        </w:rPr>
      </w:pPr>
    </w:p>
    <w:p>
      <w:pPr>
        <w:ind w:left="480" w:hanging="435"/>
        <w:spacing w:after="0"/>
        <w:tabs>
          <w:tab w:leader="none" w:pos="480" w:val="left"/>
        </w:tabs>
        <w:numPr>
          <w:ilvl w:val="0"/>
          <w:numId w:val="6"/>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50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(e) Current Value</w:t>
            </w:r>
          </w:p>
        </w:tc>
        <w:tc>
          <w:tcPr>
            <w:tcW w:w="0" w:type="dxa"/>
            <w:vAlign w:val="bottom"/>
          </w:tcPr>
          <w:p>
            <w:pPr>
              <w:spacing w:after="0"/>
              <w:rPr>
                <w:sz w:val="1"/>
                <w:szCs w:val="1"/>
                <w:color w:val="auto"/>
              </w:rPr>
            </w:pPr>
          </w:p>
        </w:tc>
      </w:tr>
      <w:tr>
        <w:trPr>
          <w:trHeight w:val="13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17145</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220"/>
            <w:col w:w="7680"/>
          </w:cols>
          <w:pgMar w:left="240" w:top="114" w:right="259" w:bottom="1440" w:gutter="0" w:footer="0" w:header="0"/>
          <w:type w:val="continuous"/>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 w:type="dxa"/>
            <w:vAlign w:val="bottom"/>
            <w:shd w:val="clear" w:color="auto" w:fill="CCEEFF"/>
          </w:tcPr>
          <w:p>
            <w:pPr>
              <w:spacing w:after="0"/>
              <w:rPr>
                <w:sz w:val="23"/>
                <w:szCs w:val="23"/>
                <w:color w:val="auto"/>
              </w:rPr>
            </w:pPr>
          </w:p>
        </w:tc>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w:t>
            </w:r>
          </w:p>
        </w:tc>
        <w:tc>
          <w:tcPr>
            <w:tcW w:w="16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190,683,333</w:t>
            </w:r>
          </w:p>
        </w:tc>
      </w:tr>
      <w:tr>
        <w:trPr>
          <w:trHeight w:val="243"/>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The Bank of New York Mellon</w:t>
            </w: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 Short Term Invest Fd</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17,552,505</w:t>
            </w:r>
          </w:p>
        </w:tc>
      </w:tr>
      <w:tr>
        <w:trPr>
          <w:trHeight w:val="27"/>
        </w:trPr>
        <w:tc>
          <w:tcPr>
            <w:tcW w:w="2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208,235,838</w:t>
            </w:r>
          </w:p>
        </w:tc>
      </w:tr>
      <w:tr>
        <w:trPr>
          <w:trHeight w:val="351"/>
        </w:trPr>
        <w:tc>
          <w:tcPr>
            <w:tcW w:w="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 Sciences Corporation</w:t>
            </w:r>
          </w:p>
        </w:tc>
        <w:tc>
          <w:tcPr>
            <w:tcW w:w="3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(4,826,318 shares)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120,163,957</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286,734,716</w:t>
            </w:r>
          </w:p>
        </w:tc>
      </w:tr>
      <w:tr>
        <w:trPr>
          <w:trHeight w:val="243"/>
        </w:trPr>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 Sciences Corporation</w:t>
            </w: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MAP Pre 2004 Stale</w:t>
            </w:r>
          </w:p>
        </w:tc>
        <w:tc>
          <w:tcPr>
            <w:tcW w:w="1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9,131</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45,100</w:t>
            </w:r>
          </w:p>
        </w:tc>
      </w:tr>
      <w:tr>
        <w:trPr>
          <w:trHeight w:val="27"/>
        </w:trPr>
        <w:tc>
          <w:tcPr>
            <w:tcW w:w="2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Total CSC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286,779,816</w:t>
            </w:r>
          </w:p>
        </w:tc>
      </w:tr>
      <w:tr>
        <w:trPr>
          <w:trHeight w:val="351"/>
        </w:trPr>
        <w:tc>
          <w:tcPr>
            <w:tcW w:w="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Grantham, Mayo, Van Otterloo &amp; Co.</w:t>
            </w:r>
          </w:p>
        </w:tc>
        <w:tc>
          <w:tcPr>
            <w:tcW w:w="3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GMO BNCHMRK-FREE ALL SER</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32,806,511</w:t>
            </w:r>
          </w:p>
        </w:tc>
      </w:tr>
      <w:tr>
        <w:trPr>
          <w:trHeight w:val="243"/>
        </w:trPr>
        <w:tc>
          <w:tcPr>
            <w:tcW w:w="260" w:type="dxa"/>
            <w:vAlign w:val="bottom"/>
          </w:tcPr>
          <w:p>
            <w:pPr>
              <w:spacing w:after="0"/>
              <w:rPr>
                <w:sz w:val="21"/>
                <w:szCs w:val="21"/>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Pacific Investment Management Company</w:t>
            </w: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PIMCO ALL ASSETS ALL AUTH-IS</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32,851,023</w:t>
            </w:r>
          </w:p>
        </w:tc>
      </w:tr>
      <w:tr>
        <w:trPr>
          <w:trHeight w:val="27"/>
        </w:trPr>
        <w:tc>
          <w:tcPr>
            <w:tcW w:w="2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6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Total Registered Investments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65,657,534</w:t>
            </w:r>
          </w:p>
        </w:tc>
      </w:tr>
      <w:tr>
        <w:trPr>
          <w:trHeight w:val="27"/>
        </w:trPr>
        <w:tc>
          <w:tcPr>
            <w:tcW w:w="2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2947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4457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Computer Sciences Corporation</w:t>
      </w: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BlackRock</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Fidelity</w:t>
      </w:r>
    </w:p>
    <w:p>
      <w:pPr>
        <w:ind w:left="320" w:hanging="215"/>
        <w:spacing w:after="0" w:line="235" w:lineRule="auto"/>
        <w:tabs>
          <w:tab w:leader="none" w:pos="320" w:val="left"/>
        </w:tabs>
        <w:numPr>
          <w:ilvl w:val="0"/>
          <w:numId w:val="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Mellon Bank,N.A.</w:t>
      </w:r>
    </w:p>
    <w:p>
      <w:pPr>
        <w:spacing w:after="0" w:line="143" w:lineRule="exact"/>
        <w:rPr>
          <w:rFonts w:ascii="Times New Roman" w:cs="Times New Roman" w:eastAsia="Times New Roman" w:hAnsi="Times New Roman"/>
          <w:sz w:val="36"/>
          <w:szCs w:val="36"/>
          <w:color w:val="auto"/>
          <w:vertAlign w:val="subscript"/>
        </w:rPr>
      </w:pPr>
    </w:p>
    <w:p>
      <w:pPr>
        <w:ind w:left="320" w:hanging="215"/>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Mellon Bank,N.A.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Participant loans - Interest rates range</w:t>
            </w:r>
          </w:p>
        </w:tc>
        <w:tc>
          <w:tcPr>
            <w:tcW w:w="188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from 3.25% to 9.75%. Maturities range</w:t>
            </w:r>
          </w:p>
        </w:tc>
        <w:tc>
          <w:tcPr>
            <w:tcW w:w="1880" w:type="dxa"/>
            <w:vAlign w:val="bottom"/>
          </w:tcPr>
          <w:p>
            <w:pPr>
              <w:spacing w:after="0"/>
              <w:rPr>
                <w:sz w:val="18"/>
                <w:szCs w:val="18"/>
                <w:color w:val="auto"/>
              </w:rPr>
            </w:pPr>
          </w:p>
        </w:tc>
      </w:tr>
      <w:tr>
        <w:trPr>
          <w:trHeight w:val="33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from 2004</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to 2029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20,556,214</w:t>
            </w:r>
          </w:p>
        </w:tc>
      </w:tr>
      <w:tr>
        <w:trPr>
          <w:trHeight w:val="5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Blackrock Global Allocation Collective Fund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33,423,873</w:t>
            </w: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Pyramis Select Global Equity Commingled Funds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80,910,099</w:t>
            </w:r>
          </w:p>
        </w:tc>
      </w:tr>
      <w:tr>
        <w:trPr>
          <w:trHeight w:val="25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MCM International Country World Index EX US issued by Bank</w:t>
            </w:r>
          </w:p>
        </w:tc>
        <w:tc>
          <w:tcPr>
            <w:tcW w:w="1880" w:type="dxa"/>
            <w:vAlign w:val="bottom"/>
          </w:tcPr>
          <w:p>
            <w:pPr>
              <w:spacing w:after="0"/>
              <w:rPr>
                <w:sz w:val="21"/>
                <w:szCs w:val="2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of New York Mellon (EB DL ACWI)</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263,765,331</w:t>
            </w: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Mellon EB Daily Liquidity Stock Index Fund issued by BNYM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261,488,383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-805180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-462280</wp:posOffset>
            </wp:positionV>
            <wp:extent cx="722947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680"/>
          </w:cols>
          <w:pgMar w:left="240" w:top="114" w:right="259" w:bottom="144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00"/>
          </w:cols>
          <w:pgMar w:left="240" w:top="114" w:right="25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80" w:hanging="435"/>
        <w:spacing w:after="0"/>
        <w:tabs>
          <w:tab w:leader="none" w:pos="480" w:val="left"/>
        </w:tabs>
        <w:numPr>
          <w:ilvl w:val="0"/>
          <w:numId w:val="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50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520" w:space="220"/>
            <w:col w:w="766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60" w:type="dxa"/>
            <w:vAlign w:val="bottom"/>
            <w:tcBorders>
              <w:top w:val="single" w:sz="8" w:color="auto"/>
            </w:tcBorders>
            <w:shd w:val="clear" w:color="auto" w:fill="CCEEFF"/>
          </w:tcPr>
          <w:p>
            <w:pPr>
              <w:spacing w:after="0"/>
              <w:rPr>
                <w:sz w:val="20"/>
                <w:szCs w:val="20"/>
                <w:color w:val="auto"/>
              </w:rPr>
            </w:pPr>
          </w:p>
        </w:tc>
        <w:tc>
          <w:tcPr>
            <w:tcW w:w="2760" w:type="dxa"/>
            <w:vAlign w:val="bottom"/>
            <w:tcBorders>
              <w:top w:val="single" w:sz="8" w:color="auto"/>
            </w:tcBorders>
            <w:shd w:val="clear" w:color="auto" w:fill="CCEEFF"/>
          </w:tcPr>
          <w:p>
            <w:pPr>
              <w:spacing w:after="0"/>
              <w:rPr>
                <w:sz w:val="20"/>
                <w:szCs w:val="20"/>
                <w:color w:val="auto"/>
              </w:rPr>
            </w:pPr>
          </w:p>
        </w:tc>
        <w:tc>
          <w:tcPr>
            <w:tcW w:w="69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MCM Daily Liquidity Completion Fund issued by BNYM (EB</w:t>
            </w:r>
          </w:p>
        </w:tc>
        <w:tc>
          <w:tcPr>
            <w:tcW w:w="1460" w:type="dxa"/>
            <w:vAlign w:val="bottom"/>
            <w:tcBorders>
              <w:top w:val="single" w:sz="8" w:color="auto"/>
            </w:tcBorders>
            <w:shd w:val="clear" w:color="auto" w:fill="CCEEFF"/>
          </w:tcPr>
          <w:p>
            <w:pPr>
              <w:spacing w:after="0"/>
              <w:rPr>
                <w:sz w:val="20"/>
                <w:szCs w:val="20"/>
                <w:color w:val="auto"/>
              </w:rPr>
            </w:pPr>
          </w:p>
        </w:tc>
      </w:tr>
      <w:tr>
        <w:trPr>
          <w:trHeight w:val="241"/>
        </w:trPr>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Mellon Bank,N.A.</w:t>
            </w:r>
          </w:p>
        </w:tc>
        <w:tc>
          <w:tcPr>
            <w:tcW w:w="6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Daily Liquidity Market Completion Fund)</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59,270,470</w:t>
            </w:r>
          </w:p>
        </w:tc>
      </w:tr>
      <w:tr>
        <w:trPr>
          <w:trHeight w:val="225"/>
        </w:trPr>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Mellon TIPS Index Fund issued by BYNM (EB Daily Liquidity</w:t>
            </w:r>
          </w:p>
        </w:tc>
        <w:tc>
          <w:tcPr>
            <w:tcW w:w="1460" w:type="dxa"/>
            <w:vAlign w:val="bottom"/>
          </w:tcPr>
          <w:p>
            <w:pPr>
              <w:spacing w:after="0"/>
              <w:rPr>
                <w:sz w:val="19"/>
                <w:szCs w:val="19"/>
                <w:color w:val="auto"/>
              </w:rPr>
            </w:pP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Mellon Bank,N.A.</w:t>
            </w: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Non-SL)</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48,460,668</w:t>
            </w:r>
          </w:p>
        </w:tc>
      </w:tr>
      <w:tr>
        <w:trPr>
          <w:trHeight w:val="27"/>
        </w:trPr>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Target Series Retirement Fund issued by SSgA (Target</w:t>
            </w:r>
          </w:p>
        </w:tc>
        <w:tc>
          <w:tcPr>
            <w:tcW w:w="1460" w:type="dxa"/>
            <w:vAlign w:val="bottom"/>
            <w:shd w:val="clear" w:color="auto" w:fill="CCEEFF"/>
          </w:tcPr>
          <w:p>
            <w:pPr>
              <w:spacing w:after="0"/>
              <w:rPr>
                <w:sz w:val="19"/>
                <w:szCs w:val="19"/>
                <w:color w:val="auto"/>
              </w:rPr>
            </w:pP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Retirement Income)</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51,136,643</w:t>
            </w:r>
          </w:p>
        </w:tc>
      </w:tr>
      <w:tr>
        <w:trPr>
          <w:trHeight w:val="225"/>
        </w:trPr>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Target Series Retirement 2015 Fund issued by SSgA (Target</w:t>
            </w:r>
          </w:p>
        </w:tc>
        <w:tc>
          <w:tcPr>
            <w:tcW w:w="146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Retirement 2015 SL)</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80,307,396</w:t>
            </w:r>
          </w:p>
        </w:tc>
      </w:tr>
      <w:tr>
        <w:trPr>
          <w:trHeight w:val="27"/>
        </w:trPr>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Target Series Retirement 2020 Fund issued by SSgA (Target</w:t>
            </w:r>
          </w:p>
        </w:tc>
        <w:tc>
          <w:tcPr>
            <w:tcW w:w="1460" w:type="dxa"/>
            <w:vAlign w:val="bottom"/>
            <w:shd w:val="clear" w:color="auto" w:fill="CCEEFF"/>
          </w:tcPr>
          <w:p>
            <w:pPr>
              <w:spacing w:after="0"/>
              <w:rPr>
                <w:sz w:val="19"/>
                <w:szCs w:val="19"/>
                <w:color w:val="auto"/>
              </w:rPr>
            </w:pP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Retirement 2020 SL)</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187,087,370</w:t>
            </w:r>
          </w:p>
        </w:tc>
      </w:tr>
      <w:tr>
        <w:trPr>
          <w:trHeight w:val="225"/>
        </w:trPr>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Target Series Retirement 2025 Fund issued by SSgA (Target</w:t>
            </w:r>
          </w:p>
        </w:tc>
        <w:tc>
          <w:tcPr>
            <w:tcW w:w="146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Retirement 2025 SL)</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213,236,259</w:t>
            </w:r>
          </w:p>
        </w:tc>
      </w:tr>
      <w:tr>
        <w:trPr>
          <w:trHeight w:val="27"/>
        </w:trPr>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Target Series Retirement 2030 Fund issued by SSgA (Target</w:t>
            </w:r>
          </w:p>
        </w:tc>
        <w:tc>
          <w:tcPr>
            <w:tcW w:w="1460" w:type="dxa"/>
            <w:vAlign w:val="bottom"/>
            <w:shd w:val="clear" w:color="auto" w:fill="CCEEFF"/>
          </w:tcPr>
          <w:p>
            <w:pPr>
              <w:spacing w:after="0"/>
              <w:rPr>
                <w:sz w:val="19"/>
                <w:szCs w:val="19"/>
                <w:color w:val="auto"/>
              </w:rPr>
            </w:pP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Retirement 2030 SL)</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165,077,628</w:t>
            </w:r>
          </w:p>
        </w:tc>
      </w:tr>
      <w:tr>
        <w:trPr>
          <w:trHeight w:val="225"/>
        </w:trPr>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Target Series Retirement 2035 Fund issued by SSgA (Target</w:t>
            </w:r>
          </w:p>
        </w:tc>
        <w:tc>
          <w:tcPr>
            <w:tcW w:w="146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Retirement 2035 SL)</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114,976,168</w:t>
            </w:r>
          </w:p>
        </w:tc>
      </w:tr>
      <w:tr>
        <w:trPr>
          <w:trHeight w:val="27"/>
        </w:trPr>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Target Series Retirement 2040 Fund issued by SSgA (Target</w:t>
            </w:r>
          </w:p>
        </w:tc>
        <w:tc>
          <w:tcPr>
            <w:tcW w:w="1460" w:type="dxa"/>
            <w:vAlign w:val="bottom"/>
            <w:shd w:val="clear" w:color="auto" w:fill="CCEEFF"/>
          </w:tcPr>
          <w:p>
            <w:pPr>
              <w:spacing w:after="0"/>
              <w:rPr>
                <w:sz w:val="19"/>
                <w:szCs w:val="19"/>
                <w:color w:val="auto"/>
              </w:rPr>
            </w:pP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Retirement 2040 SL)</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75,733,466</w:t>
            </w:r>
          </w:p>
        </w:tc>
      </w:tr>
      <w:tr>
        <w:trPr>
          <w:trHeight w:val="225"/>
        </w:trPr>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Target Series Retirement 2045 Fund issued by SSgA (Target</w:t>
            </w:r>
          </w:p>
        </w:tc>
        <w:tc>
          <w:tcPr>
            <w:tcW w:w="146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Retirement 2045 SL)</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35,627,107</w:t>
            </w:r>
          </w:p>
        </w:tc>
      </w:tr>
      <w:tr>
        <w:trPr>
          <w:trHeight w:val="27"/>
        </w:trPr>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Target Series Retirement 2050 Fund issued by SSgA (Target</w:t>
            </w:r>
          </w:p>
        </w:tc>
        <w:tc>
          <w:tcPr>
            <w:tcW w:w="1460" w:type="dxa"/>
            <w:vAlign w:val="bottom"/>
            <w:shd w:val="clear" w:color="auto" w:fill="CCEEFF"/>
          </w:tcPr>
          <w:p>
            <w:pPr>
              <w:spacing w:after="0"/>
              <w:rPr>
                <w:sz w:val="19"/>
                <w:szCs w:val="19"/>
                <w:color w:val="auto"/>
              </w:rPr>
            </w:pP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Retirement 2050 SL)</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28,334,924</w:t>
            </w:r>
          </w:p>
        </w:tc>
      </w:tr>
      <w:tr>
        <w:trPr>
          <w:trHeight w:val="225"/>
        </w:trPr>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Target Series Retirement 2055 Fund issued by SSgA (Target</w:t>
            </w:r>
          </w:p>
        </w:tc>
        <w:tc>
          <w:tcPr>
            <w:tcW w:w="146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Retirement 2055)</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2,656,554</w:t>
            </w:r>
          </w:p>
        </w:tc>
      </w:tr>
      <w:tr>
        <w:trPr>
          <w:trHeight w:val="27"/>
        </w:trPr>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Target Series Retirement 2060 Fund issued by SSgA (Target</w:t>
            </w:r>
          </w:p>
        </w:tc>
        <w:tc>
          <w:tcPr>
            <w:tcW w:w="1460" w:type="dxa"/>
            <w:vAlign w:val="bottom"/>
            <w:shd w:val="clear" w:color="auto" w:fill="CCEEFF"/>
          </w:tcPr>
          <w:p>
            <w:pPr>
              <w:spacing w:after="0"/>
              <w:rPr>
                <w:sz w:val="19"/>
                <w:szCs w:val="19"/>
                <w:color w:val="auto"/>
              </w:rPr>
            </w:pP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Street Global Advisor</w:t>
            </w:r>
          </w:p>
        </w:tc>
        <w:tc>
          <w:tcPr>
            <w:tcW w:w="6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Retirement 2060)</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7,593,617</w:t>
            </w:r>
          </w:p>
        </w:tc>
      </w:tr>
      <w:tr>
        <w:trPr>
          <w:trHeight w:val="243"/>
        </w:trPr>
        <w:tc>
          <w:tcPr>
            <w:tcW w:w="26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 Rowe Price</w:t>
            </w: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 Rowe Price Stable Value Common Trust Fund</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2,681,682</w:t>
            </w:r>
          </w:p>
        </w:tc>
      </w:tr>
      <w:tr>
        <w:trPr>
          <w:trHeight w:val="27"/>
        </w:trPr>
        <w:tc>
          <w:tcPr>
            <w:tcW w:w="2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6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6920" w:type="dxa"/>
            <w:vAlign w:val="bottom"/>
            <w:shd w:val="clear" w:color="auto" w:fill="CCEEFF"/>
          </w:tcPr>
          <w:p>
            <w:pPr>
              <w:ind w:left="4200"/>
              <w:spacing w:after="0"/>
              <w:rPr>
                <w:sz w:val="20"/>
                <w:szCs w:val="20"/>
                <w:color w:val="auto"/>
              </w:rPr>
            </w:pPr>
            <w:r>
              <w:rPr>
                <w:rFonts w:ascii="Times New Roman" w:cs="Times New Roman" w:eastAsia="Times New Roman" w:hAnsi="Times New Roman"/>
                <w:sz w:val="18"/>
                <w:szCs w:val="18"/>
                <w:color w:val="auto"/>
              </w:rPr>
              <w:t>Total Interest in Commingled Funds</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1,711,767,638</w:t>
            </w:r>
          </w:p>
        </w:tc>
      </w:tr>
      <w:tr>
        <w:trPr>
          <w:trHeight w:val="27"/>
        </w:trPr>
        <w:tc>
          <w:tcPr>
            <w:tcW w:w="2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00"/>
          </w:cols>
          <w:pgMar w:left="240" w:top="114" w:right="25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9"/>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21ST CENTURY FOX AMERICA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2/23/2025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46,038</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21ST CENTURY FOX AMERICA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1/20/2024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36,935</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21ST CENTURY FOX AMERICA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25,304</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ABBVIE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11/6/2042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64,912</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ABBVIE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5/14/2036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38,116</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ABBVIE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5/14/2045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34,340</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ACTAVIS FUNDING SCS</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633,664</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ACTAVIS FUNDING SCS</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3/12/2018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236,359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ACTAVIS FUNDING SCS</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70,685</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ACTAVIS FUNDING SCS</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65,077</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ACTAVIS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10/1/2017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275,526</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AERCAP IRELAND CAPITAL DAC / A</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159,598</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AETNA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158,283</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AETNA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6/7/2019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34,920</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AETNA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9,850</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AGRIUM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3/15/2035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13,753</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AIR LEASE CORP</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59,105</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AIR LEASE CORP</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45,623</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AIR LEASE CORP</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28,662</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ALTRIA GROUP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1/31/2044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77,393</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AMAZON.COM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12/5/2034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94,657</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AMAZON.COM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12/5/2044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38,779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AMAZON.COM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12/5/2024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31,525</w:t>
            </w:r>
          </w:p>
        </w:tc>
      </w:tr>
      <w:tr>
        <w:trPr>
          <w:trHeight w:val="486"/>
        </w:trPr>
        <w:tc>
          <w:tcPr>
            <w:tcW w:w="3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S-3</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0"/>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60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AMERICAN AIRLINES 2015-1 CLASS</w:t>
            </w:r>
          </w:p>
        </w:tc>
        <w:tc>
          <w:tcPr>
            <w:tcW w:w="164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w:t>
            </w:r>
          </w:p>
        </w:tc>
        <w:tc>
          <w:tcPr>
            <w:tcW w:w="206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11/1/2028</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64,070</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AMERICAN HONDA FINANCE CORP</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8/15/2019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35,341</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AMERICAN INTERNATIONAL GROUP I</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1/15/2055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76,959</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AMERICAN INTERNATIONAL GROUP I</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21,369</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AMERICAN TOWER CORP</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105,251</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AMERICAN TOWER CORP</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104,173</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AMERICAN TOWER CORP</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37,094</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AMERICAN TRANSMISSION SYS 144A</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1/15/2022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249,016</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AMGEN INC</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8/19/2026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133,362</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AMGEN INC 144A</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6/15/2048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49,330</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ANALOG DEVICES INC</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44,584</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ANHEUSER-BUSCH INBEV FINANCE I</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182,667</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ANHEUSER-BUSCH INBEV FINANCE I</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171,567</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ANHEUSER-BUSCH INBEV FINANCE I</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103,809</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ANHEUSER-BUSCH INBEV FINANCE I</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2/1/2036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84,149</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ANHEUSER-BUSCH INBEV FINANCE I</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75,431</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ANHEUSER-BUSCH WORLDWIDE</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31,479</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AON PLC</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50,964</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AON PLC</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35,377</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AON PLC</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6/14/2044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19,759</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APACHE CORP</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1/15/2037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39,105</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APACHE CORP</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25,108</w:t>
            </w: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APPLE INC</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5/4/2043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108,056</w:t>
            </w:r>
          </w:p>
        </w:tc>
      </w:tr>
      <w:tr>
        <w:trPr>
          <w:trHeight w:val="459"/>
        </w:trPr>
        <w:tc>
          <w:tcPr>
            <w:tcW w:w="3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S-4</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APPLE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8/4/2046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81,442</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APPLE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2/9/2045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44,132</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APPLE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2/23/2046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37,795</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APPLE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2/23/2026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35,019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ARCH CAPITAL FINANCE LLC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25,360</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AT&amp;T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188,983</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AT&amp;T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53,462</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AT&amp;T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52,122</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AT&amp;T INC</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48,308</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AT&amp;T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4,737</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AVIATION CAPITAL GROUP CO 144A</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9/17/2018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151,875</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AVNET INC</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9,743</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BAE SYSTEMS HOLDINGS INC 144A</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25,497</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310,389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3/22/2018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276,851</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10/21/2022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193,425</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4/21/2025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171,224</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4/21/2020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170,997</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140,323</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136,209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129,094</w:t>
            </w:r>
          </w:p>
        </w:tc>
      </w:tr>
      <w:tr>
        <w:trPr>
          <w:trHeight w:val="27"/>
        </w:trPr>
        <w:tc>
          <w:tcPr>
            <w:tcW w:w="3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98,226</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97,977</w:t>
            </w:r>
          </w:p>
        </w:tc>
      </w:tr>
      <w:tr>
        <w:trPr>
          <w:trHeight w:val="486"/>
        </w:trPr>
        <w:tc>
          <w:tcPr>
            <w:tcW w:w="3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S-5</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4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206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1/11/2023</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90,301</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76,107</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AMERICA CORP</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4/25/2018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37,202</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NEW YORK MELLON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196,980</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NEW YORK MELLON CORP</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137,598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NEW YORK MELLON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2/24/2025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103,254</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OF NEW YORK MELLON CORP</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10/30/2028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33,279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BARCLAYS PLC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8/17/2045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214,138</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BARCLAYS PLC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5/12/2026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203,310</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BAXALTA INC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6/23/2025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86,251</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BAXALTA INC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6/23/2020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49,988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BAXALTA INC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6/23/2045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14,944</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BECTON DICKINSON AND CO</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12/15/2017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16,036</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BECTON DICKINSON AND CO</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14,205</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BECTON DICKINSON AND CO</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12/15/2024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10,226</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BERKSHIRE HATHAWAY ENERGY CO</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9/15/2037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260,336</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BERKSHIRE HATHAWAY INC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34,869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BERKSHIRE HATHAWAY INC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24,838</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BIOGEN INC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9/15/2022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71,853</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BIOGEN INC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10,701</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BMW US CAPITAL LLC 144A</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4/11/2019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81,222</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BOEING CO/THE</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4,642</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BOSTON PROPERTIES LP</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36,573</w:t>
            </w:r>
          </w:p>
        </w:tc>
      </w:tr>
      <w:tr>
        <w:trPr>
          <w:trHeight w:val="459"/>
        </w:trPr>
        <w:tc>
          <w:tcPr>
            <w:tcW w:w="3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S-6</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3"/>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BOSTON SCIENTIFIC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50,098</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BPCE SA 144A</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10/22/2023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210,257</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BURLINGTON NORTHERN SANTA FE</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40,564</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CALIFORNIA INSTITUTE OF TECHNO</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115,924</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CANADIAN NATURAL RESOURCES</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3/15/2038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79,636</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CANADIAN NATURAL RESOURCES</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21,062</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ONE FINANCIAL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7/28/2026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145,409</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CAPITAL ONE FINANCIAL CORP</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10/29/2025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129,429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ONE FINANCIAL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111,462</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CAPITAL ONE NA/MCLEAN VA</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2/5/2018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249,515</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CDP FINANCIAL INC 144A</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11/25/2019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554,743</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CF INDUSTRIES INC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52,820</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CF INDUSTRIES INC 144A</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117,947</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CHARLES SCHWAB CORP/THE</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192,700</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CHARTER COMMUNICATIONS</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10/23/2035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176,984</w:t>
            </w:r>
          </w:p>
        </w:tc>
      </w:tr>
      <w:tr>
        <w:trPr>
          <w:trHeight w:val="27"/>
        </w:trPr>
        <w:tc>
          <w:tcPr>
            <w:tcW w:w="52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CHARTER COMMUNICATIONS OPERATI 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7/23/2025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163,359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CHARTER COMMUNICATIONS</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10/23/2045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161,851</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CHARTER COMMUNICATIONS</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7/23/2022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124,359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CHARTER COMMUNICATIONS</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10/23/2055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41,031</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CIGNA CORP</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38,958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CISCO SYSTEMS INC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2/28/2021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154,666</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CITIGROUP INC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2/5/2018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274,846</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CITIGROUP INC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12/7/2018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120,986</w:t>
            </w:r>
          </w:p>
        </w:tc>
      </w:tr>
      <w:tr>
        <w:trPr>
          <w:trHeight w:val="486"/>
        </w:trPr>
        <w:tc>
          <w:tcPr>
            <w:tcW w:w="3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S-7</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4"/>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CITIGROUP INC</w:t>
            </w:r>
          </w:p>
        </w:tc>
        <w:tc>
          <w:tcPr>
            <w:tcW w:w="166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top w:val="single" w:sz="8" w:color="auto"/>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7/29/2019</w:t>
            </w:r>
          </w:p>
        </w:tc>
        <w:tc>
          <w:tcPr>
            <w:tcW w:w="1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90,617</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CITIZENS FINANCIAL GROUP INC</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2.380%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7/28/2021</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9,806</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CMS ENERGY CORP</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3/1/2044</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128,645</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CMS ENERGY CORP</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5/15/2026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24,061</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COMCAST CORP</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1,448,807</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COMCAST CORP</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7/15/2046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305,659</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COMCAST CORP</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3/1/2026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172,668</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COMCAST CORP</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2.350%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1/15/2027</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73,746</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COOPERATIEVE RABOBANK UA/NY</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1/19/2021</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249,960</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 FINANCIERA DE DESARR 144A</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4.750%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7/15/2025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208,250</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COVENTRY HEALTH CARE INC</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5.450%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6/15/2021</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205,444</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COX COMMUNICATIONS INC 144A</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3.350%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9/15/2026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124,142</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COX COMMUNICATIONS INC 144A</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8.380%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3/1/2039</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43,648</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SUISSE AG/NEW YORK NY</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5/26/2017</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275,064</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CREDIT SUISSE GROUP FUNDING GU</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4/16/2021</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251,578</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SUISSE NY INSTL C/D</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8/4/2017</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362,000</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CROWN CASTLE INTERNATIONAL</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9/1/2021</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24,186</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CROWN CASTLE INTERNATIONAL</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2/15/2021</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10,148</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CROWN CASTLE INTERNATIONAL</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6/15/2026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9,815</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CROWN CASTLE TOWERS LLC 144A</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6.110%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1/15/2040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503,809</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CVS HEALTH CORP</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5.130%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7/20/2045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122,589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CVS HEALTH CORP</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12/5/2043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39,658</w:t>
            </w:r>
          </w:p>
        </w:tc>
      </w:tr>
      <w:tr>
        <w:trPr>
          <w:trHeight w:val="27"/>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DAIMLER FINANCE NORTH AME 144A</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7/5/2019</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150,533</w:t>
            </w:r>
          </w:p>
        </w:tc>
      </w:tr>
      <w:tr>
        <w:trPr>
          <w:trHeight w:val="459"/>
        </w:trPr>
        <w:tc>
          <w:tcPr>
            <w:tcW w:w="3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S-8</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DANONE SA 144A</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195,628</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DELPHI AUTOMOTIVE PLC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DELPHI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13,399</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DEUTSCHE BANK AG/LONDON</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5/30/2017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264,426</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DEUTSCHE BANK AG/LONDON</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2/13/2017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79,974</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DEVON ENERGY CORP</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21,611</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DIAMOND 1 FINANCE CORP / 144A</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64,998</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DIAMOND 1 FINANCE CORP / 144A</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47,733</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DIAMOND 1 FINANCE CORP / 144A</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7/15/2036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23,792</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DIAMOND 1 FINANCE CORP / 144A</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18,469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DISCOVER BANK</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6/4/2020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252,997</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DISCOVER BANK</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11/13/2018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252,168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DISCOVERY COMMUNICATIONS LLC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110,891</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DISCOVERY COMMUNICATIONS LLC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3/11/2026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31,591</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DISCOVERY COMMUNICATIONS LLC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22,909</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DISCOVERY COMMUNICATIONS LLC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2,147</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DOMINION GAS HOLDINGS LLC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70,643</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DORIC NIMROD AIR ALPHA 20 144A</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5/30/2025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151,658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DOW CHEMICAL CO/THE</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11/15/2042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12,619</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DTE ELECTRIC CO</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133,855</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DUKE ENERGY CAROLINAS LLC</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201,666</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DUKE ENERGY CAROLINAS LLC</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52,356</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DUKE ENERGY CORP</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61,874</w:t>
            </w:r>
          </w:p>
        </w:tc>
      </w:tr>
      <w:tr>
        <w:trPr>
          <w:trHeight w:val="486"/>
        </w:trPr>
        <w:tc>
          <w:tcPr>
            <w:tcW w:w="3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S-9</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6"/>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4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DUKE ENERGY FLORIDA LLC</w:t>
            </w:r>
          </w:p>
        </w:tc>
        <w:tc>
          <w:tcPr>
            <w:tcW w:w="168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6.400%</w:t>
            </w:r>
          </w:p>
        </w:tc>
        <w:tc>
          <w:tcPr>
            <w:tcW w:w="206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6/15/2038</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98,889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DUKE ENERGY PROGRESS LLC</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104,319</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DUKE UNIVERSITY</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10/1/2048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51,193</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EASTMAN CHEMICAL CO</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34,289</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EATON CORP</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127,072</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EATON CORP</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11/2/2022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101,024</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EL PASO NATURAL GAS CO LLC</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182,023</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EMERA US FINANCE LP 144A</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10,084</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EMERA US FINANCE LP 144A</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9,983</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EMERA US FINANCE LP 144A</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9,830</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ENBRIDGE ENERGY PARTNERS LP</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18,954</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ENBRIDGE ENERGY PARTNERS LP</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13,644</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ENBRIDGE INC</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6/10/2024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19,478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ENERGY TRANSFER PARTNERS LP</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140,180</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ENERGY TRANSFER PARTNERS LP</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120,769</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ENERGY TRANSFER PARTNERS LP</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57,545</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ENERGY TRANSFER PARTNERS LP</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5,172</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ENTERGY CORP</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28,063</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ENTERPRISE PRODUCTS OPERATING</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56,458</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EOG RESOURCES INC</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23,676</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EOG RESOURCES INC</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5,232</w:t>
            </w:r>
          </w:p>
        </w:tc>
      </w:tr>
      <w:tr>
        <w:trPr>
          <w:trHeight w:val="243"/>
        </w:trPr>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EXELON CORP</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44,261</w:t>
            </w:r>
          </w:p>
        </w:tc>
      </w:tr>
      <w:tr>
        <w:trPr>
          <w:trHeight w:val="27"/>
        </w:trPr>
        <w:tc>
          <w:tcPr>
            <w:tcW w:w="3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EXELON CORP</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35,374</w:t>
            </w:r>
          </w:p>
        </w:tc>
      </w:tr>
      <w:tr>
        <w:trPr>
          <w:trHeight w:val="459"/>
        </w:trPr>
        <w:tc>
          <w:tcPr>
            <w:tcW w:w="3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S-10</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7"/>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EXELON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23,340</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EXELON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9,812</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EXELON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4,940</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FEDEX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40,308</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FEDEX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33,708</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FEDEX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31,944</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FIDELITY NATIONAL INFORMATION</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979,160</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FIDELITY NATIONAL INFORMATION</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31,585</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FIDELITY NATIONAL INFORMATION</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20,255</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FLORIDA POWER &amp; LIGHT CO</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2/1/2038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115,353</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FLORIDA POWER &amp; LIGHT CO</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39,931</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FORD MOTOR CREDIT CO LLC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12/6/2017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254,807</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FORD MOTOR CREDIT CO LLC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1/8/2019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212,397</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FOREST LABORATORIES LLC 144A</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9,352</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GENERAL DYNAMICS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23,095</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GENERAL ELECTRIC CO</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120,229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GENERAL MOTORS FINANCIAL CO IN</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176,097</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GENERAL MOTORS FINANCIAL CO IN</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7/6/2021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154,698</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GENERAL MOTORS FINANCIAL CO IN</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4/10/2022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84,059</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GILEAD SCIENCES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67,494</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GILEAD SCIENCES INC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56,988</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GILEAD SCIENCES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39,318</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GILEAD SCIENCES INC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14,465</w:t>
            </w:r>
          </w:p>
        </w:tc>
      </w:tr>
      <w:tr>
        <w:trPr>
          <w:trHeight w:val="486"/>
        </w:trPr>
        <w:tc>
          <w:tcPr>
            <w:tcW w:w="3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S-11</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6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2.380%</w:t>
            </w:r>
          </w:p>
        </w:tc>
        <w:tc>
          <w:tcPr>
            <w:tcW w:w="206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1/22/2018</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319,891</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7/8/2044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194,218</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10/21/2025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177,772</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68,374</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2/25/2026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55,162</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10/21/2045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36,948</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9/15/2020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35,151</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GOLDMAN SACHS GROUP INC/THE</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5/22/2045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31,550</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GTE CORP</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4/15/2028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24,935</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HALLIBURTON CO</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69,020</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HALLIBURTON CO</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22,350</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HARRIS CORP</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4/27/2035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84,051</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HARRIS CORP</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4/27/2045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81,298</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HARRIS CORP</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4/27/2020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24,973</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HARTFORD FINANCIAL SERVICES GR</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20,379</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HESS CORP</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36,324</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HEWLETT PACKARD ENTERPRISE CO</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10/15/2020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152,597</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HEWLETT PACKARD ENTERPRISE CO</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10/5/2018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131,257</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HONEYWELL INTERNATIONAL INC</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94,654</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HOST HOTELS &amp; RESORTS LP</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229,145</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HSBC HOLDINGS PLC</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11/23/2026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221,633</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HSBC USA INC</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8/7/2020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240,476</w:t>
            </w:r>
          </w:p>
        </w:tc>
      </w:tr>
      <w:tr>
        <w:trPr>
          <w:trHeight w:val="27"/>
        </w:trPr>
        <w:tc>
          <w:tcPr>
            <w:tcW w:w="3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HYUNDAI CAPITAL AMERICA 144A</w:t>
            </w:r>
          </w:p>
        </w:tc>
        <w:tc>
          <w:tcPr>
            <w:tcW w:w="1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10/30/2020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147,013</w:t>
            </w:r>
          </w:p>
        </w:tc>
      </w:tr>
      <w:tr>
        <w:trPr>
          <w:trHeight w:val="459"/>
        </w:trPr>
        <w:tc>
          <w:tcPr>
            <w:tcW w:w="3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S-12</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19"/>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HYUNDAI CAPITAL AMERICA 144A</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10/30/2018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55,229</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HYUNDAI CAPITAL AMERICA 144A</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3/18/2019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30,080</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ICAHN ENTERPRISES LP / ICAHN E</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3/15/2017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45,084</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ING BANK NV 144A</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3/7/2017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492,072</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IBM</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11/9/2022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110,710</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JABIL CIRCUIT INC</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187,437</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JOHN DEERE CAPITAL CORP</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3/6/2023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120,003</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739,933</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472,472</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214,318</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205,538</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1/25/2018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201,307</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10/1/2027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185,964</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5/18/2023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107,623</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JPMORGAN CHASE &amp; CO</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10/24/2023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61,198</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JUNIPER NETWORKS INC</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KEYCORP</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35,415</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KINDER MORGAN ENERGY</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109,642</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KINDER MORGAN ENERGY</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8/15/2042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28,672</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KINDER MORGAN INC/DE</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2/15/2046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69,293</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KLA-TENCOR CORP</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4,234</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KRAFT HEINZ FOODS CO</w:t>
            </w:r>
          </w:p>
        </w:tc>
        <w:tc>
          <w:tcPr>
            <w:tcW w:w="1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52,341</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KRAFT HEINZ FOODS CO</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46,942</w:t>
            </w:r>
          </w:p>
        </w:tc>
      </w:tr>
      <w:tr>
        <w:trPr>
          <w:trHeight w:val="486"/>
        </w:trPr>
        <w:tc>
          <w:tcPr>
            <w:tcW w:w="3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S-13</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0"/>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KRAFT HEINZ FOODS CO</w:t>
            </w:r>
          </w:p>
        </w:tc>
        <w:tc>
          <w:tcPr>
            <w:tcW w:w="164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4.380%</w:t>
            </w:r>
          </w:p>
        </w:tc>
        <w:tc>
          <w:tcPr>
            <w:tcW w:w="200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6/1/2046</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9,410</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KREDITANSTALT FUER WIEDERAUF</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2/6/2019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264,869</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LAM RESEARCH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19,021</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LAM RESEARCH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9,946</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LOCKHEED MARTIN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3.550%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5/15/2036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163,474</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LOCKHEED MARTIN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70,170</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LOCKHEED MARTIN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1/15/2023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67,439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LOCKHEED MARTIN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10,109</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LOWE'S COS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33,238</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LOWE'S COS INC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31,737</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LOWE'S COS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4.650%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10,687</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LYB INTERNATIONAL FINANCE BV</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57,464</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LYB INTERNATIONAL FINANCE BV</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9/15/2044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16,569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MARATHON PETROLEUM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4.750%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3/14/2026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88,651</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MARSH &amp; MCLENNAN COS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3.750%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3/10/2025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16,300</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MARSH &amp; MCLENNAN COS INC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7/1/2114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5,034</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MASSACHUSETTS INSTITUTE OF TEC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5/26/2045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156,029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MCDONALD'S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1/30/2026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36,283</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MCDONALD'S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12/9/2045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20,362</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MCDONALD'S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4.880%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12/9/2035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16,066</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MCDONALD'S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12/9/2020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10,579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MCDONALD'S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2.750%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5,056</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MEDTRONIC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72,080</w:t>
            </w:r>
          </w:p>
        </w:tc>
      </w:tr>
      <w:tr>
        <w:trPr>
          <w:trHeight w:val="459"/>
        </w:trPr>
        <w:tc>
          <w:tcPr>
            <w:tcW w:w="3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S-14</w:t>
            </w: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MEDTRONIC INC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47,870</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METLIFE INC</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4/10/2017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28,768</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METROPOLITAN LIFE GLOBAL 144A</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11/3/2022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250,141</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MICROSOFT CORP</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8/8/2046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186,076</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MICROSOFT CORP</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11/3/2025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112,976</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MICROSOFT CORP</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8/8/2023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111,229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MICROSOFT CORP</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8/8/2021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76,464</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MICROSOFT CORP</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8/8/2056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58,195</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MICROSOFT CORP</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8/8/2026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56,669</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MICROSOFT CORP</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6/6/2017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56,682</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MITSUBISHI UFJ TR DISC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spacing w:after="0"/>
              <w:rPr>
                <w:sz w:val="21"/>
                <w:szCs w:val="21"/>
                <w:color w:val="auto"/>
              </w:rPr>
            </w:pP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247,367</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MOLSON COORS BREWING CO</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28,359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MOLSON COORS BREWING CO</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23,308</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MONSANTO CO</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52,770</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MONSANTO CO</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11/17/2021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19,330</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9/23/2019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370,486</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1/5/2018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254,731</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2/25/2023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224,334</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3/22/2017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154,072</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4/23/2027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110,829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4/21/2021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79,193</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1/27/2020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54,402</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4/25/2018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45,212</w:t>
            </w:r>
          </w:p>
        </w:tc>
      </w:tr>
      <w:tr>
        <w:trPr>
          <w:trHeight w:val="486"/>
        </w:trPr>
        <w:tc>
          <w:tcPr>
            <w:tcW w:w="3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S-15</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64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206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7/27/2026</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44,175</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MORGAN STANLEY</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19,108</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MOTOROLA SOLUTIONS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11/29/2043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20,023</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MYLAN INC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28,094</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MYLAN INC 144A</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169,959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MYLAN NV 144A</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6/7/2019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163,773</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MYLAN NV 144A</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49,729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MYLAN NV 144A</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44,162</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MYLAN NV 144A</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3/29/2049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9,223</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NBCUNIVERSAL ENTERPRISE I 144A</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210,000</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NBCUNIVERSAL MEDIA LLC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4/30/2020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27,590</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NBCUNIVERSAL MEDIA LLC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27,338</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NEWELL BRANDS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90,246</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NEWELL BRANDS INC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3/8/2019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31,313</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NISSAN MOTOR ACCEPTANCE C 144A</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3/19/2019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30,932</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NOMURA HOLDINGS INC</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20,189</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NORFOLK SOUTHERN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33,680</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NORTHERN TRUST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87,515</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NORTHROP GRUMMAN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3/4/2029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142,724</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NORTHWEST FLORIDA TIMBER 144A</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9/16/2026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84,302</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NVIDIA CORP</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9/16/2021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144,219</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NVIDIA CORP</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63,447</w:t>
            </w:r>
          </w:p>
        </w:tc>
      </w:tr>
      <w:tr>
        <w:trPr>
          <w:trHeight w:val="27"/>
        </w:trPr>
        <w:tc>
          <w:tcPr>
            <w:tcW w:w="3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ONE GAS INC</w:t>
            </w:r>
          </w:p>
        </w:tc>
        <w:tc>
          <w:tcPr>
            <w:tcW w:w="1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5/15/2055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36,279</w:t>
            </w:r>
          </w:p>
        </w:tc>
      </w:tr>
      <w:tr>
        <w:trPr>
          <w:trHeight w:val="459"/>
        </w:trPr>
        <w:tc>
          <w:tcPr>
            <w:tcW w:w="3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S-16</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3"/>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ORACLE CORP</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7/8/2024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124,328</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ORACLE CORP</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106,985</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ORACLE CORP</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90,867</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ORACLE CORP</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33,222</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PACIFICORP</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4/1/2037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135,573</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PACIFICORP</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128,632</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PENSKE TRUCK LEASING CO L 144A</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10/6/2026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81,326</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PEPSICO INC</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10/6/2046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37,867</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PEPSICO INC</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5/15/2038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36,439</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PETRO-CANADA</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6/2/2041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64,839</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PETROLEOS MEXICANOS</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1/23/2046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112,386</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PETROLEOS MEXICANOS</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3/5/2020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79,680</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PETROLEOS MEXICANOS</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8/4/2026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54,847</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PETROLEOS MEXICANOS 144A</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31,650</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PFIZER INC</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134,372</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PFIZER INC</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106,813</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PFIZER INC</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20,704</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PIONEER NATURAL RESOURCES CO</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20,132</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PLAINS ALL AMERICAN PIPELINE L</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77,485</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PLAINS ALL AMERICAN PIPELINE L</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4/29/2021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4,619</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PNC BANK NA</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246,696</w:t>
            </w:r>
          </w:p>
        </w:tc>
      </w:tr>
      <w:tr>
        <w:trPr>
          <w:trHeight w:val="27"/>
        </w:trPr>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PNC FINANCIAL SERVICES GROUP I</w:t>
            </w:r>
          </w:p>
        </w:tc>
        <w:tc>
          <w:tcPr>
            <w:tcW w:w="1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106,150</w:t>
            </w:r>
          </w:p>
        </w:tc>
      </w:tr>
      <w:tr>
        <w:trPr>
          <w:trHeight w:val="243"/>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PPL CAPITAL FUNDING INC</w:t>
            </w:r>
          </w:p>
        </w:tc>
        <w:tc>
          <w:tcPr>
            <w:tcW w:w="1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7/15/2056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42,300</w:t>
            </w:r>
          </w:p>
        </w:tc>
      </w:tr>
      <w:tr>
        <w:trPr>
          <w:trHeight w:val="486"/>
        </w:trPr>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S-17</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4"/>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60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PRESIDENT &amp; FELLOWS OF HARVARD</w:t>
            </w:r>
          </w:p>
        </w:tc>
        <w:tc>
          <w:tcPr>
            <w:tcW w:w="162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1980" w:type="dxa"/>
            <w:vAlign w:val="bottom"/>
            <w:tcBorders>
              <w:top w:val="single" w:sz="8" w:color="auto"/>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5/15/2023</w:t>
            </w:r>
          </w:p>
        </w:tc>
        <w:tc>
          <w:tcPr>
            <w:tcW w:w="1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48,369</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GROUP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11/15/2026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19,891</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PRINCIPAL FINANCIAL GROUP INC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9/15/2042</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14,498</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GROUP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10/30/2031</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10,357</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PROGRESS ENERGY INC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5/15/2025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123,166</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PUGET ENERGY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5/20/2025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122,204</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QUALCOMM INC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5/20/2045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62,135</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QUALCOMM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7/1/2026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61,980</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REPUBLIC SERVICES INC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6/12/2025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28,760</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REYNOLDS AMERICAN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8/15/2045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179,488</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REYNOLDS AMERICAN INC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6/12/2020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71,048</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REYNOLDS AMERICAN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9/19/2017</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25,617</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ROYAL BANK OF CANADA</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4/10/2017</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1,183,410</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SAMSUNG ELECTRONICS AMERI 144A</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5/24/2019</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380,171</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SANTANDER HOLDINGS USA INC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7/17/2025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109,916</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SANTANDER HOLDINGS USA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4/17/2020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79,500</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SANTANDER HOLDINGS USA INC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11/7/2023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49,557</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SANTANDER UK PLC 144A</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203,465</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SHELL INTERNATIONAL FINANCE BV</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5/11/2020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80,025</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SHELL INTERNATIONAL FINANCE BV</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9/23/2021</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11,986</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SHIRE ACQUISITIONS INVESTMENTS</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9/23/2019</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125,578</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SHIRE ACQUISITIONS INVESTMENTS</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9/23/2026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113,542</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SHIRE ACQUISITIONS INVESTMENTS</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7/15/2021</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65,403</w:t>
            </w:r>
          </w:p>
        </w:tc>
      </w:tr>
      <w:tr>
        <w:trPr>
          <w:trHeight w:val="459"/>
        </w:trPr>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S-18</w:t>
            </w:r>
          </w:p>
        </w:tc>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SIMON PROPERTY GROUP LP</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11/1/2017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20,019</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SOUTHERN CALIFORNIA EDISON CO</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155,020</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SOUTHWESTERN PUBLIC SERVICE CO</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3/20/2023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151,871</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SPRINT SPECTRUM CO LLC / 144A</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9/15/2025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510,954</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 JUDE MEDICAL LLC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10,075</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 JUDE MEDICAL LLC</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9,788</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 STREET CORP</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8/18/2020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135,630</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STATE STREET CORP</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6/30/2017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121,211</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STEELRIVER TRANSMISSION C 144A</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154,680</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STRYKER CORP</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25,492</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STRYKER CORP</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15,142</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SUNOCO LOGISTICS PARTNERS OPER</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7/23/2025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29,935</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SYNCHRONY FINANCIAL</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2/3/2020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30,815</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SYNCHRONY FINANCIAL</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12/16/2039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14,956</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TEACHERS INSURANCE &amp; ANNU 144A</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38,932</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TEACHERS INSURANCE &amp; ANNU 144A</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12/18/2022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10,818</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TEVA PHARMACEUTICAL FINANCE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101,178</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TEVA PHARMACEUTICAL FINANCE</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7/20/2018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152,118</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TEVA PHARMACEUTICAL FINANCE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89,266</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TEVA PHARMACEUTICAL FINANCE</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7/21/2023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85,686</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TEVA PHARMACEUTICAL FINANCE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7/21/2021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80,460</w:t>
            </w:r>
          </w:p>
        </w:tc>
      </w:tr>
      <w:tr>
        <w:trPr>
          <w:trHeight w:val="27"/>
        </w:trPr>
        <w:tc>
          <w:tcPr>
            <w:tcW w:w="3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TEVA PHARMACEUTICAL FINANCE</w:t>
            </w:r>
          </w:p>
        </w:tc>
        <w:tc>
          <w:tcPr>
            <w:tcW w:w="1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8/15/2021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76,535</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THERMO FISHER SCIENTIFIC INC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9/19/2026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82,681</w:t>
            </w:r>
          </w:p>
        </w:tc>
      </w:tr>
      <w:tr>
        <w:trPr>
          <w:trHeight w:val="486"/>
        </w:trPr>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S-19</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6"/>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4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THERMO FISHER SCIENTIFIC INC</w:t>
            </w:r>
          </w:p>
        </w:tc>
        <w:tc>
          <w:tcPr>
            <w:tcW w:w="17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206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2/1/2020</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14,164</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TIME WARNER CABLE LLC</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148,586</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TIME WARNER CABLE LLC</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1/15/2026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98,215</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TIME WARNER INC</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184,198</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TIME WARNER INC</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7/18/2019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94,468</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TOYOTA MOTOR CREDIT CORP</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5/20/2019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25,108</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TOYOTA MOTOR CREDIT CORP</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8/25/2045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11,864</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TRAVELERS COS INC/THE</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3/26/2018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24,861</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UBS AG/STAMFORD CT</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2/1/2022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430,297</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UBS GROUP FUNDING JERSEY 144A</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2/1/2055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194,379</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UNION PACIFIC CORP</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5/14/2026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49,601</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UNION PACIFIC RAILROAD CO 2014</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5/4/2018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55,113</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TECHNOLOGIES CORP</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12/15/2021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385,084</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UNITEDHEALTH GROUP INC</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7/15/2022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217,934</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UNITEDHEALTH GROUP INC</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7/15/2020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139,091</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UNITEDHEALTH GROUP INC</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40,602</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UNITEDHEALTH GROUP INC</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4/27/2026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33,791</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BANCORP</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24,339</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VENTAS REALTY LP</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11/1/2034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106,278</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8/21/2046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338,536</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8/21/2054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161,114</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158,167</w:t>
            </w:r>
          </w:p>
        </w:tc>
      </w:tr>
      <w:tr>
        <w:trPr>
          <w:trHeight w:val="27"/>
        </w:trPr>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11/1/2021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155,166</w:t>
            </w:r>
          </w:p>
        </w:tc>
      </w:tr>
      <w:tr>
        <w:trPr>
          <w:trHeight w:val="459"/>
        </w:trPr>
        <w:tc>
          <w:tcPr>
            <w:tcW w:w="3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S-20</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7"/>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146,057</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12/15/2034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78,374</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VIACOM INC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71,318</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VIACOM INC</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10/4/2026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39,828</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VIACOM INC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5/15/2037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13,863</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VIRGINIA ELECTRIC &amp; POWER CO</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11/30/2037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247,469</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VIRGINIA ELECTRIC &amp; POWER CO</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12/14/2035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25,760</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VISA INC</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12/14/2045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169,611</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VISA INC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46,443</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WACHOVIA CORP</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21,038</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WALGREENS BOOTS ALLIANCE INC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11/18/2044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166,872</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WALGREENS BOOTS ALLIANCE INC</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56,530</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WALGREENS BOOTS ALLIANCE INC</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35,517</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WAL-MART STORES INC</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7/30/2026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30,137</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WALT DISNEY CO/THE</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9/17/2025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99,032</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WALT DISNEY CO/THE</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9/15/2017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60,855</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WEA FINANCE LLC / WESTFIE 144A</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4/23/2018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435,271</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12/29/2049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245,930</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7/22/2020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125,988</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7/26/2021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124,717</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6/14/2046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116,767</w:t>
            </w:r>
          </w:p>
        </w:tc>
      </w:tr>
      <w:tr>
        <w:trPr>
          <w:trHeight w:val="27"/>
        </w:trPr>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7/22/2027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86,135</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12/7/2046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82,286</w:t>
            </w:r>
          </w:p>
        </w:tc>
      </w:tr>
      <w:tr>
        <w:trPr>
          <w:trHeight w:val="486"/>
        </w:trPr>
        <w:tc>
          <w:tcPr>
            <w:tcW w:w="3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S-21</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28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2420" w:type="dxa"/>
            <w:vAlign w:val="bottom"/>
            <w:tcBorders>
              <w:top w:val="single" w:sz="8" w:color="auto"/>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11/17/2045</w:t>
            </w:r>
          </w:p>
        </w:tc>
        <w:tc>
          <w:tcPr>
            <w:tcW w:w="1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60,891</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10/23/2026</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51,356</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5/1/2045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38,096</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1/15/2030</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35,095</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WESTROCK MWV LLC</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3/1/2022</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117,493</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WESTROCK RKT CO</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w:t>
            </w:r>
          </w:p>
        </w:tc>
        <w:tc>
          <w:tcPr>
            <w:tcW w:w="24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29,310</w:t>
            </w:r>
          </w:p>
        </w:tc>
      </w:tr>
      <w:tr>
        <w:trPr>
          <w:trHeight w:val="27"/>
        </w:trPr>
        <w:tc>
          <w:tcPr>
            <w:tcW w:w="35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Corporate Bonds</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47,128,127</w:t>
            </w:r>
          </w:p>
        </w:tc>
      </w:tr>
      <w:tr>
        <w:trPr>
          <w:trHeight w:val="351"/>
        </w:trPr>
        <w:tc>
          <w:tcPr>
            <w:tcW w:w="3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FEDERAL HOME LN BK CONS BD</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7/15/2036</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472,224</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 HOME LN MTG CORP</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7/15/2032</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129,357</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FEDERAL HOME LN MTG CORP</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3/15/2031</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33,825</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 HOME LN MTG CORP STRIP</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spacing w:after="0"/>
              <w:rPr>
                <w:sz w:val="21"/>
                <w:szCs w:val="21"/>
                <w:color w:val="auto"/>
              </w:rPr>
            </w:pP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9/15/2029</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44,441</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FEDERAL HOME LN MTG CORP STRIP</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3/15/2031</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12,153</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 NATL MTG ASSN STRIP</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spacing w:after="0"/>
              <w:rPr>
                <w:sz w:val="21"/>
                <w:szCs w:val="21"/>
                <w:color w:val="auto"/>
              </w:rPr>
            </w:pP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5/15/2030</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385,834</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#0499416</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2/15/2029</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#0615516</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9/15/2033</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19,182</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#0689835</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8/15/2038</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5,742</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#0728627</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1/15/2040</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20,009</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#0738019</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2/15/2041</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22,120</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#0745793</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7/15/2040</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40,387</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#0759138</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1/15/2041</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80,652</w:t>
            </w:r>
          </w:p>
        </w:tc>
      </w:tr>
      <w:tr>
        <w:trPr>
          <w:trHeight w:val="24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#0762838</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3/15/2041</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51,467</w:t>
            </w:r>
          </w:p>
        </w:tc>
      </w:tr>
      <w:tr>
        <w:trPr>
          <w:trHeight w:val="27"/>
        </w:trPr>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#0781590</w:t>
            </w: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4/15/2033</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5,721</w:t>
            </w:r>
          </w:p>
        </w:tc>
      </w:tr>
      <w:tr>
        <w:trPr>
          <w:trHeight w:val="459"/>
        </w:trPr>
        <w:tc>
          <w:tcPr>
            <w:tcW w:w="358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S-22</w:t>
            </w:r>
          </w:p>
        </w:tc>
        <w:tc>
          <w:tcPr>
            <w:tcW w:w="1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29"/>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#0782510</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12/15/2038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15,903</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#0782557</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1/15/2039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93,716</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#0782619</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4/15/2039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72,416</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#0782958</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5/15/2040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35,826</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#0783571</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12/15/2033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34,903</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POOL #0783609</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10/15/2040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118,995</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POOL #0783610</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11/15/2041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78,805</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GTD REMIC P/T 15-3 ZD</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1/20/2045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366,686</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#0004223</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8/20/2038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19,958</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#0004292</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11/20/2038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7,578</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#0004559</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10/20/2039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256,879</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#0004598</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12/20/2039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7,574</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#0004617</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1/20/2040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9,148</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#0004636</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2/20/2040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7,415</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#0004696</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5/20/2040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#0004771</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8/20/2040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17,816</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#0004800</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9/20/2040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8,159</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#0004833</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10/20/2040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8,835</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#0004882</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12/20/2040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92,085</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#0004922</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1/20/2041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62,433</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#0005018</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4/20/2041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20,994</w:t>
            </w:r>
          </w:p>
        </w:tc>
      </w:tr>
      <w:tr>
        <w:trPr>
          <w:trHeight w:val="27"/>
        </w:trPr>
        <w:tc>
          <w:tcPr>
            <w:tcW w:w="3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#0005056</w:t>
            </w:r>
          </w:p>
        </w:tc>
        <w:tc>
          <w:tcPr>
            <w:tcW w:w="3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5/20/2041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5,428</w:t>
            </w:r>
          </w:p>
        </w:tc>
      </w:tr>
      <w:tr>
        <w:trPr>
          <w:trHeight w:val="243"/>
        </w:trPr>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#0005083</w:t>
            </w:r>
          </w:p>
        </w:tc>
        <w:tc>
          <w:tcPr>
            <w:tcW w:w="3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Agencies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6/20/2041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34,139</w:t>
            </w:r>
          </w:p>
        </w:tc>
      </w:tr>
      <w:tr>
        <w:trPr>
          <w:trHeight w:val="486"/>
        </w:trPr>
        <w:tc>
          <w:tcPr>
            <w:tcW w:w="3260" w:type="dxa"/>
            <w:vAlign w:val="bottom"/>
          </w:tcPr>
          <w:p>
            <w:pPr>
              <w:spacing w:after="0"/>
              <w:rPr>
                <w:sz w:val="24"/>
                <w:szCs w:val="24"/>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S-23</w:t>
            </w: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0"/>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12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#0005115</w:t>
            </w:r>
          </w:p>
        </w:tc>
        <w:tc>
          <w:tcPr>
            <w:tcW w:w="314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520" w:type="dxa"/>
            <w:vAlign w:val="bottom"/>
            <w:tcBorders>
              <w:top w:val="single" w:sz="8" w:color="auto"/>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7/20/2041</w:t>
            </w:r>
          </w:p>
        </w:tc>
        <w:tc>
          <w:tcPr>
            <w:tcW w:w="1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280,264</w:t>
            </w:r>
          </w:p>
        </w:tc>
      </w:tr>
      <w:tr>
        <w:trPr>
          <w:trHeight w:val="243"/>
        </w:trPr>
        <w:tc>
          <w:tcPr>
            <w:tcW w:w="3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#0005116</w:t>
            </w:r>
          </w:p>
        </w:tc>
        <w:tc>
          <w:tcPr>
            <w:tcW w:w="3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5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7/20/2041</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29,792</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#0783584</w:t>
            </w:r>
          </w:p>
        </w:tc>
        <w:tc>
          <w:tcPr>
            <w:tcW w:w="3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5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7/20/2041</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43,778</w:t>
            </w:r>
          </w:p>
        </w:tc>
      </w:tr>
      <w:tr>
        <w:trPr>
          <w:trHeight w:val="243"/>
        </w:trPr>
        <w:tc>
          <w:tcPr>
            <w:tcW w:w="3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#0783590</w:t>
            </w:r>
          </w:p>
        </w:tc>
        <w:tc>
          <w:tcPr>
            <w:tcW w:w="3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5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6/20/2041</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53,719</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#0A3034S</w:t>
            </w:r>
          </w:p>
        </w:tc>
        <w:tc>
          <w:tcPr>
            <w:tcW w:w="3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5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8/20/2045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2,483,416</w:t>
            </w:r>
          </w:p>
        </w:tc>
      </w:tr>
      <w:tr>
        <w:trPr>
          <w:trHeight w:val="243"/>
        </w:trPr>
        <w:tc>
          <w:tcPr>
            <w:tcW w:w="3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#0MA1678</w:t>
            </w:r>
          </w:p>
        </w:tc>
        <w:tc>
          <w:tcPr>
            <w:tcW w:w="3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5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2/20/2044</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983,848</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#0MA2960</w:t>
            </w:r>
          </w:p>
        </w:tc>
        <w:tc>
          <w:tcPr>
            <w:tcW w:w="3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5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7/20/2045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1,303,610</w:t>
            </w:r>
          </w:p>
        </w:tc>
      </w:tr>
      <w:tr>
        <w:trPr>
          <w:trHeight w:val="243"/>
        </w:trPr>
        <w:tc>
          <w:tcPr>
            <w:tcW w:w="3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GNMA II POOL #0MA3104</w:t>
            </w:r>
          </w:p>
        </w:tc>
        <w:tc>
          <w:tcPr>
            <w:tcW w:w="3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5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9/20/2045</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642,376</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GNMA II POOL #0MA3173</w:t>
            </w:r>
          </w:p>
        </w:tc>
        <w:tc>
          <w:tcPr>
            <w:tcW w:w="3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Government Agencies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5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10/20/2045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217,546</w:t>
            </w:r>
          </w:p>
        </w:tc>
      </w:tr>
      <w:tr>
        <w:trPr>
          <w:trHeight w:val="243"/>
        </w:trPr>
        <w:tc>
          <w:tcPr>
            <w:tcW w:w="3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 NATL MTG ASSN</w:t>
            </w:r>
          </w:p>
        </w:tc>
        <w:tc>
          <w:tcPr>
            <w:tcW w:w="3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5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8/17/2021</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193,294</w:t>
            </w:r>
          </w:p>
        </w:tc>
      </w:tr>
      <w:tr>
        <w:trPr>
          <w:trHeight w:val="27"/>
        </w:trPr>
        <w:tc>
          <w:tcPr>
            <w:tcW w:w="31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1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Total U.S. Government Agencies</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8,931,269</w:t>
            </w:r>
          </w:p>
        </w:tc>
      </w:tr>
      <w:tr>
        <w:trPr>
          <w:trHeight w:val="27"/>
        </w:trPr>
        <w:tc>
          <w:tcPr>
            <w:tcW w:w="31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CALIFORNIA ST</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9/1/2042</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82,378</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CALIFORNIA ST HLTH FACS FING A</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8/15/2052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43,048</w:t>
            </w:r>
          </w:p>
        </w:tc>
      </w:tr>
      <w:tr>
        <w:trPr>
          <w:trHeight w:val="27"/>
        </w:trPr>
        <w:tc>
          <w:tcPr>
            <w:tcW w:w="3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LAS VEGAS VLY NV WTR DIST</w:t>
            </w:r>
          </w:p>
        </w:tc>
        <w:tc>
          <w:tcPr>
            <w:tcW w:w="2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6/1/2039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129,269</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MASSACHUSETTS ST BLDG AUTH</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10/15/2041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55,619</w:t>
            </w:r>
          </w:p>
        </w:tc>
      </w:tr>
      <w:tr>
        <w:trPr>
          <w:trHeight w:val="27"/>
        </w:trPr>
        <w:tc>
          <w:tcPr>
            <w:tcW w:w="3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MET SAINT LOUIS MO SWR DIST WS</w:t>
            </w:r>
          </w:p>
        </w:tc>
        <w:tc>
          <w:tcPr>
            <w:tcW w:w="2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55,194</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NEW JERSEY ST HLTH CARE FACS F</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48,248</w:t>
            </w:r>
          </w:p>
        </w:tc>
      </w:tr>
      <w:tr>
        <w:trPr>
          <w:trHeight w:val="27"/>
        </w:trPr>
        <w:tc>
          <w:tcPr>
            <w:tcW w:w="3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NEW JERSEY ST TRANSPRTN TRUST</w:t>
            </w:r>
          </w:p>
        </w:tc>
        <w:tc>
          <w:tcPr>
            <w:tcW w:w="2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6/15/2036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235,635</w:t>
            </w:r>
          </w:p>
        </w:tc>
      </w:tr>
      <w:tr>
        <w:trPr>
          <w:trHeight w:val="243"/>
        </w:trPr>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NEW YORK CITY NY MUNI WTR FIN</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6/15/2047</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88,766</w:t>
            </w:r>
          </w:p>
        </w:tc>
      </w:tr>
      <w:tr>
        <w:trPr>
          <w:trHeight w:val="27"/>
        </w:trPr>
        <w:tc>
          <w:tcPr>
            <w:tcW w:w="3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NEW YORK ST URBAN DEV CORP REV</w:t>
            </w:r>
          </w:p>
        </w:tc>
        <w:tc>
          <w:tcPr>
            <w:tcW w:w="2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3/15/2024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127,810</w:t>
            </w:r>
          </w:p>
        </w:tc>
      </w:tr>
      <w:tr>
        <w:trPr>
          <w:trHeight w:val="459"/>
        </w:trPr>
        <w:tc>
          <w:tcPr>
            <w:tcW w:w="3600" w:type="dxa"/>
            <w:vAlign w:val="bottom"/>
          </w:tcPr>
          <w:p>
            <w:pPr>
              <w:spacing w:after="0"/>
              <w:rPr>
                <w:sz w:val="24"/>
                <w:szCs w:val="24"/>
                <w:color w:val="auto"/>
              </w:rPr>
            </w:pPr>
          </w:p>
        </w:tc>
        <w:tc>
          <w:tcPr>
            <w:tcW w:w="27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S-24</w:t>
            </w: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UNIV OF CALIFORNIA CA REVENUES</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4.767%</w:t>
            </w:r>
          </w:p>
        </w:tc>
        <w:tc>
          <w:tcPr>
            <w:tcW w:w="236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5/15/2115</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95,706</w:t>
            </w:r>
          </w:p>
        </w:tc>
      </w:tr>
      <w:tr>
        <w:trPr>
          <w:trHeight w:val="27"/>
        </w:trPr>
        <w:tc>
          <w:tcPr>
            <w:tcW w:w="3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UNIV OF CALIFORNIA CA REVENUES</w:t>
            </w:r>
          </w:p>
        </w:tc>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 obligations</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4.858%</w:t>
            </w:r>
          </w:p>
        </w:tc>
        <w:tc>
          <w:tcPr>
            <w:tcW w:w="236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5/15/2039</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38,700</w:t>
            </w:r>
          </w:p>
        </w:tc>
      </w:tr>
      <w:tr>
        <w:trPr>
          <w:trHeight w:val="237"/>
        </w:trPr>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State and Local Obligations</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1,000,373</w:t>
            </w:r>
          </w:p>
        </w:tc>
      </w:tr>
      <w:tr>
        <w:trPr>
          <w:trHeight w:val="27"/>
        </w:trPr>
        <w:tc>
          <w:tcPr>
            <w:tcW w:w="3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51"/>
        </w:trPr>
        <w:tc>
          <w:tcPr>
            <w:tcW w:w="35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sectPr>
          <w:pgSz w:w="11900" w:h="16838" w:orient="portrait"/>
          <w:cols w:equalWidth="0" w:num="1">
            <w:col w:w="11400"/>
          </w:cols>
          <w:pgMar w:left="240" w:top="114" w:right="2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FHLMC POOL #1B-8062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#2B-0646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#A7-1746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#A8-1740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#A9-0196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#C0-3811</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#G0-1838</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#G0-1840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#G0-7550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#G0-7553</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#G0-7613</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#G0-7642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#G0-7786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#G0-7962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#G0-8624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#G0-8672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#G1-4010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#G1-5520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#G6-0018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3.118%</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2.040%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1/1/2038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9/1/2038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85,907</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12/1/2039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115,136</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89,206</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8/1/2043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366,063</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6/1/2041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4/1/2039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61,999</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56,241</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8/1/2044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110,406</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11/1/2041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201,629</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1/1/2045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270,982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10/1/2045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226,142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12/1/2043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-3069590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-2726690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-2383155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-2040255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-1697355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-1354455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-1011555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-668020</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720"/>
          </w:cols>
          <w:pgMar w:left="240" w:top="114" w:right="259" w:bottom="144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S-25</w:t>
      </w:r>
    </w:p>
    <w:p>
      <w:pPr>
        <w:sectPr>
          <w:pgSz w:w="11900" w:h="16838" w:orient="portrait"/>
          <w:cols w:equalWidth="0" w:num="1">
            <w:col w:w="11400"/>
          </w:cols>
          <w:pgMar w:left="240" w:top="114" w:right="259" w:bottom="1440" w:gutter="0" w:footer="0" w:header="0"/>
          <w:type w:val="continuous"/>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360"/>
          </w:cols>
          <w:pgMar w:left="240" w:top="114" w:right="29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680"/>
          </w:cols>
          <w:pgMar w:left="240" w:top="114" w:right="2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FHLMC POOL #G6-0148</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#G6-0198</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#G6-0250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#J0-0252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#J0-0813</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#J0-2895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#J0-3285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#J0-3286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#J0-5930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#J3-1418</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#J3-1689</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#J3-2181</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#J3-2204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#J3-2209</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#J3-2436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#J3-2491</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#Q0-0804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#Q0-0959</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#Q1-1909</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#Q1-2162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#Q1-4866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#Q1-6403</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#Q1-6567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9/1/2044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183,205</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10/1/2045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416,617</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10/1/2020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12/1/2020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22,839</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50,203</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49,215</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10/1/2042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8/1/2042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1/1/2043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75,645</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-3583940</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-3241040</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-2898140</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-2555240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-2211705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-1868805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-1525905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-1183005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-839470</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-496570</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-153670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680"/>
          </w:cols>
          <w:pgMar w:left="240" w:top="114" w:right="299" w:bottom="1440" w:gutter="0" w:footer="0" w:header="0"/>
          <w:type w:val="continuous"/>
        </w:sectPr>
      </w:pP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S-26</w:t>
      </w:r>
    </w:p>
    <w:p>
      <w:pPr>
        <w:sectPr>
          <w:pgSz w:w="11900" w:h="16838" w:orient="portrait"/>
          <w:cols w:equalWidth="0" w:num="1">
            <w:col w:w="11360"/>
          </w:cols>
          <w:pgMar w:left="240" w:top="114" w:right="299" w:bottom="1440" w:gutter="0" w:footer="0" w:header="0"/>
          <w:type w:val="continuous"/>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360"/>
          </w:cols>
          <w:pgMar w:left="240" w:top="114" w:right="29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3"/>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680"/>
          </w:cols>
          <w:pgMar w:left="240" w:top="114" w:right="2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FHLMC POOL #Q1-6673</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#Q1-7095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#Q2-0021</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#Q2-0206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#Q2-4894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#Q2-7375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#Q2-9187</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#Q3-1644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#Q3-5905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#Q3-6302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#Q3-6305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#Q3-6965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#Q3-6968</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#Q3-6972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#V6-0696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#V6-0724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#V6-0770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#V6-0796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#V6-0840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#V6-0886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#V6-0902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#V6-0903</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FHLMC POOL #V6-0904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3/1/2043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71,853</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4/1/2043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2/1/2044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62,862</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37,096</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24,769</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2/1/2045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1,266,460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114,644</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140,836</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146,677</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39,823</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85,531</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152,870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93,408</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70,020</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9/1/2030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-3755390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-3412490</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-3069590</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-2726690</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-2383155</wp:posOffset>
            </wp:positionV>
            <wp:extent cx="72294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-2040255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-1697355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-1354455</wp:posOffset>
            </wp:positionV>
            <wp:extent cx="72294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-1011555</wp:posOffset>
            </wp:positionV>
            <wp:extent cx="7229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-668020</wp:posOffset>
            </wp:positionV>
            <wp:extent cx="72294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680"/>
          </w:cols>
          <w:pgMar w:left="240" w:top="114" w:right="299" w:bottom="1440" w:gutter="0" w:footer="0" w:header="0"/>
          <w:type w:val="continuous"/>
        </w:sectPr>
      </w:pP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S-27</w:t>
      </w:r>
    </w:p>
    <w:p>
      <w:pPr>
        <w:sectPr>
          <w:pgSz w:w="11900" w:h="16838" w:orient="portrait"/>
          <w:cols w:equalWidth="0" w:num="1">
            <w:col w:w="11360"/>
          </w:cols>
          <w:pgMar w:left="240" w:top="114" w:right="299" w:bottom="1440" w:gutter="0" w:footer="0" w:header="0"/>
          <w:type w:val="continuous"/>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4"/>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46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FHLMC POOL #V6-0905</w:t>
            </w:r>
          </w:p>
        </w:tc>
        <w:tc>
          <w:tcPr>
            <w:tcW w:w="310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7/1/2030</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6,607</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FHLMC POOL #V6-0908</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8/1/2030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146,186</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FHLMC POOL #V6-0909</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8/1/2030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22,646</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FHLMC POOL #V8-0169</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315,667</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FHLMC POOL #V8-0355</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79,181</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FHLMC MULTICLASS MTG 4316 XZ</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216,466</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FHLMC MULTICLASS MTG 4352 ZX</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302,620</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#0254548</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12/1/2032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117,611</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#0255316</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7/1/2019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10,437</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#0555424</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5/1/2033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88,421</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#0555591</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7/1/2033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38,606</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#0676654</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1/1/2033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108,161</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#0676661</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1/1/2033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79,866</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#0735989</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2/1/2035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4,623</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#0888601</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26,081</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#0889466</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5/1/2038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25,841</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#0889529</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3/1/2038</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10,693</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#0889983</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10/1/2038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18,341</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#0909353</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2/1/2022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88,984</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#0987325</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3.116%</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9/1/2038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43,313</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#0995113</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9/1/2036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162,530</w:t>
            </w: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#0995320</w:t>
            </w: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12/1/2020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61,972</w:t>
            </w:r>
          </w:p>
        </w:tc>
      </w:tr>
      <w:tr>
        <w:trPr>
          <w:trHeight w:val="27"/>
        </w:trPr>
        <w:tc>
          <w:tcPr>
            <w:tcW w:w="3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#0995324</w:t>
            </w:r>
          </w:p>
        </w:tc>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12/1/2020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107,540</w:t>
            </w:r>
          </w:p>
        </w:tc>
      </w:tr>
      <w:tr>
        <w:trPr>
          <w:trHeight w:val="459"/>
        </w:trPr>
        <w:tc>
          <w:tcPr>
            <w:tcW w:w="3460" w:type="dxa"/>
            <w:vAlign w:val="bottom"/>
          </w:tcPr>
          <w:p>
            <w:pPr>
              <w:spacing w:after="0"/>
              <w:rPr>
                <w:sz w:val="24"/>
                <w:szCs w:val="24"/>
                <w:color w:val="auto"/>
              </w:rPr>
            </w:pPr>
          </w:p>
        </w:tc>
        <w:tc>
          <w:tcPr>
            <w:tcW w:w="31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S-28</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#0AB1226</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11,054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#0AB3251</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7/1/2026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289,397</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#0AB3314</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7/1/2041</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11,283</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#0AB4530</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2/1/2042</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46,911</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#0AB7271</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12/1/2042</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68,420</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#0AB7425</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12/1/2042</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54,985</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#0AB7458</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68,716</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#0AB7497</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69,777</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#0AB7567</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70,289</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#0AB7755</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74,677</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#0AB7762</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62,072</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#0AB8558</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62,536</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#0AB8701</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94,253</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#0AB8712</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22,220</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#0AB8830</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57,967</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#0AB8923</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76,499</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#0AB8924</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74,006</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#0AB9016</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73,145</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#0AB9173</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74,147</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#0AB9341</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209,862</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#0AB9462</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5/1/2043</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98,124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#0AB9662</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6/1/2043</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121,290</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#0AC1876</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9/1/2039</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1,468,130</w:t>
            </w:r>
          </w:p>
        </w:tc>
      </w:tr>
      <w:tr>
        <w:trPr>
          <w:trHeight w:val="486"/>
        </w:trPr>
        <w:tc>
          <w:tcPr>
            <w:tcW w:w="2920" w:type="dxa"/>
            <w:vAlign w:val="bottom"/>
          </w:tcPr>
          <w:p>
            <w:pPr>
              <w:spacing w:after="0"/>
              <w:rPr>
                <w:sz w:val="24"/>
                <w:szCs w:val="24"/>
                <w:color w:val="auto"/>
              </w:rPr>
            </w:pPr>
          </w:p>
        </w:tc>
        <w:tc>
          <w:tcPr>
            <w:tcW w:w="36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S-29</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6"/>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94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#0AC9312</w:t>
            </w:r>
          </w:p>
        </w:tc>
        <w:tc>
          <w:tcPr>
            <w:tcW w:w="36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10/1/2041</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23,352</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#0AD0454</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31,978</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#0AD7992</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40,017</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#0AD8036</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112,989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#0AE0096</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7/1/2025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147,315</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#0AE0812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7/1/2025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129,677</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#0AE0823</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10,838</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#0AE0919</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5/1/2021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72,877</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#0AE6056</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9/1/2040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33,417</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#0AE8395</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76,989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#0AH3518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79,059</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#0AH3813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1/1/2041</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140,979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#0AH6958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2.918%</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18,615</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#0AJ4898</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95,199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#0AL0533</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3.033%</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60,607</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#0AL1704</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104,627</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#0AL1938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12/1/2026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87,320</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#0AL2482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37,114</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#0AL2499</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998,946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#0AL2683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9/1/2026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124,943</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#0AL2935</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72,361</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#0AL3162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214,014</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#0AL3597</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117,459</w:t>
            </w:r>
          </w:p>
        </w:tc>
      </w:tr>
      <w:tr>
        <w:trPr>
          <w:trHeight w:val="459"/>
        </w:trPr>
        <w:tc>
          <w:tcPr>
            <w:tcW w:w="2940" w:type="dxa"/>
            <w:vAlign w:val="bottom"/>
          </w:tcPr>
          <w:p>
            <w:pPr>
              <w:spacing w:after="0"/>
              <w:rPr>
                <w:sz w:val="24"/>
                <w:szCs w:val="24"/>
                <w:color w:val="auto"/>
              </w:rPr>
            </w:pPr>
          </w:p>
        </w:tc>
        <w:tc>
          <w:tcPr>
            <w:tcW w:w="36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S-30</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7"/>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#0AL3759</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71,530</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#0AL4009</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305,876</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#0AL4010</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118,072</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#0AL4014</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298,536</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#0AL4141</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114,395</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#0AL4142</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42,179</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#0AL4244</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183,139</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#0AL4682</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79,078</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#0AL4922</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2/1/2029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70,942</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#0AL5097</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220,348</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#0AL5231</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129,238</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#0AL5601</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661,374</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#0AL5884</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8/1/2029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234,653</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#0AL5956</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5/1/2027</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224,942</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#0AL6144</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1/1/2030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340,024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#0AL6302</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10/1/2041</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125,946</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#0AL6583</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3/1/2030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84,582</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#0AL6584</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4/1/2030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72,914</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#0AL6626</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72,534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#0AL6761</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5/1/2030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42,583</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#0AL7139</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7/1/2030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56,944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#0AL7225</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8/1/2030</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105,075</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#0AL7227</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8/1/2030</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94,906</w:t>
            </w:r>
          </w:p>
        </w:tc>
      </w:tr>
      <w:tr>
        <w:trPr>
          <w:trHeight w:val="486"/>
        </w:trPr>
        <w:tc>
          <w:tcPr>
            <w:tcW w:w="2920" w:type="dxa"/>
            <w:vAlign w:val="bottom"/>
          </w:tcPr>
          <w:p>
            <w:pPr>
              <w:spacing w:after="0"/>
              <w:rPr>
                <w:sz w:val="24"/>
                <w:szCs w:val="24"/>
                <w:color w:val="auto"/>
              </w:rPr>
            </w:pPr>
          </w:p>
        </w:tc>
        <w:tc>
          <w:tcPr>
            <w:tcW w:w="36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S-31</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94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#0AL7369</w:t>
            </w:r>
          </w:p>
        </w:tc>
        <w:tc>
          <w:tcPr>
            <w:tcW w:w="36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1/1/2043</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82,039</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#0AL7442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10/1/2045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50,027</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#0AL7443</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10/1/2045</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68,787</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#0AL7577</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62,041</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#0AL9285</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10/1/2046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919,075</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#0AO6482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2.209%</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7/1/2042</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10,784</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#0AP0006</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7/1/2042</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43,343</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#0AQ1292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2/1/2028</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55,770</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#0AR3218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88,275</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#0AR7568</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40,559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#0AR7576</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67,683</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#0AR8630</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75,673</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#0AR9194</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103,802</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#0AR9218</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64,262</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#0AS0209</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73,535</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#0AS1453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29,402</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#0AS1539</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47,237</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#0AS2488</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30,630</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#0AS2591</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18,896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#0AS2676</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6/1/2029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75,404</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#0AS3031</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49,789</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#0AS3034</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31,282</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#0AS3220</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9/1/2029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74,134</w:t>
            </w:r>
          </w:p>
        </w:tc>
      </w:tr>
      <w:tr>
        <w:trPr>
          <w:trHeight w:val="459"/>
        </w:trPr>
        <w:tc>
          <w:tcPr>
            <w:tcW w:w="2940" w:type="dxa"/>
            <w:vAlign w:val="bottom"/>
          </w:tcPr>
          <w:p>
            <w:pPr>
              <w:spacing w:after="0"/>
              <w:rPr>
                <w:sz w:val="24"/>
                <w:szCs w:val="24"/>
                <w:color w:val="auto"/>
              </w:rPr>
            </w:pPr>
          </w:p>
        </w:tc>
        <w:tc>
          <w:tcPr>
            <w:tcW w:w="36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S-32</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39"/>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#0AS3355</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9/1/2029</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56,680</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#0AS5093</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60,571</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#0AS5147</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40,154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#0AS5175</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1,292,821</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#0AS5312</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254,831</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#0AS5365</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254,874</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#0AS5407</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94,558</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#0AS5548</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42,924</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#0AS5551</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42,544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#0AS5614</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55,819</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#0AS5618</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45,859</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#0AS5622</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78,382</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#0AS5623</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79,600</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#0AS5707</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15,501</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#0AS5708</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63,942</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#0AS5714</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55,016</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#0AS5728</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74,470</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#0AS5786</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52,716</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#0AS5872</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62,064</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#0AS5949</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139,144</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#0AS5952</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128,042</w:t>
            </w:r>
          </w:p>
        </w:tc>
      </w:tr>
      <w:tr>
        <w:trPr>
          <w:trHeight w:val="27"/>
        </w:trPr>
        <w:tc>
          <w:tcPr>
            <w:tcW w:w="2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#0AS6008</w:t>
            </w:r>
          </w:p>
        </w:tc>
        <w:tc>
          <w:tcPr>
            <w:tcW w:w="36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154,891</w:t>
            </w:r>
          </w:p>
        </w:tc>
      </w:tr>
      <w:tr>
        <w:trPr>
          <w:trHeight w:val="24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#0AS6009</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113,982</w:t>
            </w:r>
          </w:p>
        </w:tc>
      </w:tr>
      <w:tr>
        <w:trPr>
          <w:trHeight w:val="486"/>
        </w:trPr>
        <w:tc>
          <w:tcPr>
            <w:tcW w:w="2920" w:type="dxa"/>
            <w:vAlign w:val="bottom"/>
          </w:tcPr>
          <w:p>
            <w:pPr>
              <w:spacing w:after="0"/>
              <w:rPr>
                <w:sz w:val="24"/>
                <w:szCs w:val="24"/>
                <w:color w:val="auto"/>
              </w:rPr>
            </w:pPr>
          </w:p>
        </w:tc>
        <w:tc>
          <w:tcPr>
            <w:tcW w:w="36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S-33</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0"/>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94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#0AS8487</w:t>
            </w:r>
          </w:p>
        </w:tc>
        <w:tc>
          <w:tcPr>
            <w:tcW w:w="36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12/1/2046</w:t>
            </w:r>
          </w:p>
        </w:tc>
        <w:tc>
          <w:tcPr>
            <w:tcW w:w="1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445,789</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#0AS8489</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12/1/2046</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409,839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#0AS8509</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12/1/2046</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438,647</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#0AT2037</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28,030</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#0AT2040</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67,082</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#0AT2043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76,376</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#0AT2719</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140,714</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#0AT4327</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83,123</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#0AT6321</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77,156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#0AT6654</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71,584</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#0AT7333</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19,996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#0AT7676</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35,420</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#0AT7940</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81,122</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#0AT8464</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73,009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#0AU0613</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83,814</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#0AU1633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7/1/2043</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167,619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#0AU3032</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8/1/2043</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20,832</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#0AV8876</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12/1/2044</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80,405</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#0AW0391</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4/1/2029</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76,381</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#0AW0937</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4/1/2029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70,692</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#0AW1007</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49,305</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#0AW1247</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5/1/2029</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76,706</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#0AW4287</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20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8/1/2044</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21,640</w:t>
            </w:r>
          </w:p>
        </w:tc>
      </w:tr>
      <w:tr>
        <w:trPr>
          <w:trHeight w:val="459"/>
        </w:trPr>
        <w:tc>
          <w:tcPr>
            <w:tcW w:w="2940" w:type="dxa"/>
            <w:vAlign w:val="bottom"/>
          </w:tcPr>
          <w:p>
            <w:pPr>
              <w:spacing w:after="0"/>
              <w:rPr>
                <w:sz w:val="24"/>
                <w:szCs w:val="24"/>
                <w:color w:val="auto"/>
              </w:rPr>
            </w:pPr>
          </w:p>
        </w:tc>
        <w:tc>
          <w:tcPr>
            <w:tcW w:w="36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S-34</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#0AW7055</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7/1/2044</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41,082</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#0AW8188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9/1/2044</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42,630</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#0AW8191</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9/1/2044</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43,419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#0AX3298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14,935</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#0AX8713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95,606</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#0AX9700</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19,811</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#0AX9701</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61,171</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#0AY0808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1,294,708</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#0AY0828</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28,705</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#0AY3416</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57,938</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#0AY8218</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45,495</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#0AY8440</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743,294</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#0AY9770</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93,021</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#0AZ2170</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25,004</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#0AZ2297</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11,964</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#0AZ4777</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107,606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#0AZ4782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185,667</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#0AZ4838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3,543</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#0AZ4844</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4,876</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#0AZ5719</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#0AZ7833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16,830</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#0AZ8597</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8/1/2030</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7,253</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#0AZ9243</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1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21,304</w:t>
            </w:r>
          </w:p>
        </w:tc>
      </w:tr>
      <w:tr>
        <w:trPr>
          <w:trHeight w:val="486"/>
        </w:trPr>
        <w:tc>
          <w:tcPr>
            <w:tcW w:w="2940" w:type="dxa"/>
            <w:vAlign w:val="bottom"/>
          </w:tcPr>
          <w:p>
            <w:pPr>
              <w:spacing w:after="0"/>
              <w:rPr>
                <w:sz w:val="24"/>
                <w:szCs w:val="24"/>
                <w:color w:val="auto"/>
              </w:rPr>
            </w:pPr>
          </w:p>
        </w:tc>
        <w:tc>
          <w:tcPr>
            <w:tcW w:w="36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S-35</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94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#0AZ9244</w:t>
            </w:r>
          </w:p>
        </w:tc>
        <w:tc>
          <w:tcPr>
            <w:tcW w:w="36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980" w:type="dxa"/>
            <w:vAlign w:val="bottom"/>
            <w:tcBorders>
              <w:top w:val="single" w:sz="8" w:color="auto"/>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24,220</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#0BA2877</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26,979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#0BA2878</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26,969</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#0BA2879</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10/1/2045</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27,386</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#0BC0167</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1,156,036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#0BC1332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1,131,608</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#0BC4752</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304,322</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#0BC8059</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384,965</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#0BC9367</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378,100</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#0BD0824</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126,056</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#0BD3132</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499,559</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#0BD6102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49,612</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#0BD6533</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96,277</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#0BD6718</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28,701</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#0BD7645</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77,470</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#0BD8002</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155,386</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#0BD9640</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294,971</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#0BE3281</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249,290</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POOL #0MA2642</w:t>
            </w:r>
          </w:p>
        </w:tc>
        <w:tc>
          <w:tcPr>
            <w:tcW w:w="36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9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6/1/2046</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89,506</w:t>
            </w:r>
          </w:p>
        </w:tc>
      </w:tr>
      <w:tr>
        <w:trPr>
          <w:trHeight w:val="243"/>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POOL #0MA2670</w:t>
            </w:r>
          </w:p>
        </w:tc>
        <w:tc>
          <w:tcPr>
            <w:tcW w:w="3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9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7/1/2046</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481,599</w:t>
            </w:r>
          </w:p>
        </w:tc>
      </w:tr>
      <w:tr>
        <w:trPr>
          <w:trHeight w:val="27"/>
        </w:trPr>
        <w:tc>
          <w:tcPr>
            <w:tcW w:w="2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2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GTD REMIC P/T</w:t>
            </w:r>
          </w:p>
        </w:tc>
        <w:tc>
          <w:tcPr>
            <w:tcW w:w="36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0.236%</w:t>
            </w:r>
          </w:p>
        </w:tc>
        <w:tc>
          <w:tcPr>
            <w:tcW w:w="19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12/27/2022</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120,022</w:t>
            </w:r>
          </w:p>
        </w:tc>
      </w:tr>
      <w:tr>
        <w:trPr>
          <w:trHeight w:val="27"/>
        </w:trPr>
        <w:tc>
          <w:tcPr>
            <w:tcW w:w="294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400"/>
          </w:cols>
          <w:pgMar w:left="240" w:top="114" w:right="259" w:bottom="1440"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3"/>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FNMA GTD REMIC P/T 02-T6 A1</w:t>
            </w:r>
          </w:p>
        </w:tc>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3.310%</w:t>
            </w:r>
          </w:p>
        </w:tc>
        <w:tc>
          <w:tcPr>
            <w:tcW w:w="236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2/25/2032</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4,934</w:t>
            </w:r>
          </w:p>
        </w:tc>
      </w:tr>
      <w:tr>
        <w:trPr>
          <w:trHeight w:val="27"/>
        </w:trPr>
        <w:tc>
          <w:tcPr>
            <w:tcW w:w="3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FNMA GTD REMIC P/T 14-58 VM</w:t>
            </w:r>
          </w:p>
        </w:tc>
        <w:tc>
          <w:tcPr>
            <w:tcW w:w="3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Agency mortgage backed securities</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36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8/25/2033</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329,440</w:t>
            </w:r>
          </w:p>
        </w:tc>
      </w:tr>
      <w:tr>
        <w:trPr>
          <w:trHeight w:val="237"/>
        </w:trPr>
        <w:tc>
          <w:tcPr>
            <w:tcW w:w="3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Agency Mortgage Backed Securities</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35,870,871</w:t>
            </w:r>
          </w:p>
        </w:tc>
      </w:tr>
      <w:tr>
        <w:trPr>
          <w:trHeight w:val="27"/>
        </w:trPr>
        <w:tc>
          <w:tcPr>
            <w:tcW w:w="3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51"/>
        </w:trPr>
        <w:tc>
          <w:tcPr>
            <w:tcW w:w="332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sectPr>
          <w:pgSz w:w="11900" w:h="16838" w:orient="portrait"/>
          <w:cols w:equalWidth="0" w:num="1">
            <w:col w:w="11400"/>
          </w:cols>
          <w:pgMar w:left="240" w:top="114" w:right="259" w:bottom="1440" w:gutter="0" w:footer="0" w:header="0"/>
          <w:type w:val="continuous"/>
        </w:sectPr>
      </w:pPr>
    </w:p>
    <w:p>
      <w:pPr>
        <w:ind w:left="300"/>
        <w:spacing w:after="0" w:line="314" w:lineRule="auto"/>
        <w:rPr>
          <w:sz w:val="20"/>
          <w:szCs w:val="20"/>
          <w:color w:val="auto"/>
        </w:rPr>
      </w:pPr>
      <w:r>
        <w:rPr>
          <w:rFonts w:ascii="Times New Roman" w:cs="Times New Roman" w:eastAsia="Times New Roman" w:hAnsi="Times New Roman"/>
          <w:sz w:val="18"/>
          <w:szCs w:val="18"/>
          <w:color w:val="auto"/>
        </w:rPr>
        <w:t>AMERICAN CREDIT ACCEP 1 A 144A BAMLL COMMERCIAL M 200P B 144A BANC OF AMERICA COMMER UBS7 BANC OF AMERICA COMMERCI 3 A1A BANC OF AMERICA COMMERCI 4 A1A BEAR STEARNS ALT-A TRUST 13 A1 BEAR STEARNS ARM TRUST 20 7 4A BEAR STEARNS COMMERCI PW17 CABELA'S CREDIT CARD MAS 1A A1 CAPITAL ONE MULTI-ASSET A4 A4 CDGJ COMMERCIAL MO BXCH A 144A CGBAM COMMERCIAL M SMRT B CHASE ISSUANCE TRUST A1 A1 CHRYSLER CAPITAL AUT AA B 144A CITIBANK CREDIT CARD ISS A1 A1 CITIGROUP COMMERCIAL MO C6 A1A CITIGROUP COMMERCIAL MOR P1 XA COMM 2013-GAM GAM A2 144A COMM 2013-LC6 MORTGAGE LC6 XA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8/12/2019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3.490%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4/14/2033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401,004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213,550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6/10/2049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2/10/2051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219,649</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11/25/2034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10/25/2034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6/11/2050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2.260%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1.330%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587,019</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12/15/2027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244,769</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3.213%</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4/10/2028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571,124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1/15/2019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1.760%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8/15/2019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506,238</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1/23/2023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261,579</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12/10/2049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596,008</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3.367%</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2/10/2028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1/10/2046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-3069590</wp:posOffset>
            </wp:positionV>
            <wp:extent cx="72294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-2726690</wp:posOffset>
            </wp:positionV>
            <wp:extent cx="72294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-2383155</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-2040255</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-1697355</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-1354455</wp:posOffset>
            </wp:positionV>
            <wp:extent cx="72294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-1011555</wp:posOffset>
            </wp:positionV>
            <wp:extent cx="72294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-668020</wp:posOffset>
            </wp:positionV>
            <wp:extent cx="72294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3520" w:space="160"/>
            <w:col w:w="7720"/>
          </w:cols>
          <w:pgMar w:left="240" w:top="114" w:right="25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S-37</w:t>
      </w:r>
    </w:p>
    <w:p>
      <w:pPr>
        <w:sectPr>
          <w:pgSz w:w="11900" w:h="16838" w:orient="portrait"/>
          <w:cols w:equalWidth="0" w:num="1">
            <w:col w:w="11400"/>
          </w:cols>
          <w:pgMar w:left="240" w:top="114" w:right="259" w:bottom="1440" w:gutter="0" w:footer="0" w:header="0"/>
          <w:type w:val="continuous"/>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360"/>
          </w:cols>
          <w:pgMar w:left="240" w:top="114" w:right="29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4"/>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680"/>
          </w:cols>
          <w:pgMar w:left="240" w:top="114" w:right="299" w:bottom="1440" w:gutter="0" w:footer="0" w:header="0"/>
          <w:type w:val="continuous"/>
        </w:sectPr>
      </w:pPr>
    </w:p>
    <w:p>
      <w:pPr>
        <w:ind w:left="300" w:right="40"/>
        <w:spacing w:after="0" w:line="313" w:lineRule="auto"/>
        <w:rPr>
          <w:sz w:val="20"/>
          <w:szCs w:val="20"/>
          <w:color w:val="auto"/>
        </w:rPr>
      </w:pPr>
      <w:r>
        <w:rPr>
          <w:rFonts w:ascii="Times New Roman" w:cs="Times New Roman" w:eastAsia="Times New Roman" w:hAnsi="Times New Roman"/>
          <w:sz w:val="18"/>
          <w:szCs w:val="18"/>
          <w:color w:val="auto"/>
        </w:rPr>
        <w:t>COMM 2014-FL5 MORTG FL5 A 144A COMM 2014-LC15 MORTGAG LC15 A4 COMM 2014-PAT MORTG PAT A 144A COMM 2014-TWC MORTG TWC A 144A COMM 2015-3BP MORTG 3BP A 144A COMM 2015-CCRE25 MORTGA CR25 C COMM 2015-DC1 MORTGAGE DC1 A5 COMM 2015-LC21 MORTGAG LC21 XA COMMERCIAL MORTGAGE PAS CR28 CORE INDUSTRIAL T WEST XA 144A CORE INDUSTRIAL TR WEST A 144A CREDIT ACCEPTANCE AU 1A A 144A CREDIT ACCEPTANCE AU 2A A 144A CREDIT ACCEPTANCE AU 2A A 144A CREDIT ACCEPTANCE AU 2A C 144A CSMC TRUST 2015-GL GLPB A 144A CSMC TRUST 2016-NXSR NXSR A4 DBRR 2013-EZ3 TRUST EZ3 A 144A DBUBS 2011-LC1 MO LC1A A2 144A</w:t>
      </w:r>
    </w:p>
    <w:p>
      <w:pPr>
        <w:spacing w:after="0" w:line="3" w:lineRule="exact"/>
        <w:rPr>
          <w:sz w:val="20"/>
          <w:szCs w:val="20"/>
          <w:color w:val="auto"/>
        </w:rPr>
      </w:pPr>
    </w:p>
    <w:p>
      <w:pPr>
        <w:ind w:left="300"/>
        <w:spacing w:after="0" w:line="347" w:lineRule="auto"/>
        <w:rPr>
          <w:sz w:val="20"/>
          <w:szCs w:val="20"/>
          <w:color w:val="auto"/>
        </w:rPr>
      </w:pPr>
      <w:r>
        <w:rPr>
          <w:rFonts w:ascii="Times New Roman" w:cs="Times New Roman" w:eastAsia="Times New Roman" w:hAnsi="Times New Roman"/>
          <w:sz w:val="17"/>
          <w:szCs w:val="17"/>
          <w:color w:val="auto"/>
        </w:rPr>
        <w:t>FORD CREDIT FLOORPLAN MAS 1 A1 GAHR COMMERCIAL NRF AFL1 144A GE COMMERCIAL MORTGAGE C1 A1A GS MORTGAGE SECURITIES GC18 A4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10/15/2031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4.006%</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4/10/2047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8/13/2027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379,045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2/13/2032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3.178%</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2/10/2035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269,951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8/10/2048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284,446</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2/10/2048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7/10/2048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258,522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2/10/2049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2/10/2037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271,823</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3.292%</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2/10/2037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671,205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499,125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11/15/2023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387,090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3.639%</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11/15/2034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401,231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12/18/2049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4.528%</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11/10/2046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568,517</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12/15/2034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382,064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12/10/2049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159,517</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4.074%</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1/10/2047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-3583940</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-3241040</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-2898140</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-2555240</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-2211705</wp:posOffset>
            </wp:positionV>
            <wp:extent cx="72294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-1868805</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-1525905</wp:posOffset>
            </wp:positionV>
            <wp:extent cx="722947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-1183005</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-839470</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-496570</wp:posOffset>
            </wp:positionV>
            <wp:extent cx="72294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-153670</wp:posOffset>
            </wp:positionV>
            <wp:extent cx="722947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3520" w:space="160"/>
            <w:col w:w="7680"/>
          </w:cols>
          <w:pgMar w:left="240" w:top="114"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S-38</w:t>
      </w:r>
    </w:p>
    <w:p>
      <w:pPr>
        <w:sectPr>
          <w:pgSz w:w="11900" w:h="16838" w:orient="portrait"/>
          <w:cols w:equalWidth="0" w:num="1">
            <w:col w:w="11360"/>
          </w:cols>
          <w:pgMar w:left="240" w:top="114" w:right="299" w:bottom="1440" w:gutter="0" w:footer="0" w:header="0"/>
          <w:type w:val="continuous"/>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360"/>
          </w:cols>
          <w:pgMar w:left="240" w:top="114" w:right="29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680"/>
          </w:cols>
          <w:pgMar w:left="240" w:top="114" w:right="299" w:bottom="1440" w:gutter="0" w:footer="0" w:header="0"/>
          <w:type w:val="continuous"/>
        </w:sectPr>
      </w:pPr>
    </w:p>
    <w:p>
      <w:pPr>
        <w:ind w:left="300"/>
        <w:spacing w:after="0" w:line="313" w:lineRule="auto"/>
        <w:rPr>
          <w:sz w:val="20"/>
          <w:szCs w:val="20"/>
          <w:color w:val="auto"/>
        </w:rPr>
      </w:pPr>
      <w:r>
        <w:rPr>
          <w:rFonts w:ascii="Times New Roman" w:cs="Times New Roman" w:eastAsia="Times New Roman" w:hAnsi="Times New Roman"/>
          <w:sz w:val="18"/>
          <w:szCs w:val="18"/>
          <w:color w:val="auto"/>
        </w:rPr>
        <w:t>GS MORTGAGE SECURITIES GC5 A2 IFC SBA LOAN-BACKED A 1 A 144A INVITATION HOMES 2 SFR3 A 144A J.P. MORGAN CHASE NINE A 144A JP MORGAN CHASE CBX A4FL 144A JP MORGAN CHASE COM FL6 A 144A JP MORGAN CHASE COMME CB18 LB-UBS COMMERCIAL MORTG C2 LB-UBS COMMERCIAL MORTGA C1 MORGAN STANLEY BANK OF C25 XA MORGAN STANLEY CAPITA IQ14 A1A MORGAN STANLEY CAPITAL IQ14 A4 MORGAN STANLEY REREM XA A 144A NAVIENT PRIVATE ED AA A2A 144A NAVIENT PRIVATE EDU AA A1 144A NAVIENT PRIVATE EDU CTA A 144A NEXTGEAR FLOORPLAN M 1A A 144A ONEMAIN FINANCIAL IS 1A A 144A ONEMAIN FINANCIAL IS 1A A 144A ONEMAIN FINANCIAL IS 2A A 144A PFS FINANCING CORP A A 144A</w:t>
      </w:r>
    </w:p>
    <w:p>
      <w:pPr>
        <w:spacing w:after="0" w:line="3" w:lineRule="exact"/>
        <w:rPr>
          <w:sz w:val="20"/>
          <w:szCs w:val="20"/>
          <w:color w:val="auto"/>
        </w:rPr>
      </w:pPr>
    </w:p>
    <w:p>
      <w:pPr>
        <w:ind w:left="300" w:right="320"/>
        <w:spacing w:after="0" w:line="379" w:lineRule="auto"/>
        <w:rPr>
          <w:sz w:val="20"/>
          <w:szCs w:val="20"/>
          <w:color w:val="auto"/>
        </w:rPr>
      </w:pPr>
      <w:r>
        <w:rPr>
          <w:rFonts w:ascii="Times New Roman" w:cs="Times New Roman" w:eastAsia="Times New Roman" w:hAnsi="Times New Roman"/>
          <w:sz w:val="17"/>
          <w:szCs w:val="17"/>
          <w:color w:val="auto"/>
        </w:rPr>
        <w:t>PFS FINANCING CORP BA A 144A PRESTIGE AUTO RECEI 1A A3 144A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2.999%</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8/10/2044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1/15/2024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8/17/2032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232,335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10/6/2038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227,738</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6/15/2045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513,360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11/15/2031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6/12/2047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44,626</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5.387%</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2/15/2040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235,964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5.455%</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2/15/2040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180,133</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222,831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140,990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449,692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7/27/2049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12/15/2045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394,456</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49,078</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9/16/2024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48,166</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10/15/2019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3/18/2026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901,352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6/18/2024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9/18/2024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719,979</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2/18/2020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583,665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4/15/2020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-3755390</wp:posOffset>
            </wp:positionV>
            <wp:extent cx="72294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-3412490</wp:posOffset>
            </wp:positionV>
            <wp:extent cx="722947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-3069590</wp:posOffset>
            </wp:positionV>
            <wp:extent cx="72294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-2726690</wp:posOffset>
            </wp:positionV>
            <wp:extent cx="72294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-2383155</wp:posOffset>
            </wp:positionV>
            <wp:extent cx="72294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-2040255</wp:posOffset>
            </wp:positionV>
            <wp:extent cx="72294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-1697355</wp:posOffset>
            </wp:positionV>
            <wp:extent cx="722947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-1354455</wp:posOffset>
            </wp:positionV>
            <wp:extent cx="72294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-1011555</wp:posOffset>
            </wp:positionV>
            <wp:extent cx="72294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-668020</wp:posOffset>
            </wp:positionV>
            <wp:extent cx="722947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22947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3540" w:space="140"/>
            <w:col w:w="7680"/>
          </w:cols>
          <w:pgMar w:left="240" w:top="114"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S-39</w:t>
      </w:r>
    </w:p>
    <w:p>
      <w:pPr>
        <w:sectPr>
          <w:pgSz w:w="11900" w:h="16838" w:orient="portrait"/>
          <w:cols w:equalWidth="0" w:num="1">
            <w:col w:w="11360"/>
          </w:cols>
          <w:pgMar w:left="240" w:top="114" w:right="299" w:bottom="1440" w:gutter="0" w:footer="0" w:header="0"/>
          <w:type w:val="continuous"/>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360"/>
          </w:cols>
          <w:pgMar w:left="240" w:top="114" w:right="29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6"/>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680"/>
          </w:cols>
          <w:pgMar w:left="240" w:top="114" w:right="299" w:bottom="1440" w:gutter="0" w:footer="0" w:header="0"/>
          <w:type w:val="continuous"/>
        </w:sectPr>
      </w:pPr>
    </w:p>
    <w:p>
      <w:pPr>
        <w:ind w:left="300" w:right="80"/>
        <w:spacing w:after="0" w:line="331" w:lineRule="auto"/>
        <w:rPr>
          <w:sz w:val="20"/>
          <w:szCs w:val="20"/>
          <w:color w:val="auto"/>
        </w:rPr>
      </w:pPr>
      <w:r>
        <w:rPr>
          <w:rFonts w:ascii="Times New Roman" w:cs="Times New Roman" w:eastAsia="Times New Roman" w:hAnsi="Times New Roman"/>
          <w:sz w:val="17"/>
          <w:szCs w:val="17"/>
          <w:color w:val="auto"/>
        </w:rPr>
        <w:t>RBSCF TRUST 2009- RR2 WBB 144A SANTANDER DRIVE AUTO AA C 144A SANTANDER DRIVE AUTO REC 5 A2A SANTANDER DRIVE AUTO RECE 2 A3 SANTANDER DRIVE AUTO RECEI 1 B SANTANDER DRIVE AUTO RECEI 1 C SANTANDER DRIVE AUTO RECEI 2 B SANTANDER DRIVE AUTO RECEI 3 C SFAVE COMMERCIAL 5AVE A2A 144A</w:t>
      </w:r>
    </w:p>
    <w:p>
      <w:pPr>
        <w:spacing w:after="0" w:line="5" w:lineRule="exact"/>
        <w:rPr>
          <w:sz w:val="20"/>
          <w:szCs w:val="20"/>
          <w:color w:val="auto"/>
        </w:rPr>
      </w:pPr>
    </w:p>
    <w:p>
      <w:pPr>
        <w:ind w:left="300"/>
        <w:spacing w:after="0" w:line="315" w:lineRule="auto"/>
        <w:rPr>
          <w:sz w:val="20"/>
          <w:szCs w:val="20"/>
          <w:color w:val="auto"/>
        </w:rPr>
      </w:pPr>
      <w:r>
        <w:rPr>
          <w:rFonts w:ascii="Times New Roman" w:cs="Times New Roman" w:eastAsia="Times New Roman" w:hAnsi="Times New Roman"/>
          <w:sz w:val="18"/>
          <w:szCs w:val="18"/>
          <w:color w:val="auto"/>
        </w:rPr>
        <w:t>SG COMMERCIAL MORTGAGE S C5 A4 SLM PRIVATE EDUCATI A A2A 144A SLM PRIVATE EDUCATI A A2B 144A SLM PRIVATE EDUCATI B A2B 144A SLM PRIVATE EDUCATIO A A1 144A SLM PRIVATE EDUCATIO A A1 144A SLM PRIVATE EDUCATIO C A1 144A SLM PRIVATE EDUCATIO C A2 144A SLM PRIVATE EDUCATIO D A2 144A SLM PRIVATE EDUCATIO E A1 144A SMB PRIVATE EDUCATI C A2A 144A SMB PRIVATE EDUCATIO A A1 144A SOFI PROFESSIONAL L C A2A 144A STRIPS 2012-1 LTD 1A A 144A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2/16/2051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11/15/2018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12/17/2018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82,846</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5/15/2020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99,917</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12/15/2020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518,563</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456,824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2/16/2021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365,261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4/15/2019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169,822</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1/5/2043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187,661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3.055%</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10/10/2048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135,840</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5/17/2027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149,516</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5/17/2027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287,095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6/17/2030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367,003</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7/15/2022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32,353</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8/15/2025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10/15/2046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2/15/2046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141,111</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10/16/2023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9/15/2034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314,674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5/15/2023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136,683</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5/26/2031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319,415</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12/25/2044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-3583940</wp:posOffset>
            </wp:positionV>
            <wp:extent cx="722947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-3241040</wp:posOffset>
            </wp:positionV>
            <wp:extent cx="722947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-2898140</wp:posOffset>
            </wp:positionV>
            <wp:extent cx="722947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-2555240</wp:posOffset>
            </wp:positionV>
            <wp:extent cx="722947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-2211705</wp:posOffset>
            </wp:positionV>
            <wp:extent cx="722947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-1868805</wp:posOffset>
            </wp:positionV>
            <wp:extent cx="722947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-1525905</wp:posOffset>
            </wp:positionV>
            <wp:extent cx="722947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-1183005</wp:posOffset>
            </wp:positionV>
            <wp:extent cx="722947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-839470</wp:posOffset>
            </wp:positionV>
            <wp:extent cx="722947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-496570</wp:posOffset>
            </wp:positionV>
            <wp:extent cx="722947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-153670</wp:posOffset>
            </wp:positionV>
            <wp:extent cx="722947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3520" w:space="160"/>
            <w:col w:w="7680"/>
          </w:cols>
          <w:pgMar w:left="240" w:top="114"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S-40</w:t>
      </w:r>
    </w:p>
    <w:p>
      <w:pPr>
        <w:sectPr>
          <w:pgSz w:w="11900" w:h="16838" w:orient="portrait"/>
          <w:cols w:equalWidth="0" w:num="1">
            <w:col w:w="11360"/>
          </w:cols>
          <w:pgMar w:left="240" w:top="114" w:right="299" w:bottom="1440" w:gutter="0" w:footer="0" w:header="0"/>
          <w:type w:val="continuous"/>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7"/>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p>
      <w:pPr>
        <w:ind w:left="300"/>
        <w:spacing w:after="0" w:line="319" w:lineRule="auto"/>
        <w:rPr>
          <w:sz w:val="20"/>
          <w:szCs w:val="20"/>
          <w:color w:val="auto"/>
        </w:rPr>
      </w:pPr>
      <w:r>
        <w:rPr>
          <w:rFonts w:ascii="Times New Roman" w:cs="Times New Roman" w:eastAsia="Times New Roman" w:hAnsi="Times New Roman"/>
          <w:sz w:val="18"/>
          <w:szCs w:val="18"/>
          <w:color w:val="auto"/>
        </w:rPr>
        <w:t>STRUCTURED ADJUSTABLE RA 13 A2 SYNCHRONY CREDIT CARD MAST 1 A WELLS FARGO COMMERCIAL C28 A4 WORLD FINANCIAL NETWORK CR WORLD FINANCIAL NETWORK CR WORLD FINANCIAL NETWORK CR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 RT</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9/25/2034</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43,408</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3/15/2022</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572,387</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5/15/2048</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148,919</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12/15/2021</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641,166</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8/15/2022</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262,365</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 other mtg backed securities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4/17/2023</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203,331</w:t>
            </w:r>
          </w:p>
        </w:tc>
      </w:tr>
      <w:tr>
        <w:trPr>
          <w:trHeight w:val="27"/>
        </w:trPr>
        <w:tc>
          <w:tcPr>
            <w:tcW w:w="250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spacing w:after="0"/>
              <w:rPr>
                <w:sz w:val="20"/>
                <w:szCs w:val="20"/>
                <w:color w:val="auto"/>
              </w:rPr>
            </w:pPr>
          </w:p>
        </w:tc>
        <w:tc>
          <w:tcPr>
            <w:tcW w:w="3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Total Asset and other Mortgage Backed Securities</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23,194,575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-1019810</wp:posOffset>
            </wp:positionV>
            <wp:extent cx="722947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-676910</wp:posOffset>
            </wp:positionV>
            <wp:extent cx="722947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-334010</wp:posOffset>
            </wp:positionV>
            <wp:extent cx="722947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160"/>
            <w:col w:w="7720"/>
          </w:cols>
          <w:pgMar w:left="240" w:top="114" w:right="259" w:bottom="1440" w:gutter="0" w:footer="0" w:header="0"/>
          <w:type w:val="continuous"/>
        </w:sectPr>
      </w:pP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COLOMBIA GOVT INTERNATIONAL</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8.125%</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5/21/2024</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262,500</w:t>
            </w:r>
          </w:p>
        </w:tc>
      </w:tr>
      <w:tr>
        <w:trPr>
          <w:trHeight w:val="27"/>
        </w:trPr>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ISRAEL ST AID</w:t>
            </w: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9/18/2033</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142,428</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MEXICO GOVT INTERNATIONAL</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4.125%</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1/21/2026</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218,240</w:t>
            </w:r>
          </w:p>
        </w:tc>
      </w:tr>
      <w:tr>
        <w:trPr>
          <w:trHeight w:val="27"/>
        </w:trPr>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MEXICO GOVT INTERNATIONAL</w:t>
            </w: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3.625%</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3/15/2022</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170,340</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MEXICO GOVT INTERNATIONAL</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10/2/2023</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100,240</w:t>
            </w:r>
          </w:p>
        </w:tc>
      </w:tr>
      <w:tr>
        <w:trPr>
          <w:trHeight w:val="27"/>
        </w:trPr>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MEXICO GOVT INTERNATIONAL</w:t>
            </w: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1/21/2021</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28,448</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PROVINCE OF ONTARIO CANADA</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10/25/2017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184,714</w:t>
            </w:r>
          </w:p>
        </w:tc>
      </w:tr>
      <w:tr>
        <w:trPr>
          <w:trHeight w:val="27"/>
        </w:trPr>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TURKEY GOVT INTERNATIONAL</w:t>
            </w: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3/22/2024</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210,607</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URUGUAY GOVT INTERNATIONAL</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U.S. Government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4.375%</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10/27/2027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135,344</w:t>
            </w:r>
          </w:p>
        </w:tc>
      </w:tr>
      <w:tr>
        <w:trPr>
          <w:trHeight w:val="27"/>
        </w:trPr>
        <w:tc>
          <w:tcPr>
            <w:tcW w:w="34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Non U.S. Government Funds</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1,452,861</w:t>
            </w:r>
          </w:p>
        </w:tc>
      </w:tr>
      <w:tr>
        <w:trPr>
          <w:trHeight w:val="351"/>
        </w:trPr>
        <w:tc>
          <w:tcPr>
            <w:tcW w:w="3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ALLERGAN PLC</w:t>
            </w: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1,546,934</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ALPHABET INC-CL C</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1,247,261</w:t>
            </w:r>
          </w:p>
        </w:tc>
      </w:tr>
      <w:tr>
        <w:trPr>
          <w:trHeight w:val="27"/>
        </w:trPr>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ANHEUSER-BUSCH INBEV SA/NV</w:t>
            </w:r>
          </w:p>
        </w:tc>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652,345</w:t>
            </w:r>
          </w:p>
        </w:tc>
      </w:tr>
      <w:tr>
        <w:trPr>
          <w:trHeight w:val="243"/>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APPLE INC</w:t>
            </w:r>
          </w:p>
        </w:tc>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1,235,336</w:t>
            </w:r>
          </w:p>
        </w:tc>
      </w:tr>
      <w:tr>
        <w:trPr>
          <w:trHeight w:val="486"/>
        </w:trPr>
        <w:tc>
          <w:tcPr>
            <w:tcW w:w="3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S-41</w:t>
            </w: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80" w:hanging="435"/>
        <w:spacing w:after="0"/>
        <w:tabs>
          <w:tab w:leader="none" w:pos="480" w:val="left"/>
        </w:tabs>
        <w:numPr>
          <w:ilvl w:val="0"/>
          <w:numId w:val="4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50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520" w:space="220"/>
            <w:col w:w="766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66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APPLIED MATERIALS INC</w:t>
            </w:r>
          </w:p>
        </w:tc>
        <w:tc>
          <w:tcPr>
            <w:tcW w:w="154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1,455,022</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AXA SA</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1,022,426</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BB&amp;T CORP</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1,683,551</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CHUBB LTD</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1,469,571</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COCA-COLA EUROPEAN PARTNERS PL</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1,002,414</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CSRA INC</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24,167</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DANAHER CORP</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1,016,123</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DENTSPLY SIRONA INC</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941,865</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ESSILOR INTERNATIONAL SA</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1,223,196</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DYNAMICS CORP</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1,266,979</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DEPOT INC/THE</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1,071,701</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JPMORGAN CHASE &amp; CO</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1,249,048</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LLOYDS BANKING GROUP PLC</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203,591</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MICROSOFT CORP</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1,624,340</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NEXTERA ENERGY INC</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1,243,220</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PTC INC</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1,272,610</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RAYTHEON CO</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1,145,372</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SAFRAN SA</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1,252,152</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SAMSUNG ELECTRONICS CO LTD</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1,456,907</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SYMRISE AG</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825,156</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TIME WARNER INC</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1,291,861</w:t>
            </w:r>
          </w:p>
        </w:tc>
      </w:tr>
      <w:tr>
        <w:trPr>
          <w:trHeight w:val="243"/>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TJX COS INC/THE</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1,007,118</w:t>
            </w:r>
          </w:p>
        </w:tc>
      </w:tr>
      <w:tr>
        <w:trPr>
          <w:trHeight w:val="27"/>
        </w:trPr>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PARCEL SERVICE INC</w:t>
            </w:r>
          </w:p>
        </w:tc>
        <w:tc>
          <w:tcPr>
            <w:tcW w:w="1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6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1,328,334</w:t>
            </w:r>
          </w:p>
        </w:tc>
      </w:tr>
      <w:tr>
        <w:trPr>
          <w:trHeight w:val="459"/>
        </w:trPr>
        <w:tc>
          <w:tcPr>
            <w:tcW w:w="3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S-42</w:t>
            </w:r>
          </w:p>
        </w:tc>
      </w:tr>
    </w:tbl>
    <w:p>
      <w:pPr>
        <w:sectPr>
          <w:pgSz w:w="11900" w:h="16838" w:orient="portrait"/>
          <w:cols w:equalWidth="0" w:num="1">
            <w:col w:w="11400"/>
          </w:cols>
          <w:pgMar w:left="240" w:top="114" w:right="259" w:bottom="1440" w:gutter="0" w:footer="0" w:header="0"/>
          <w:type w:val="continuous"/>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60" w:hanging="422"/>
        <w:spacing w:after="0"/>
        <w:tabs>
          <w:tab w:leader="none" w:pos="460" w:val="left"/>
        </w:tabs>
        <w:numPr>
          <w:ilvl w:val="0"/>
          <w:numId w:val="49"/>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(e) Current Value</w:t>
            </w:r>
          </w:p>
        </w:tc>
        <w:tc>
          <w:tcPr>
            <w:tcW w:w="0" w:type="dxa"/>
            <w:vAlign w:val="bottom"/>
          </w:tcPr>
          <w:p>
            <w:pPr>
              <w:spacing w:after="0"/>
              <w:rPr>
                <w:sz w:val="1"/>
                <w:szCs w:val="1"/>
                <w:color w:val="auto"/>
              </w:rPr>
            </w:pPr>
          </w:p>
        </w:tc>
      </w:tr>
      <w:tr>
        <w:trPr>
          <w:trHeight w:val="13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2294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80" w:space="200"/>
            <w:col w:w="772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UNIVERSAL DISPLAY CORP</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2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677,571</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 BANCORP</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23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1,541,871</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VISA INC</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2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1,483,706</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VODAFONE GROUP PLC</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23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1,304,500</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WELLS FARGO &amp; CO</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2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1,336,693</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WPP PLC</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23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806,495</w:t>
            </w:r>
          </w:p>
        </w:tc>
      </w:tr>
      <w:tr>
        <w:trPr>
          <w:trHeight w:val="237"/>
        </w:trPr>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Common Stock</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37,909,436</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51"/>
        </w:trPr>
        <w:tc>
          <w:tcPr>
            <w:tcW w:w="31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11/15/2041</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2,562,580</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11/15/2043</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821,997</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8/15/2041</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777,139</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11/15/2046</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655,360</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5/15/2037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644,494</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2/15/2042</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547,953</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8/15/2044</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435,207</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8/15/2045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408,980</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5/15/2046</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386,572</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2/15/2046</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259,914</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5/15/2045</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217,026</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BOND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8/15/2046</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92,490</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11/30/2023</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7,013,115</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4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11/15/2019</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6,915,783</w:t>
            </w:r>
          </w:p>
        </w:tc>
      </w:tr>
      <w:tr>
        <w:trPr>
          <w:trHeight w:val="243"/>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0.875%</w:t>
            </w:r>
          </w:p>
        </w:tc>
        <w:tc>
          <w:tcPr>
            <w:tcW w:w="24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9/15/2019</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6,123,801</w:t>
            </w:r>
          </w:p>
        </w:tc>
      </w:tr>
      <w:tr>
        <w:trPr>
          <w:trHeight w:val="486"/>
        </w:trPr>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S-43</w:t>
            </w: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Schedule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Assets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5500, Schedule H, Line 4i</w:t>
      </w:r>
    </w:p>
    <w:p>
      <w:pPr>
        <w:spacing w:after="0"/>
        <w:rPr>
          <w:sz w:val="20"/>
          <w:szCs w:val="20"/>
          <w:color w:val="auto"/>
        </w:rPr>
      </w:pPr>
      <w:r>
        <w:rPr>
          <w:rFonts w:ascii="Arial" w:cs="Arial" w:eastAsia="Arial" w:hAnsi="Arial"/>
          <w:sz w:val="20"/>
          <w:szCs w:val="20"/>
          <w:b w:val="1"/>
          <w:bCs w:val="1"/>
          <w:color w:val="auto"/>
        </w:rPr>
        <w:t>Computer Sciences Corporation</w:t>
      </w:r>
    </w:p>
    <w:p>
      <w:pPr>
        <w:spacing w:after="0"/>
        <w:rPr>
          <w:sz w:val="20"/>
          <w:szCs w:val="20"/>
          <w:color w:val="auto"/>
        </w:rPr>
      </w:pPr>
      <w:r>
        <w:rPr>
          <w:rFonts w:ascii="Arial" w:cs="Arial" w:eastAsia="Arial" w:hAnsi="Arial"/>
          <w:sz w:val="20"/>
          <w:szCs w:val="20"/>
          <w:b w:val="1"/>
          <w:bCs w:val="1"/>
          <w:color w:val="auto"/>
        </w:rPr>
        <w:t>EIN 95-2043126</w:t>
      </w:r>
    </w:p>
    <w:p>
      <w:pPr>
        <w:spacing w:after="0"/>
        <w:rPr>
          <w:sz w:val="20"/>
          <w:szCs w:val="20"/>
          <w:color w:val="auto"/>
        </w:rPr>
      </w:pPr>
      <w:r>
        <w:rPr>
          <w:rFonts w:ascii="Arial" w:cs="Arial" w:eastAsia="Arial" w:hAnsi="Arial"/>
          <w:sz w:val="20"/>
          <w:szCs w:val="20"/>
          <w:b w:val="1"/>
          <w:bCs w:val="1"/>
          <w:color w:val="auto"/>
        </w:rPr>
        <w:t>Computer Sciences Corporation Matched Asset Plan 001</w:t>
      </w:r>
    </w:p>
    <w:p>
      <w:pPr>
        <w:sectPr>
          <w:pgSz w:w="11900" w:h="16838" w:orient="portrait"/>
          <w:cols w:equalWidth="0" w:num="1">
            <w:col w:w="11400"/>
          </w:cols>
          <w:pgMar w:left="240" w:top="114" w:right="259" w:bottom="1440" w:gutter="0" w:footer="0" w:header="0"/>
        </w:sectPr>
      </w:pPr>
    </w:p>
    <w:p>
      <w:pPr>
        <w:spacing w:after="0" w:line="369" w:lineRule="exact"/>
        <w:rPr>
          <w:sz w:val="20"/>
          <w:szCs w:val="20"/>
          <w:color w:val="auto"/>
        </w:rPr>
      </w:pPr>
    </w:p>
    <w:p>
      <w:pPr>
        <w:ind w:left="440" w:hanging="402"/>
        <w:spacing w:after="0"/>
        <w:tabs>
          <w:tab w:leader="none" w:pos="440" w:val="left"/>
        </w:tabs>
        <w:numPr>
          <w:ilvl w:val="0"/>
          <w:numId w:val="50"/>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b w:val="1"/>
          <w:bCs w:val="1"/>
          <w:color w:val="auto"/>
        </w:rPr>
        <w:t>(b) Identity of issue, borrower, lessor or</w:t>
      </w:r>
    </w:p>
    <w:p>
      <w:pPr>
        <w:spacing w:after="0" w:line="1" w:lineRule="exact"/>
        <w:rPr>
          <w:rFonts w:ascii="Times New Roman" w:cs="Times New Roman" w:eastAsia="Times New Roman" w:hAnsi="Times New Roman"/>
          <w:sz w:val="34"/>
          <w:szCs w:val="34"/>
          <w:b w:val="1"/>
          <w:bCs w:val="1"/>
          <w:color w:val="auto"/>
          <w:vertAlign w:val="subscript"/>
        </w:rPr>
      </w:pPr>
    </w:p>
    <w:p>
      <w:pPr>
        <w:ind w:left="146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b w:val="1"/>
          <w:bCs w:val="1"/>
          <w:color w:val="auto"/>
        </w:rPr>
        <w:t>similar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 rate of</w:t>
            </w: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w w:val="97"/>
              </w:rPr>
              <w:t>(e) Current Value</w:t>
            </w:r>
          </w:p>
        </w:tc>
        <w:tc>
          <w:tcPr>
            <w:tcW w:w="0" w:type="dxa"/>
            <w:vAlign w:val="bottom"/>
          </w:tcPr>
          <w:p>
            <w:pPr>
              <w:spacing w:after="0"/>
              <w:rPr>
                <w:sz w:val="1"/>
                <w:szCs w:val="1"/>
                <w:color w:val="auto"/>
              </w:rPr>
            </w:pPr>
          </w:p>
        </w:tc>
      </w:tr>
      <w:tr>
        <w:trPr>
          <w:trHeight w:val="13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collateral, par or maturity value</w:t>
            </w:r>
          </w:p>
        </w:tc>
        <w:tc>
          <w:tcPr>
            <w:tcW w:w="11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2">
            <w:col w:w="3480" w:space="180"/>
            <w:col w:w="7740"/>
          </w:cols>
          <w:pgMar w:left="240" w:top="114"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0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c>
          <w:tcPr>
            <w:tcW w:w="2400" w:type="dxa"/>
            <w:vAlign w:val="bottom"/>
            <w:tcBorders>
              <w:top w:val="single" w:sz="8" w:color="auto"/>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7/31/2021</w:t>
            </w: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4,896,037</w:t>
            </w:r>
          </w:p>
        </w:tc>
      </w:tr>
      <w:tr>
        <w:trPr>
          <w:trHeight w:val="243"/>
        </w:trPr>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7/31/2023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4,481,093</w:t>
            </w:r>
          </w:p>
        </w:tc>
      </w:tr>
      <w:tr>
        <w:trPr>
          <w:trHeight w:val="27"/>
        </w:trPr>
        <w:tc>
          <w:tcPr>
            <w:tcW w:w="3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c>
          <w:tcPr>
            <w:tcW w:w="24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6/30/2021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4,374,691</w:t>
            </w:r>
          </w:p>
        </w:tc>
      </w:tr>
      <w:tr>
        <w:trPr>
          <w:trHeight w:val="243"/>
        </w:trPr>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3/31/2023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3,761,763</w:t>
            </w:r>
          </w:p>
        </w:tc>
      </w:tr>
      <w:tr>
        <w:trPr>
          <w:trHeight w:val="27"/>
        </w:trPr>
        <w:tc>
          <w:tcPr>
            <w:tcW w:w="3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0.750%</w:t>
            </w:r>
          </w:p>
        </w:tc>
        <w:tc>
          <w:tcPr>
            <w:tcW w:w="24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8/31/2018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3,110,682</w:t>
            </w:r>
          </w:p>
        </w:tc>
      </w:tr>
      <w:tr>
        <w:trPr>
          <w:trHeight w:val="243"/>
        </w:trPr>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11/30/2018</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1,606,318</w:t>
            </w:r>
          </w:p>
        </w:tc>
      </w:tr>
      <w:tr>
        <w:trPr>
          <w:trHeight w:val="27"/>
        </w:trPr>
        <w:tc>
          <w:tcPr>
            <w:tcW w:w="3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w:t>
            </w:r>
          </w:p>
        </w:tc>
        <w:tc>
          <w:tcPr>
            <w:tcW w:w="24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4/30/2023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1,562,009</w:t>
            </w:r>
          </w:p>
        </w:tc>
      </w:tr>
      <w:tr>
        <w:trPr>
          <w:trHeight w:val="243"/>
        </w:trPr>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7/31/2021</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1,462,556</w:t>
            </w:r>
          </w:p>
        </w:tc>
      </w:tr>
      <w:tr>
        <w:trPr>
          <w:trHeight w:val="27"/>
        </w:trPr>
        <w:tc>
          <w:tcPr>
            <w:tcW w:w="3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24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11/15/2026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1,457,654</w:t>
            </w:r>
          </w:p>
        </w:tc>
      </w:tr>
      <w:tr>
        <w:trPr>
          <w:trHeight w:val="243"/>
        </w:trPr>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12/15/2019</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974,336</w:t>
            </w:r>
          </w:p>
        </w:tc>
      </w:tr>
      <w:tr>
        <w:trPr>
          <w:trHeight w:val="27"/>
        </w:trPr>
        <w:tc>
          <w:tcPr>
            <w:tcW w:w="3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24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9/30/2023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672,364</w:t>
            </w:r>
          </w:p>
        </w:tc>
      </w:tr>
      <w:tr>
        <w:trPr>
          <w:trHeight w:val="243"/>
        </w:trPr>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11/30/2021</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635,225</w:t>
            </w:r>
          </w:p>
        </w:tc>
      </w:tr>
      <w:tr>
        <w:trPr>
          <w:trHeight w:val="27"/>
        </w:trPr>
        <w:tc>
          <w:tcPr>
            <w:tcW w:w="3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c>
          <w:tcPr>
            <w:tcW w:w="24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8/31/2020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609,703</w:t>
            </w:r>
          </w:p>
        </w:tc>
      </w:tr>
      <w:tr>
        <w:trPr>
          <w:trHeight w:val="243"/>
        </w:trPr>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 S TREASURY NOTE</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Treasuries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8/15/2026</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498,952</w:t>
            </w:r>
          </w:p>
        </w:tc>
      </w:tr>
      <w:tr>
        <w:trPr>
          <w:trHeight w:val="27"/>
        </w:trPr>
        <w:tc>
          <w:tcPr>
            <w:tcW w:w="30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Total U.S. Treasuries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57,965,794</w:t>
            </w:r>
          </w:p>
        </w:tc>
      </w:tr>
      <w:tr>
        <w:trPr>
          <w:trHeight w:val="351"/>
        </w:trPr>
        <w:tc>
          <w:tcPr>
            <w:tcW w:w="3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Self-Directed Brokerage</w:t>
            </w:r>
          </w:p>
        </w:tc>
        <w:tc>
          <w:tcPr>
            <w:tcW w:w="2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25,645,045</w:t>
            </w:r>
          </w:p>
        </w:tc>
      </w:tr>
      <w:tr>
        <w:trPr>
          <w:trHeight w:val="351"/>
        </w:trPr>
        <w:tc>
          <w:tcPr>
            <w:tcW w:w="308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24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57"/>
        </w:trPr>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Assets (Held at End of Year)</w:t>
            </w:r>
          </w:p>
        </w:tc>
        <w:tc>
          <w:tcPr>
            <w:tcW w:w="27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2,532,095,391</w:t>
            </w:r>
          </w:p>
        </w:tc>
      </w:tr>
      <w:tr>
        <w:trPr>
          <w:trHeight w:val="20"/>
        </w:trPr>
        <w:tc>
          <w:tcPr>
            <w:tcW w:w="3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29475" cy="445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9475" cy="445770"/>
                    </a:xfrm>
                    <a:prstGeom prst="rect">
                      <a:avLst/>
                    </a:prstGeom>
                    <a:noFill/>
                  </pic:spPr>
                </pic:pic>
              </a:graphicData>
            </a:graphic>
          </wp:anchor>
        </w:drawing>
      </w:r>
    </w:p>
    <w:p>
      <w:pPr>
        <w:spacing w:after="0" w:line="338" w:lineRule="exact"/>
        <w:rPr>
          <w:sz w:val="20"/>
          <w:szCs w:val="20"/>
          <w:color w:val="auto"/>
        </w:rPr>
      </w:pPr>
    </w:p>
    <w:p>
      <w:pPr>
        <w:ind w:left="300" w:right="5060" w:firstLine="5"/>
        <w:spacing w:after="0" w:line="228" w:lineRule="auto"/>
        <w:tabs>
          <w:tab w:leader="none" w:pos="394" w:val="left"/>
        </w:tabs>
        <w:numPr>
          <w:ilvl w:val="0"/>
          <w:numId w:val="51"/>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8"/>
          <w:szCs w:val="18"/>
          <w:i w:val="1"/>
          <w:iCs w:val="1"/>
          <w:color w:val="auto"/>
        </w:rPr>
        <w:t>Represents taxed loan balances with original maturity dates of 2004 through 2029 for active employees. These active employees retain the right to pay back the loan balances.</w:t>
      </w:r>
    </w:p>
    <w:p>
      <w:pPr>
        <w:spacing w:after="0" w:line="35" w:lineRule="exact"/>
        <w:rPr>
          <w:rFonts w:ascii="Times New Roman" w:cs="Times New Roman" w:eastAsia="Times New Roman" w:hAnsi="Times New Roman"/>
          <w:sz w:val="25"/>
          <w:szCs w:val="25"/>
          <w:i w:val="1"/>
          <w:iCs w:val="1"/>
          <w:color w:val="auto"/>
          <w:vertAlign w:val="superscript"/>
        </w:rPr>
      </w:pPr>
    </w:p>
    <w:p>
      <w:pPr>
        <w:ind w:left="300"/>
        <w:spacing w:after="0"/>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8"/>
          <w:szCs w:val="18"/>
          <w:i w:val="1"/>
          <w:iCs w:val="1"/>
          <w:color w:val="auto"/>
        </w:rPr>
        <w:t>* Represents Party in Interest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400"/>
          </w:cols>
          <w:pgMar w:left="240" w:top="114" w:right="259" w:bottom="1440" w:gutter="0" w:footer="0" w:header="0"/>
          <w:type w:val="continuous"/>
        </w:sectPr>
      </w:pPr>
    </w:p>
    <w:bookmarkStart w:id="61" w:name="page62"/>
    <w:bookmarkEnd w:id="61"/>
    <w:p>
      <w:pPr>
        <w:ind w:left="4720"/>
        <w:spacing w:after="0"/>
        <w:rPr>
          <w:sz w:val="20"/>
          <w:szCs w:val="20"/>
          <w:color w:val="auto"/>
        </w:rPr>
      </w:pPr>
      <w:r>
        <w:rPr>
          <w:rFonts w:ascii="Times New Roman" w:cs="Times New Roman" w:eastAsia="Times New Roman" w:hAnsi="Times New Roman"/>
          <w:sz w:val="20"/>
          <w:szCs w:val="20"/>
          <w:b w:val="1"/>
          <w:bCs w:val="1"/>
          <w:color w:val="auto"/>
        </w:rPr>
        <w:t>Supplemental Schedule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of Reportable Transactions for the Year ended December 31, 2016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Computer Sciences Corporation</w:t>
      </w:r>
    </w:p>
    <w:p>
      <w:pPr>
        <w:spacing w:after="0"/>
        <w:rPr>
          <w:sz w:val="20"/>
          <w:szCs w:val="20"/>
          <w:color w:val="auto"/>
        </w:rPr>
      </w:pPr>
      <w:r>
        <w:rPr>
          <w:rFonts w:ascii="Times New Roman" w:cs="Times New Roman" w:eastAsia="Times New Roman" w:hAnsi="Times New Roman"/>
          <w:sz w:val="20"/>
          <w:szCs w:val="20"/>
          <w:b w:val="1"/>
          <w:bCs w:val="1"/>
          <w:color w:val="auto"/>
        </w:rPr>
        <w:t>Form 5500, Schedule H, Line 4j</w:t>
      </w:r>
    </w:p>
    <w:p>
      <w:pPr>
        <w:spacing w:after="0"/>
        <w:rPr>
          <w:sz w:val="20"/>
          <w:szCs w:val="20"/>
          <w:color w:val="auto"/>
        </w:rPr>
      </w:pPr>
      <w:r>
        <w:rPr>
          <w:rFonts w:ascii="Times New Roman" w:cs="Times New Roman" w:eastAsia="Times New Roman" w:hAnsi="Times New Roman"/>
          <w:sz w:val="20"/>
          <w:szCs w:val="20"/>
          <w:b w:val="1"/>
          <w:bCs w:val="1"/>
          <w:color w:val="auto"/>
        </w:rPr>
        <w:t>EIN 95-2043126</w:t>
      </w:r>
    </w:p>
    <w:p>
      <w:pPr>
        <w:spacing w:after="0"/>
        <w:rPr>
          <w:sz w:val="20"/>
          <w:szCs w:val="20"/>
          <w:color w:val="auto"/>
        </w:rPr>
      </w:pPr>
      <w:r>
        <w:rPr>
          <w:rFonts w:ascii="Times New Roman" w:cs="Times New Roman" w:eastAsia="Times New Roman" w:hAnsi="Times New Roman"/>
          <w:sz w:val="20"/>
          <w:szCs w:val="20"/>
          <w:b w:val="1"/>
          <w:bCs w:val="1"/>
          <w:color w:val="auto"/>
        </w:rPr>
        <w:t>Computer Sciences Corporation Matched Asset Plan 001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76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(a)</w:t>
            </w:r>
          </w:p>
        </w:tc>
        <w:tc>
          <w:tcPr>
            <w:tcW w:w="19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16"/>
                <w:szCs w:val="16"/>
                <w:color w:val="auto"/>
              </w:rPr>
            </w:pPr>
          </w:p>
        </w:tc>
        <w:tc>
          <w:tcPr>
            <w:tcW w:w="13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(c)</w:t>
            </w:r>
          </w:p>
        </w:tc>
        <w:tc>
          <w:tcPr>
            <w:tcW w:w="10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w:t>
            </w:r>
          </w:p>
        </w:tc>
        <w:tc>
          <w:tcPr>
            <w:tcW w:w="200" w:type="dxa"/>
            <w:vAlign w:val="bottom"/>
          </w:tcPr>
          <w:p>
            <w:pPr>
              <w:spacing w:after="0"/>
              <w:rPr>
                <w:sz w:val="16"/>
                <w:szCs w:val="16"/>
                <w:color w:val="auto"/>
              </w:rPr>
            </w:pPr>
          </w:p>
        </w:tc>
        <w:tc>
          <w:tcPr>
            <w:tcW w:w="10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(g)</w:t>
            </w:r>
          </w:p>
        </w:tc>
        <w:tc>
          <w:tcPr>
            <w:tcW w:w="140" w:type="dxa"/>
            <w:vAlign w:val="bottom"/>
          </w:tcPr>
          <w:p>
            <w:pPr>
              <w:spacing w:after="0"/>
              <w:rPr>
                <w:sz w:val="16"/>
                <w:szCs w:val="16"/>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(h)</w:t>
            </w:r>
          </w:p>
        </w:tc>
        <w:tc>
          <w:tcPr>
            <w:tcW w:w="18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Current value of</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Identity of party involved</w:t>
            </w:r>
          </w:p>
        </w:tc>
        <w:tc>
          <w:tcPr>
            <w:tcW w:w="19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80" w:type="dxa"/>
            <w:vAlign w:val="bottom"/>
          </w:tcPr>
          <w:p>
            <w:pPr>
              <w:spacing w:after="0"/>
              <w:rPr>
                <w:sz w:val="12"/>
                <w:szCs w:val="12"/>
                <w:color w:val="auto"/>
              </w:rPr>
            </w:pPr>
          </w:p>
        </w:tc>
        <w:tc>
          <w:tcPr>
            <w:tcW w:w="13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0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Selling price</w:t>
            </w:r>
          </w:p>
        </w:tc>
        <w:tc>
          <w:tcPr>
            <w:tcW w:w="200" w:type="dxa"/>
            <w:vAlign w:val="bottom"/>
          </w:tcPr>
          <w:p>
            <w:pPr>
              <w:spacing w:after="0"/>
              <w:rPr>
                <w:sz w:val="12"/>
                <w:szCs w:val="12"/>
                <w:color w:val="auto"/>
              </w:rPr>
            </w:pPr>
          </w:p>
        </w:tc>
        <w:tc>
          <w:tcPr>
            <w:tcW w:w="10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 of asset</w:t>
            </w:r>
          </w:p>
        </w:tc>
        <w:tc>
          <w:tcPr>
            <w:tcW w:w="140" w:type="dxa"/>
            <w:vAlign w:val="bottom"/>
          </w:tcPr>
          <w:p>
            <w:pPr>
              <w:spacing w:after="0"/>
              <w:rPr>
                <w:sz w:val="12"/>
                <w:szCs w:val="12"/>
                <w:color w:val="auto"/>
              </w:rPr>
            </w:pPr>
          </w:p>
        </w:tc>
        <w:tc>
          <w:tcPr>
            <w:tcW w:w="110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asset on</w:t>
            </w:r>
          </w:p>
        </w:tc>
        <w:tc>
          <w:tcPr>
            <w:tcW w:w="180" w:type="dxa"/>
            <w:vAlign w:val="bottom"/>
          </w:tcPr>
          <w:p>
            <w:pPr>
              <w:spacing w:after="0"/>
              <w:rPr>
                <w:sz w:val="12"/>
                <w:szCs w:val="12"/>
                <w:color w:val="auto"/>
              </w:rPr>
            </w:pPr>
          </w:p>
        </w:tc>
        <w:tc>
          <w:tcPr>
            <w:tcW w:w="11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gain (loss)</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gridSpan w:val="2"/>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34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Single transactions in</w:t>
            </w:r>
          </w:p>
        </w:tc>
        <w:tc>
          <w:tcPr>
            <w:tcW w:w="17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Bank of NY Mellon</w:t>
            </w:r>
          </w:p>
        </w:tc>
        <w:tc>
          <w:tcPr>
            <w:tcW w:w="192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EB TEMP INV FD</w:t>
            </w:r>
          </w:p>
        </w:tc>
        <w:tc>
          <w:tcPr>
            <w:tcW w:w="2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134,024,368</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134,024,368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134,024,368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excess of 5%:</w:t>
            </w:r>
          </w:p>
        </w:tc>
        <w:tc>
          <w:tcPr>
            <w:tcW w:w="176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996115960 Sale</w:t>
            </w:r>
          </w:p>
        </w:tc>
        <w:tc>
          <w:tcPr>
            <w:tcW w:w="28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Series of transactions</w:t>
            </w:r>
          </w:p>
        </w:tc>
        <w:tc>
          <w:tcPr>
            <w:tcW w:w="1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excess of 5%:</w:t>
            </w:r>
          </w:p>
        </w:tc>
        <w:tc>
          <w:tcPr>
            <w:tcW w:w="1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340" w:type="dxa"/>
            <w:vAlign w:val="bottom"/>
            <w:shd w:val="clear" w:color="auto" w:fill="CCEEFF"/>
          </w:tcPr>
          <w:p>
            <w:pPr>
              <w:spacing w:after="0"/>
              <w:rPr>
                <w:sz w:val="23"/>
                <w:szCs w:val="23"/>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CSRA</w:t>
            </w: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CSRA INC 12650T104</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- 4</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39,076,071</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Sales - 78</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177,277,773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169,900,308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169,900,308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7,377,465</w:t>
            </w: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Bank of NY Mellon</w:t>
            </w:r>
          </w:p>
        </w:tc>
        <w:tc>
          <w:tcPr>
            <w:tcW w:w="1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EB TEMP INV FD</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- 626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591,325,766</w:t>
            </w: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- 803</w:t>
            </w:r>
          </w:p>
        </w:tc>
        <w:tc>
          <w:tcPr>
            <w:tcW w:w="2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590,732,269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590,732,269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590,732,269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420"/>
          </w:cols>
          <w:pgMar w:left="240" w:top="114" w:right="2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3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Act of 1934, the Computer Sciences Corporation Employee Benefits Fiduciary Committee has duly caused this annual report to be signed on its behalf by the undersigned thereunto duly authorized.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Computer Sciences Corporation Matched Asset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4700" w:val="left"/>
          <w:tab w:leader="none" w:pos="5500" w:val="left"/>
        </w:tabs>
        <w:rPr>
          <w:sz w:val="20"/>
          <w:szCs w:val="20"/>
          <w:color w:val="auto"/>
        </w:rPr>
      </w:pPr>
      <w:r>
        <w:rPr>
          <w:rFonts w:ascii="Times New Roman" w:cs="Times New Roman" w:eastAsia="Times New Roman" w:hAnsi="Times New Roman"/>
          <w:sz w:val="20"/>
          <w:szCs w:val="20"/>
          <w:color w:val="auto"/>
        </w:rPr>
        <w:t>Dated: June 26, 2017</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H.C. Charles Diao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31115</wp:posOffset>
            </wp:positionV>
            <wp:extent cx="37649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43" w:lineRule="exact"/>
        <w:rPr>
          <w:sz w:val="20"/>
          <w:szCs w:val="20"/>
          <w:color w:val="auto"/>
        </w:rPr>
      </w:pPr>
    </w:p>
    <w:p>
      <w:pPr>
        <w:ind w:left="4720"/>
        <w:spacing w:after="0"/>
        <w:tabs>
          <w:tab w:leader="none" w:pos="55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b w:val="1"/>
          <w:bCs w:val="1"/>
          <w:color w:val="auto"/>
        </w:rPr>
        <w:t>H.C. Charles Diao</w:t>
      </w:r>
    </w:p>
    <w:p>
      <w:pPr>
        <w:spacing w:after="0" w:line="54" w:lineRule="exact"/>
        <w:rPr>
          <w:sz w:val="20"/>
          <w:szCs w:val="20"/>
          <w:color w:val="auto"/>
        </w:rPr>
      </w:pPr>
    </w:p>
    <w:p>
      <w:pPr>
        <w:ind w:left="4720"/>
        <w:spacing w:after="0"/>
        <w:tabs>
          <w:tab w:leader="none" w:pos="5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b w:val="1"/>
          <w:bCs w:val="1"/>
          <w:color w:val="auto"/>
        </w:rPr>
        <w:t>Vice President - Finance, Corporate Treasurer</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Member, CSC Employee Benefits Fiduciary Committee</w:t>
      </w:r>
    </w:p>
    <w:p>
      <w:pPr>
        <w:sectPr>
          <w:pgSz w:w="11900" w:h="16838" w:orient="portrait"/>
          <w:cols w:equalWidth="0" w:num="1">
            <w:col w:w="11400"/>
          </w:cols>
          <w:pgMar w:left="240" w:top="572" w:right="259" w:bottom="1440" w:gutter="0" w:footer="0" w:header="0"/>
        </w:sectPr>
      </w:pPr>
    </w:p>
    <w:bookmarkStart w:id="63" w:name="page64"/>
    <w:bookmarkEnd w:id="63"/>
    <w:p>
      <w:pPr>
        <w:ind w:left="7140"/>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333-217053 on Form S-8 of DXC Technology Company of our report dated June 26, 2017, with respect to the statements of net assets available for benefits of the Computer Sciences Corporation Matched Asset Plan (the Plan) as of December 31, 2016 and 2015, the related statement of changes in net assets available for benefits for the year ended December 31, 2016, the related supplemental schedule of assets (held at end of year) as of December 31, 2016, and the related supplemental schedule of reportable transactions for the year ended December 31, 2016, which report appears in the December 31, 2016 Annual Report on Form 11-K of the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Johnson Lambert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Vienna, Virginia</w:t>
      </w:r>
    </w:p>
    <w:p>
      <w:pPr>
        <w:spacing w:after="0"/>
        <w:rPr>
          <w:sz w:val="20"/>
          <w:szCs w:val="20"/>
          <w:color w:val="auto"/>
        </w:rPr>
      </w:pPr>
      <w:r>
        <w:rPr>
          <w:rFonts w:ascii="Times New Roman" w:cs="Times New Roman" w:eastAsia="Times New Roman" w:hAnsi="Times New Roman"/>
          <w:sz w:val="20"/>
          <w:szCs w:val="20"/>
          <w:color w:val="auto"/>
        </w:rPr>
        <w:t>June 26, 2017</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upperLetter"/>
      <w:start w:val="6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2019-12-05T02:37:59Z</dcterms:created>
  <dcterms:modified xsi:type="dcterms:W3CDTF">2019-12-05T02:37:59Z</dcterms:modified>
</cp:coreProperties>
</file>