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DXC Technology Co</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1993"/>
        <w:gridCol w:w="8212"/>
      </w:tblGrid>
      <w:tr>
        <w:trPr/>
        <w:tc>
          <w:tcPr>
            <w:tcW w:w="1993" w:type="dxa"/>
            <w:tcBorders/>
            <w:vAlign w:val="center"/>
          </w:tcPr>
          <w:p>
            <w:pPr>
              <w:pStyle w:val="TableContents"/>
              <w:bidi w:val="0"/>
              <w:spacing w:before="0" w:after="283"/>
              <w:jc w:val="left"/>
              <w:rPr/>
            </w:pPr>
            <w:r>
              <w:rPr/>
              <w:t>1</w:t>
            </w:r>
          </w:p>
        </w:tc>
        <w:tc>
          <w:tcPr>
            <w:tcW w:w="821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GLENVIEW CAPITAL MANAGEMENT, LLC</w:t>
            </w:r>
          </w:p>
        </w:tc>
      </w:tr>
      <w:tr>
        <w:trPr/>
        <w:tc>
          <w:tcPr>
            <w:tcW w:w="1993" w:type="dxa"/>
            <w:tcBorders/>
            <w:vAlign w:val="center"/>
          </w:tcPr>
          <w:p>
            <w:pPr>
              <w:pStyle w:val="TableContents"/>
              <w:bidi w:val="0"/>
              <w:spacing w:before="0" w:after="283"/>
              <w:jc w:val="left"/>
              <w:rPr/>
            </w:pPr>
            <w:r>
              <w:rPr/>
              <w:t>2</w:t>
            </w:r>
          </w:p>
        </w:tc>
        <w:tc>
          <w:tcPr>
            <w:tcW w:w="821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1993" w:type="dxa"/>
            <w:tcBorders/>
            <w:vAlign w:val="center"/>
          </w:tcPr>
          <w:p>
            <w:pPr>
              <w:pStyle w:val="TableContents"/>
              <w:bidi w:val="0"/>
              <w:spacing w:before="0" w:after="283"/>
              <w:jc w:val="left"/>
              <w:rPr/>
            </w:pPr>
            <w:r>
              <w:rPr/>
              <w:t>3</w:t>
            </w:r>
          </w:p>
        </w:tc>
        <w:tc>
          <w:tcPr>
            <w:tcW w:w="8212" w:type="dxa"/>
            <w:tcBorders/>
            <w:vAlign w:val="center"/>
          </w:tcPr>
          <w:p>
            <w:pPr>
              <w:pStyle w:val="TableContents"/>
              <w:bidi w:val="0"/>
              <w:spacing w:before="0" w:after="283"/>
              <w:jc w:val="left"/>
              <w:rPr/>
            </w:pPr>
            <w:r>
              <w:rPr/>
              <w:t>Sec Use Only</w:t>
            </w:r>
          </w:p>
        </w:tc>
      </w:tr>
      <w:tr>
        <w:trPr/>
        <w:tc>
          <w:tcPr>
            <w:tcW w:w="1993" w:type="dxa"/>
            <w:tcBorders/>
            <w:vAlign w:val="center"/>
          </w:tcPr>
          <w:p>
            <w:pPr>
              <w:pStyle w:val="TableContents"/>
              <w:bidi w:val="0"/>
              <w:spacing w:before="0" w:after="283"/>
              <w:jc w:val="left"/>
              <w:rPr/>
            </w:pPr>
            <w:r>
              <w:rPr/>
              <w:t>4</w:t>
            </w:r>
          </w:p>
        </w:tc>
        <w:tc>
          <w:tcPr>
            <w:tcW w:w="821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199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12" w:type="dxa"/>
            <w:tcBorders/>
            <w:vAlign w:val="center"/>
          </w:tcPr>
          <w:p>
            <w:pPr>
              <w:pStyle w:val="TableContents"/>
              <w:bidi w:val="0"/>
              <w:spacing w:before="0" w:after="283"/>
              <w:jc w:val="left"/>
              <w:rPr>
                <w:sz w:val="4"/>
                <w:szCs w:val="4"/>
              </w:rPr>
            </w:pPr>
            <w:r>
              <w:rPr>
                <w:sz w:val="4"/>
                <w:szCs w:val="4"/>
              </w:rPr>
            </w:r>
          </w:p>
        </w:tc>
      </w:tr>
      <w:tr>
        <w:trPr/>
        <w:tc>
          <w:tcPr>
            <w:tcW w:w="1993" w:type="dxa"/>
            <w:tcBorders/>
            <w:vAlign w:val="center"/>
          </w:tcPr>
          <w:p>
            <w:pPr>
              <w:pStyle w:val="TableContents"/>
              <w:bidi w:val="0"/>
              <w:spacing w:before="0" w:after="283"/>
              <w:jc w:val="left"/>
              <w:rPr/>
            </w:pPr>
            <w:r>
              <w:rPr/>
              <w:t>9</w:t>
            </w:r>
          </w:p>
        </w:tc>
        <w:tc>
          <w:tcPr>
            <w:tcW w:w="821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1993" w:type="dxa"/>
            <w:tcBorders/>
            <w:vAlign w:val="center"/>
          </w:tcPr>
          <w:p>
            <w:pPr>
              <w:pStyle w:val="TableContents"/>
              <w:bidi w:val="0"/>
              <w:spacing w:before="0" w:after="283"/>
              <w:jc w:val="left"/>
              <w:rPr/>
            </w:pPr>
            <w:r>
              <w:rPr/>
              <w:t>10</w:t>
            </w:r>
          </w:p>
        </w:tc>
        <w:tc>
          <w:tcPr>
            <w:tcW w:w="821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1993" w:type="dxa"/>
            <w:tcBorders/>
            <w:vAlign w:val="center"/>
          </w:tcPr>
          <w:p>
            <w:pPr>
              <w:pStyle w:val="TableContents"/>
              <w:bidi w:val="0"/>
              <w:spacing w:before="0" w:after="283"/>
              <w:jc w:val="left"/>
              <w:rPr/>
            </w:pPr>
            <w:r>
              <w:rPr/>
              <w:t>11</w:t>
            </w:r>
          </w:p>
        </w:tc>
        <w:tc>
          <w:tcPr>
            <w:tcW w:w="821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1993" w:type="dxa"/>
            <w:tcBorders/>
            <w:vAlign w:val="center"/>
          </w:tcPr>
          <w:p>
            <w:pPr>
              <w:pStyle w:val="TableContents"/>
              <w:bidi w:val="0"/>
              <w:spacing w:before="0" w:after="283"/>
              <w:jc w:val="left"/>
              <w:rPr/>
            </w:pPr>
            <w:r>
              <w:rPr/>
              <w:t>12</w:t>
            </w:r>
          </w:p>
        </w:tc>
        <w:tc>
          <w:tcPr>
            <w:tcW w:w="821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ROBBINS LARRY</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 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36"/>
        <w:gridCol w:w="8914"/>
        <w:gridCol w:w="155"/>
      </w:tblGrid>
      <w:tr>
        <w:trPr/>
        <w:tc>
          <w:tcPr>
            <w:tcW w:w="1136" w:type="dxa"/>
            <w:tcBorders/>
            <w:vAlign w:val="center"/>
          </w:tcPr>
          <w:p>
            <w:pPr>
              <w:pStyle w:val="TableContents"/>
              <w:bidi w:val="0"/>
              <w:spacing w:before="0" w:after="283"/>
              <w:jc w:val="left"/>
              <w:rPr/>
            </w:pPr>
            <w:r>
              <w:rPr/>
              <w:t>Item 1.</w:t>
            </w:r>
          </w:p>
        </w:tc>
        <w:tc>
          <w:tcPr>
            <w:tcW w:w="891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(a)</w:t>
            </w:r>
          </w:p>
        </w:tc>
        <w:tc>
          <w:tcPr>
            <w:tcW w:w="8914" w:type="dxa"/>
            <w:tcBorders/>
            <w:vAlign w:val="center"/>
          </w:tcPr>
          <w:p>
            <w:pPr>
              <w:pStyle w:val="TableContents"/>
              <w:bidi w:val="0"/>
              <w:jc w:val="left"/>
              <w:rPr/>
            </w:pPr>
            <w:r>
              <w:rPr/>
              <w:t xml:space="preserve">Name of issuer: </w:t>
            </w:r>
          </w:p>
          <w:p>
            <w:pPr>
              <w:pStyle w:val="TableContents"/>
              <w:bidi w:val="0"/>
              <w:spacing w:before="0" w:after="0"/>
              <w:jc w:val="left"/>
              <w:rPr/>
            </w:pPr>
            <w:r>
              <w:rPr/>
              <w:t>DXC Technology Co</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(b)</w:t>
            </w:r>
          </w:p>
        </w:tc>
        <w:tc>
          <w:tcPr>
            <w:tcW w:w="891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20408 Bashan Drive, Suite 231, Ashburn, Virginia 20147</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2.</w:t>
            </w:r>
          </w:p>
        </w:tc>
        <w:tc>
          <w:tcPr>
            <w:tcW w:w="891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(a)</w:t>
            </w:r>
          </w:p>
        </w:tc>
        <w:tc>
          <w:tcPr>
            <w:tcW w:w="8914"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on behalf of each of the following persons (collectively, the "Reporting Persons"): i. Glenview Capital Management, LLC ("Glenview Capital Management"); and ii. Larry Robbins ("Mr. Robbins"). This Statement relates to shares of Common Stock, $0.01 par value per share ("Shares") held for the accounts of Glenview Capital Master Fund, Ltd., a Cayman Islands exempted company ("Glenview Capital Master Fund"), and Glenview Offshore Opportunity Master Fund, Ltd., a Cayman Islands exempted company ("Glenview Offshore Opportunity Master Fund"). Glenview Capital Management serves as investment manager to each of Glenview Capital Master Fund and Glenview Offshore Opportunity Master Fund. Mr. Robbins is the Chief Investment Officer of Glenview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(b)</w:t>
            </w:r>
          </w:p>
        </w:tc>
        <w:tc>
          <w:tcPr>
            <w:tcW w:w="891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Reporting Persons is 520 Madison Avenue, 33rd Floor, New York, New York 10022.</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(c)</w:t>
            </w:r>
          </w:p>
        </w:tc>
        <w:tc>
          <w:tcPr>
            <w:tcW w:w="8914" w:type="dxa"/>
            <w:tcBorders/>
            <w:vAlign w:val="center"/>
          </w:tcPr>
          <w:p>
            <w:pPr>
              <w:pStyle w:val="TableContents"/>
              <w:bidi w:val="0"/>
              <w:jc w:val="left"/>
              <w:rPr/>
            </w:pPr>
            <w:r>
              <w:rPr/>
              <w:t xml:space="preserve">Citizenship: </w:t>
            </w:r>
          </w:p>
          <w:p>
            <w:pPr>
              <w:pStyle w:val="TableContents"/>
              <w:bidi w:val="0"/>
              <w:spacing w:before="0" w:after="0"/>
              <w:jc w:val="left"/>
              <w:rPr/>
            </w:pPr>
            <w:r>
              <w:rPr/>
              <w:t>i. Glenview Capital Management is a Delaware limited liability company; and ii. Mr. Robbins is a citizen of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(d)</w:t>
            </w:r>
          </w:p>
        </w:tc>
        <w:tc>
          <w:tcPr>
            <w:tcW w:w="891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(e)</w:t>
            </w:r>
          </w:p>
        </w:tc>
        <w:tc>
          <w:tcPr>
            <w:tcW w:w="891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3.</w:t>
            </w:r>
          </w:p>
        </w:tc>
        <w:tc>
          <w:tcPr>
            <w:tcW w:w="891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(a)</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(b)</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(c)</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(d)</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(e)</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(f)</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(g)</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(h)</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(j)</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(k)</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9069" w:type="dxa"/>
            <w:gridSpan w:val="2"/>
            <w:tcBorders/>
            <w:vAlign w:val="center"/>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4.</w:t>
            </w:r>
          </w:p>
        </w:tc>
        <w:tc>
          <w:tcPr>
            <w:tcW w:w="891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(a)</w:t>
            </w:r>
          </w:p>
        </w:tc>
        <w:tc>
          <w:tcPr>
            <w:tcW w:w="891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June 30, 2026, each of the Reporting Persons may be deemed the beneficial owner of 0 Shares.</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(b)</w:t>
            </w:r>
          </w:p>
        </w:tc>
        <w:tc>
          <w:tcPr>
            <w:tcW w:w="891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As of June 30, 2026, each of the Reporting Persons may be deemed the beneficial owner of 0% of the Shares outstanding.  %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(c)</w:t>
            </w:r>
          </w:p>
        </w:tc>
        <w:tc>
          <w:tcPr>
            <w:tcW w:w="891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5.</w:t>
            </w:r>
          </w:p>
        </w:tc>
        <w:tc>
          <w:tcPr>
            <w:tcW w:w="891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6.</w:t>
            </w:r>
          </w:p>
        </w:tc>
        <w:tc>
          <w:tcPr>
            <w:tcW w:w="891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disclosure in Items 2 and 4 hereof. Certain funds listed in Item 2(a) are known to have the right to receive or the power to direct the receipt of dividends from, or the proceeds from the sale of, the Shares covered by this Statement that may be deemed to be beneficially owned by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7.</w:t>
            </w:r>
          </w:p>
        </w:tc>
        <w:tc>
          <w:tcPr>
            <w:tcW w:w="891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disclosure in Item 2 hereof.</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8.</w:t>
            </w:r>
          </w:p>
        </w:tc>
        <w:tc>
          <w:tcPr>
            <w:tcW w:w="891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9.</w:t>
            </w:r>
          </w:p>
        </w:tc>
        <w:tc>
          <w:tcPr>
            <w:tcW w:w="891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205" w:type="dxa"/>
        <w:jc w:val="left"/>
        <w:tblInd w:w="0" w:type="dxa"/>
        <w:tblLayout w:type="fixed"/>
        <w:tblCellMar>
          <w:top w:w="28" w:type="dxa"/>
          <w:left w:w="28" w:type="dxa"/>
          <w:bottom w:w="28" w:type="dxa"/>
          <w:right w:w="28" w:type="dxa"/>
        </w:tblCellMar>
      </w:tblPr>
      <w:tblGrid>
        <w:gridCol w:w="5106"/>
        <w:gridCol w:w="5099"/>
      </w:tblGrid>
      <w:tr>
        <w:trPr/>
        <w:tc>
          <w:tcPr>
            <w:tcW w:w="5106" w:type="dxa"/>
            <w:tcBorders/>
            <w:vAlign w:val="center"/>
          </w:tcPr>
          <w:p>
            <w:pPr>
              <w:pStyle w:val="TableContents"/>
              <w:bidi w:val="0"/>
              <w:spacing w:before="0" w:after="0"/>
              <w:jc w:val="left"/>
              <w:rPr/>
            </w:pPr>
            <w:r>
              <w:rPr/>
              <w:t> </w:t>
            </w:r>
          </w:p>
          <w:tbl>
            <w:tblPr>
              <w:tblW w:w="4966" w:type="dxa"/>
              <w:jc w:val="left"/>
              <w:tblInd w:w="0" w:type="dxa"/>
              <w:tblLayout w:type="fixed"/>
              <w:tblCellMar>
                <w:top w:w="28" w:type="dxa"/>
                <w:left w:w="28" w:type="dxa"/>
                <w:bottom w:w="28" w:type="dxa"/>
                <w:right w:w="28" w:type="dxa"/>
              </w:tblCellMar>
            </w:tblPr>
            <w:tblGrid>
              <w:gridCol w:w="4966"/>
            </w:tblGrid>
            <w:tr>
              <w:trPr/>
              <w:tc>
                <w:tcPr>
                  <w:tcW w:w="4966" w:type="dxa"/>
                  <w:tcBorders/>
                  <w:vAlign w:val="center"/>
                </w:tcPr>
                <w:p>
                  <w:pPr>
                    <w:pStyle w:val="TableContents"/>
                    <w:bidi w:val="0"/>
                    <w:spacing w:before="0" w:after="0"/>
                    <w:jc w:val="left"/>
                    <w:rPr/>
                  </w:pPr>
                  <w:r>
                    <w:rPr/>
                    <w:t>GLENVIEW CAPITAL MANAGEMENT, LLC</w:t>
                  </w:r>
                </w:p>
              </w:tc>
            </w:tr>
          </w:tbl>
          <w:p>
            <w:pPr>
              <w:pStyle w:val="TableContents"/>
              <w:bidi w:val="0"/>
              <w:spacing w:before="0" w:after="283"/>
              <w:jc w:val="left"/>
              <w:rPr/>
            </w:pPr>
            <w:r>
              <w:rPr/>
            </w:r>
          </w:p>
        </w:tc>
        <w:tc>
          <w:tcPr>
            <w:tcW w:w="509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5"/>
        <w:gridCol w:w="4340"/>
      </w:tblGrid>
      <w:tr>
        <w:trPr/>
        <w:tc>
          <w:tcPr>
            <w:tcW w:w="58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Mark J. Horowitz</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Mark J. Horowitz, President</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0" w:type="dxa"/>
            <w:tcBorders/>
            <w:vAlign w:val="center"/>
          </w:tcPr>
          <w:p>
            <w:pPr>
              <w:pStyle w:val="TableContents"/>
              <w:bidi w:val="0"/>
              <w:spacing w:before="0" w:after="283"/>
              <w:jc w:val="left"/>
              <w:rPr>
                <w:sz w:val="4"/>
                <w:szCs w:val="4"/>
              </w:rPr>
            </w:pPr>
            <w:r>
              <w:rPr>
                <w:sz w:val="4"/>
                <w:szCs w:val="4"/>
              </w:rPr>
            </w:r>
          </w:p>
        </w:tc>
      </w:tr>
    </w:tbl>
    <w:tbl>
      <w:tblPr>
        <w:tblW w:w="4500" w:type="dxa"/>
        <w:jc w:val="left"/>
        <w:tblInd w:w="0" w:type="dxa"/>
        <w:tblLayout w:type="fixed"/>
        <w:tblCellMar>
          <w:top w:w="28" w:type="dxa"/>
          <w:left w:w="28" w:type="dxa"/>
          <w:bottom w:w="28" w:type="dxa"/>
          <w:right w:w="28" w:type="dxa"/>
        </w:tblCellMar>
      </w:tblPr>
      <w:tblGrid>
        <w:gridCol w:w="2250"/>
        <w:gridCol w:w="2250"/>
      </w:tblGrid>
      <w:tr>
        <w:trPr/>
        <w:tc>
          <w:tcPr>
            <w:tcW w:w="2250" w:type="dxa"/>
            <w:tcBorders/>
            <w:vAlign w:val="center"/>
          </w:tcPr>
          <w:p>
            <w:pPr>
              <w:pStyle w:val="TableContents"/>
              <w:bidi w:val="0"/>
              <w:spacing w:before="0" w:after="0"/>
              <w:jc w:val="left"/>
              <w:rPr/>
            </w:pPr>
            <w:r>
              <w:rPr/>
              <w:t> </w:t>
            </w:r>
          </w:p>
          <w:tbl>
            <w:tblPr>
              <w:tblW w:w="2131" w:type="dxa"/>
              <w:jc w:val="left"/>
              <w:tblInd w:w="0" w:type="dxa"/>
              <w:tblLayout w:type="fixed"/>
              <w:tblCellMar>
                <w:top w:w="28" w:type="dxa"/>
                <w:left w:w="28" w:type="dxa"/>
                <w:bottom w:w="28" w:type="dxa"/>
                <w:right w:w="28" w:type="dxa"/>
              </w:tblCellMar>
            </w:tblPr>
            <w:tblGrid>
              <w:gridCol w:w="2131"/>
            </w:tblGrid>
            <w:tr>
              <w:trPr/>
              <w:tc>
                <w:tcPr>
                  <w:tcW w:w="2131" w:type="dxa"/>
                  <w:tcBorders/>
                  <w:vAlign w:val="center"/>
                </w:tcPr>
                <w:p>
                  <w:pPr>
                    <w:pStyle w:val="TableContents"/>
                    <w:bidi w:val="0"/>
                    <w:spacing w:before="0" w:after="0"/>
                    <w:jc w:val="left"/>
                    <w:rPr/>
                  </w:pPr>
                  <w:r>
                    <w:rPr/>
                    <w:t>ROBBINS LARRY</w:t>
                  </w:r>
                </w:p>
              </w:tc>
            </w:tr>
          </w:tbl>
          <w:p>
            <w:pPr>
              <w:pStyle w:val="TableContents"/>
              <w:bidi w:val="0"/>
              <w:spacing w:before="0" w:after="283"/>
              <w:jc w:val="left"/>
              <w:rPr/>
            </w:pPr>
            <w:r>
              <w:rPr/>
            </w:r>
          </w:p>
        </w:tc>
        <w:tc>
          <w:tcPr>
            <w:tcW w:w="22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5"/>
        <w:gridCol w:w="4340"/>
      </w:tblGrid>
      <w:tr>
        <w:trPr/>
        <w:tc>
          <w:tcPr>
            <w:tcW w:w="58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Mark J. Horowitz</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Mark J. Horowitz, attorney-in-fact for Larry Robbins</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0" w:type="dxa"/>
            <w:tcBorders/>
            <w:vAlign w:val="center"/>
          </w:tcPr>
          <w:p>
            <w:pPr>
              <w:pStyle w:val="TableContents"/>
              <w:bidi w:val="0"/>
              <w:spacing w:before="0" w:after="283"/>
              <w:jc w:val="left"/>
              <w:rPr>
                <w:sz w:val="4"/>
                <w:szCs w:val="4"/>
              </w:rPr>
            </w:pPr>
            <w:r>
              <w:rPr>
                <w:sz w:val="4"/>
                <w:szCs w:val="4"/>
              </w:rPr>
            </w:r>
          </w:p>
        </w:tc>
      </w:tr>
    </w:tbl>
    <w:tbl>
      <w:tblPr>
        <w:tblW w:w="6151" w:type="dxa"/>
        <w:jc w:val="left"/>
        <w:tblInd w:w="0" w:type="dxa"/>
        <w:tblLayout w:type="fixed"/>
        <w:tblCellMar>
          <w:top w:w="28" w:type="dxa"/>
          <w:left w:w="28" w:type="dxa"/>
          <w:bottom w:w="28" w:type="dxa"/>
          <w:right w:w="28" w:type="dxa"/>
        </w:tblCellMar>
      </w:tblPr>
      <w:tblGrid>
        <w:gridCol w:w="6151"/>
      </w:tblGrid>
      <w:tr>
        <w:trPr/>
        <w:tc>
          <w:tcPr>
            <w:tcW w:w="6151" w:type="dxa"/>
            <w:tcBorders/>
            <w:vAlign w:val="center"/>
          </w:tcPr>
          <w:p>
            <w:pPr>
              <w:pStyle w:val="TableContents"/>
              <w:bidi w:val="0"/>
              <w:spacing w:before="0" w:after="283"/>
              <w:jc w:val="center"/>
              <w:rPr>
                <w:b/>
              </w:rPr>
            </w:pPr>
            <w:r>
              <w:rPr>
                <w:b/>
              </w:rPr>
              <w:t xml:space="preserve">Exhibit Information </w:t>
            </w:r>
          </w:p>
        </w:tc>
      </w:tr>
      <w:tr>
        <w:trPr/>
        <w:tc>
          <w:tcPr>
            <w:tcW w:w="6151" w:type="dxa"/>
            <w:tcBorders/>
            <w:vAlign w:val="center"/>
          </w:tcPr>
          <w:p>
            <w:pPr>
              <w:pStyle w:val="TableContents"/>
              <w:bidi w:val="0"/>
              <w:spacing w:before="0" w:after="283"/>
              <w:jc w:val="left"/>
              <w:rPr/>
            </w:pPr>
            <w:r>
              <w:rPr/>
              <w:t>Exhibit 1: Joint Filing Agreement Exhibit 2: Power of Attorney</w:t>
            </w:r>
          </w:p>
        </w:tc>
      </w:tr>
    </w:tbl>
    <w:p>
      <w:pPr>
        <w:pStyle w:val="TextBody"/>
        <w:bidi w:val="0"/>
        <w:spacing w:before="0" w:after="0"/>
        <w:jc w:val="left"/>
        <w:rPr/>
      </w:pPr>
      <w:r>
        <w:rPr/>
      </w:r>
      <w:bookmarkStart w:id="20" w:name="jointfilingagreement.htm"/>
      <w:bookmarkStart w:id="21" w:name="ksjointfilingagreement"/>
      <w:bookmarkStart w:id="22" w:name="jointfilingagreement.htm"/>
      <w:bookmarkStart w:id="23" w:name="ksjointfilingagreement"/>
      <w:bookmarkEnd w:id="22"/>
      <w:bookmarkEnd w:id="23"/>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JOINT FILING AGREEMENT</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undersigned hereby agree that the statement on Schedule 13G with respect to the Common Stock of DXC Technology Company, dated as of August 14, 2026, is, and any amendments thereto (including amendments on Schedule 13D) signed by each of the undersigned shall be, filed on behalf of each of us pursuant to and in accordance with the provisions of Rule 13d-1(k) under the Securities Exchange Act of 1934, as amended.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z14e9e884628e43b6a20caad5f9d016e4"/>
      <w:bookmarkStart w:id="25" w:name="z14e9e884628e43b6a20caad5f9d016e4"/>
      <w:bookmarkEnd w:id="25"/>
    </w:p>
    <w:tbl>
      <w:tblPr>
        <w:tblW w:w="7155" w:type="dxa"/>
        <w:jc w:val="left"/>
        <w:tblInd w:w="0" w:type="dxa"/>
        <w:tblLayout w:type="fixed"/>
        <w:tblCellMar>
          <w:top w:w="0" w:type="dxa"/>
          <w:left w:w="0" w:type="dxa"/>
          <w:bottom w:w="0" w:type="dxa"/>
          <w:right w:w="0" w:type="dxa"/>
        </w:tblCellMar>
      </w:tblPr>
      <w:tblGrid>
        <w:gridCol w:w="1655"/>
        <w:gridCol w:w="395"/>
        <w:gridCol w:w="5105"/>
      </w:tblGrid>
      <w:tr>
        <w:trPr/>
        <w:tc>
          <w:tcPr>
            <w:tcW w:w="1655" w:type="dxa"/>
            <w:tcBorders/>
            <w:vAlign w:val="center"/>
          </w:tcPr>
          <w:p>
            <w:pPr>
              <w:pStyle w:val="TableContents"/>
              <w:bidi w:val="0"/>
              <w:spacing w:before="0" w:after="283"/>
              <w:jc w:val="left"/>
              <w:rPr/>
            </w:pPr>
            <w:r>
              <w:rPr/>
            </w:r>
          </w:p>
        </w:tc>
        <w:tc>
          <w:tcPr>
            <w:tcW w:w="5500" w:type="dxa"/>
            <w:gridSpan w:val="2"/>
            <w:tcBorders/>
            <w:vAlign w:val="center"/>
          </w:tcPr>
          <w:p>
            <w:pPr>
              <w:pStyle w:val="TableContents"/>
              <w:bidi w:val="0"/>
              <w:spacing w:before="0" w:after="0"/>
              <w:jc w:val="left"/>
              <w:rPr>
                <w:b/>
              </w:rPr>
            </w:pPr>
            <w:r>
              <w:rPr>
                <w:b/>
              </w:rPr>
              <w:t>GLENVIEW CAPITAL MANAGEMENT, LLC</w:t>
            </w:r>
          </w:p>
        </w:tc>
      </w:tr>
      <w:tr>
        <w:trPr/>
        <w:tc>
          <w:tcPr>
            <w:tcW w:w="1655" w:type="dxa"/>
            <w:tcBorders/>
            <w:vAlign w:val="center"/>
          </w:tcPr>
          <w:p>
            <w:pPr>
              <w:pStyle w:val="TableContents"/>
              <w:bidi w:val="0"/>
              <w:spacing w:before="0" w:after="283"/>
              <w:jc w:val="left"/>
              <w:rPr/>
            </w:pPr>
            <w:r>
              <w:rPr/>
            </w:r>
          </w:p>
        </w:tc>
        <w:tc>
          <w:tcPr>
            <w:tcW w:w="395" w:type="dxa"/>
            <w:tcBorders/>
            <w:vAlign w:val="center"/>
          </w:tcPr>
          <w:p>
            <w:pPr>
              <w:pStyle w:val="TableContents"/>
              <w:bidi w:val="0"/>
              <w:spacing w:before="0" w:after="283"/>
              <w:jc w:val="left"/>
              <w:rPr/>
            </w:pPr>
            <w:r>
              <w:rPr/>
            </w:r>
          </w:p>
        </w:tc>
        <w:tc>
          <w:tcPr>
            <w:tcW w:w="5105" w:type="dxa"/>
            <w:tcBorders/>
            <w:vAlign w:val="center"/>
          </w:tcPr>
          <w:p>
            <w:pPr>
              <w:pStyle w:val="TableContents"/>
              <w:bidi w:val="0"/>
              <w:spacing w:before="0" w:after="283"/>
              <w:jc w:val="left"/>
              <w:rPr/>
            </w:pPr>
            <w:r>
              <w:rPr/>
            </w:r>
          </w:p>
        </w:tc>
      </w:tr>
      <w:tr>
        <w:trPr/>
        <w:tc>
          <w:tcPr>
            <w:tcW w:w="1655" w:type="dxa"/>
            <w:tcBorders/>
            <w:vAlign w:val="center"/>
          </w:tcPr>
          <w:p>
            <w:pPr>
              <w:pStyle w:val="TableContents"/>
              <w:bidi w:val="0"/>
              <w:spacing w:before="0" w:after="283"/>
              <w:jc w:val="left"/>
              <w:rPr/>
            </w:pPr>
            <w:r>
              <w:rPr/>
            </w:r>
          </w:p>
        </w:tc>
        <w:tc>
          <w:tcPr>
            <w:tcW w:w="395" w:type="dxa"/>
            <w:tcBorders/>
            <w:vAlign w:val="center"/>
          </w:tcPr>
          <w:p>
            <w:pPr>
              <w:pStyle w:val="TableContents"/>
              <w:bidi w:val="0"/>
              <w:spacing w:before="0" w:after="0"/>
              <w:jc w:val="left"/>
              <w:rPr/>
            </w:pPr>
            <w:r>
              <w:rPr/>
              <w:t>By:</w:t>
            </w:r>
          </w:p>
        </w:tc>
        <w:tc>
          <w:tcPr>
            <w:tcW w:w="5105" w:type="dxa"/>
            <w:tcBorders>
              <w:bottom w:val="single" w:sz="12" w:space="0" w:color="000000"/>
            </w:tcBorders>
            <w:tcMar>
              <w:bottom w:w="28" w:type="dxa"/>
            </w:tcMar>
            <w:vAlign w:val="center"/>
          </w:tcPr>
          <w:p>
            <w:pPr>
              <w:pStyle w:val="TableContents"/>
              <w:bidi w:val="0"/>
              <w:spacing w:before="0" w:after="0"/>
              <w:jc w:val="left"/>
              <w:rPr/>
            </w:pPr>
            <w:r>
              <w:rPr/>
              <w:t>/s/ Mark J. Horowitz</w:t>
            </w:r>
          </w:p>
        </w:tc>
      </w:tr>
      <w:tr>
        <w:trPr/>
        <w:tc>
          <w:tcPr>
            <w:tcW w:w="1655" w:type="dxa"/>
            <w:tcBorders/>
            <w:vAlign w:val="center"/>
          </w:tcPr>
          <w:p>
            <w:pPr>
              <w:pStyle w:val="TableContents"/>
              <w:bidi w:val="0"/>
              <w:spacing w:before="0" w:after="283"/>
              <w:jc w:val="left"/>
              <w:rPr/>
            </w:pPr>
            <w:r>
              <w:rPr/>
            </w:r>
          </w:p>
        </w:tc>
        <w:tc>
          <w:tcPr>
            <w:tcW w:w="395" w:type="dxa"/>
            <w:tcBorders/>
            <w:vAlign w:val="center"/>
          </w:tcPr>
          <w:p>
            <w:pPr>
              <w:pStyle w:val="TableContents"/>
              <w:bidi w:val="0"/>
              <w:spacing w:before="0" w:after="283"/>
              <w:jc w:val="left"/>
              <w:rPr/>
            </w:pPr>
            <w:r>
              <w:rPr/>
            </w:r>
          </w:p>
        </w:tc>
        <w:tc>
          <w:tcPr>
            <w:tcW w:w="5105" w:type="dxa"/>
            <w:tcBorders/>
            <w:vAlign w:val="center"/>
          </w:tcPr>
          <w:p>
            <w:pPr>
              <w:pStyle w:val="TableContents"/>
              <w:bidi w:val="0"/>
              <w:spacing w:before="0" w:after="0"/>
              <w:jc w:val="left"/>
              <w:rPr/>
            </w:pPr>
            <w:r>
              <w:rPr/>
              <w:t>Mark J. Horowitz</w:t>
            </w:r>
          </w:p>
        </w:tc>
      </w:tr>
      <w:tr>
        <w:trPr/>
        <w:tc>
          <w:tcPr>
            <w:tcW w:w="1655" w:type="dxa"/>
            <w:tcBorders/>
            <w:vAlign w:val="center"/>
          </w:tcPr>
          <w:p>
            <w:pPr>
              <w:pStyle w:val="TableContents"/>
              <w:bidi w:val="0"/>
              <w:spacing w:before="0" w:after="283"/>
              <w:jc w:val="left"/>
              <w:rPr/>
            </w:pPr>
            <w:r>
              <w:rPr/>
            </w:r>
          </w:p>
        </w:tc>
        <w:tc>
          <w:tcPr>
            <w:tcW w:w="395" w:type="dxa"/>
            <w:tcBorders/>
            <w:vAlign w:val="center"/>
          </w:tcPr>
          <w:p>
            <w:pPr>
              <w:pStyle w:val="TableContents"/>
              <w:bidi w:val="0"/>
              <w:spacing w:before="0" w:after="283"/>
              <w:jc w:val="left"/>
              <w:rPr/>
            </w:pPr>
            <w:r>
              <w:rPr/>
            </w:r>
          </w:p>
        </w:tc>
        <w:tc>
          <w:tcPr>
            <w:tcW w:w="5105" w:type="dxa"/>
            <w:tcBorders/>
            <w:vAlign w:val="center"/>
          </w:tcPr>
          <w:p>
            <w:pPr>
              <w:pStyle w:val="TableContents"/>
              <w:bidi w:val="0"/>
              <w:spacing w:before="0" w:after="0"/>
              <w:jc w:val="left"/>
              <w:rPr/>
            </w:pPr>
            <w:r>
              <w:rPr/>
              <w:t>President of Glenview Capital Management, LLC</w:t>
            </w:r>
          </w:p>
        </w:tc>
      </w:tr>
      <w:tr>
        <w:trPr/>
        <w:tc>
          <w:tcPr>
            <w:tcW w:w="1655" w:type="dxa"/>
            <w:tcBorders/>
            <w:vAlign w:val="center"/>
          </w:tcPr>
          <w:p>
            <w:pPr>
              <w:pStyle w:val="TableContents"/>
              <w:bidi w:val="0"/>
              <w:spacing w:before="0" w:after="283"/>
              <w:jc w:val="left"/>
              <w:rPr/>
            </w:pPr>
            <w:r>
              <w:rPr/>
            </w:r>
          </w:p>
        </w:tc>
        <w:tc>
          <w:tcPr>
            <w:tcW w:w="395" w:type="dxa"/>
            <w:tcBorders/>
            <w:vAlign w:val="center"/>
          </w:tcPr>
          <w:p>
            <w:pPr>
              <w:pStyle w:val="TableContents"/>
              <w:bidi w:val="0"/>
              <w:spacing w:before="0" w:after="283"/>
              <w:jc w:val="left"/>
              <w:rPr/>
            </w:pPr>
            <w:r>
              <w:rPr/>
            </w:r>
          </w:p>
        </w:tc>
        <w:tc>
          <w:tcPr>
            <w:tcW w:w="5105" w:type="dxa"/>
            <w:tcBorders/>
            <w:vAlign w:val="center"/>
          </w:tcPr>
          <w:p>
            <w:pPr>
              <w:pStyle w:val="TableContents"/>
              <w:bidi w:val="0"/>
              <w:spacing w:before="0" w:after="283"/>
              <w:jc w:val="left"/>
              <w:rPr/>
            </w:pPr>
            <w:r>
              <w:rPr/>
            </w:r>
          </w:p>
        </w:tc>
      </w:tr>
      <w:tr>
        <w:trPr/>
        <w:tc>
          <w:tcPr>
            <w:tcW w:w="1655" w:type="dxa"/>
            <w:tcBorders/>
            <w:vAlign w:val="center"/>
          </w:tcPr>
          <w:p>
            <w:pPr>
              <w:pStyle w:val="TableContents"/>
              <w:bidi w:val="0"/>
              <w:spacing w:before="0" w:after="283"/>
              <w:jc w:val="left"/>
              <w:rPr/>
            </w:pPr>
            <w:r>
              <w:rPr/>
            </w:r>
          </w:p>
        </w:tc>
        <w:tc>
          <w:tcPr>
            <w:tcW w:w="5500" w:type="dxa"/>
            <w:gridSpan w:val="2"/>
            <w:tcBorders/>
            <w:vAlign w:val="center"/>
          </w:tcPr>
          <w:p>
            <w:pPr>
              <w:pStyle w:val="TableContents"/>
              <w:bidi w:val="0"/>
              <w:spacing w:before="0" w:after="0"/>
              <w:jc w:val="left"/>
              <w:rPr>
                <w:b/>
              </w:rPr>
            </w:pPr>
            <w:r>
              <w:rPr>
                <w:b/>
              </w:rPr>
              <w:t>LARRY ROBBINS</w:t>
            </w:r>
          </w:p>
        </w:tc>
      </w:tr>
      <w:tr>
        <w:trPr/>
        <w:tc>
          <w:tcPr>
            <w:tcW w:w="1655" w:type="dxa"/>
            <w:tcBorders/>
            <w:vAlign w:val="center"/>
          </w:tcPr>
          <w:p>
            <w:pPr>
              <w:pStyle w:val="TableContents"/>
              <w:bidi w:val="0"/>
              <w:spacing w:before="0" w:after="283"/>
              <w:jc w:val="left"/>
              <w:rPr/>
            </w:pPr>
            <w:r>
              <w:rPr/>
            </w:r>
          </w:p>
        </w:tc>
        <w:tc>
          <w:tcPr>
            <w:tcW w:w="395" w:type="dxa"/>
            <w:tcBorders/>
            <w:vAlign w:val="center"/>
          </w:tcPr>
          <w:p>
            <w:pPr>
              <w:pStyle w:val="TableContents"/>
              <w:bidi w:val="0"/>
              <w:spacing w:before="0" w:after="283"/>
              <w:jc w:val="left"/>
              <w:rPr/>
            </w:pPr>
            <w:r>
              <w:rPr/>
            </w:r>
          </w:p>
        </w:tc>
        <w:tc>
          <w:tcPr>
            <w:tcW w:w="5105" w:type="dxa"/>
            <w:tcBorders/>
            <w:vAlign w:val="center"/>
          </w:tcPr>
          <w:p>
            <w:pPr>
              <w:pStyle w:val="TableContents"/>
              <w:bidi w:val="0"/>
              <w:spacing w:before="0" w:after="283"/>
              <w:jc w:val="left"/>
              <w:rPr/>
            </w:pPr>
            <w:r>
              <w:rPr/>
            </w:r>
          </w:p>
        </w:tc>
      </w:tr>
      <w:tr>
        <w:trPr/>
        <w:tc>
          <w:tcPr>
            <w:tcW w:w="1655" w:type="dxa"/>
            <w:tcBorders/>
            <w:vAlign w:val="center"/>
          </w:tcPr>
          <w:p>
            <w:pPr>
              <w:pStyle w:val="TableContents"/>
              <w:bidi w:val="0"/>
              <w:spacing w:before="0" w:after="283"/>
              <w:jc w:val="left"/>
              <w:rPr/>
            </w:pPr>
            <w:r>
              <w:rPr/>
            </w:r>
          </w:p>
        </w:tc>
        <w:tc>
          <w:tcPr>
            <w:tcW w:w="395" w:type="dxa"/>
            <w:tcBorders/>
            <w:vAlign w:val="center"/>
          </w:tcPr>
          <w:p>
            <w:pPr>
              <w:pStyle w:val="TableContents"/>
              <w:bidi w:val="0"/>
              <w:spacing w:before="0" w:after="0"/>
              <w:jc w:val="left"/>
              <w:rPr/>
            </w:pPr>
            <w:r>
              <w:rPr/>
              <w:t>By:</w:t>
            </w:r>
          </w:p>
        </w:tc>
        <w:tc>
          <w:tcPr>
            <w:tcW w:w="5105" w:type="dxa"/>
            <w:tcBorders>
              <w:bottom w:val="single" w:sz="12" w:space="0" w:color="000000"/>
            </w:tcBorders>
            <w:tcMar>
              <w:bottom w:w="28" w:type="dxa"/>
            </w:tcMar>
            <w:vAlign w:val="center"/>
          </w:tcPr>
          <w:p>
            <w:pPr>
              <w:pStyle w:val="TableContents"/>
              <w:bidi w:val="0"/>
              <w:spacing w:before="0" w:after="0"/>
              <w:jc w:val="left"/>
              <w:rPr/>
            </w:pPr>
            <w:r>
              <w:rPr/>
              <w:t>/s/ Mark J. Horowitz</w:t>
            </w:r>
          </w:p>
        </w:tc>
      </w:tr>
      <w:tr>
        <w:trPr/>
        <w:tc>
          <w:tcPr>
            <w:tcW w:w="1655" w:type="dxa"/>
            <w:tcBorders/>
            <w:vAlign w:val="center"/>
          </w:tcPr>
          <w:p>
            <w:pPr>
              <w:pStyle w:val="TableContents"/>
              <w:bidi w:val="0"/>
              <w:spacing w:before="0" w:after="283"/>
              <w:jc w:val="left"/>
              <w:rPr/>
            </w:pPr>
            <w:r>
              <w:rPr/>
            </w:r>
          </w:p>
        </w:tc>
        <w:tc>
          <w:tcPr>
            <w:tcW w:w="395" w:type="dxa"/>
            <w:tcBorders/>
            <w:vAlign w:val="center"/>
          </w:tcPr>
          <w:p>
            <w:pPr>
              <w:pStyle w:val="TableContents"/>
              <w:bidi w:val="0"/>
              <w:spacing w:before="0" w:after="283"/>
              <w:jc w:val="left"/>
              <w:rPr/>
            </w:pPr>
            <w:r>
              <w:rPr/>
            </w:r>
          </w:p>
        </w:tc>
        <w:tc>
          <w:tcPr>
            <w:tcW w:w="5105" w:type="dxa"/>
            <w:tcBorders/>
            <w:vAlign w:val="center"/>
          </w:tcPr>
          <w:p>
            <w:pPr>
              <w:pStyle w:val="TableContents"/>
              <w:bidi w:val="0"/>
              <w:spacing w:before="0" w:after="0"/>
              <w:jc w:val="left"/>
              <w:rPr/>
            </w:pPr>
            <w:r>
              <w:rPr/>
              <w:t>Mark J. Horowitz, attorney-in-fact for Larry Robbins</w:t>
            </w:r>
          </w:p>
        </w:tc>
      </w:tr>
      <w:tr>
        <w:trPr/>
        <w:tc>
          <w:tcPr>
            <w:tcW w:w="1655" w:type="dxa"/>
            <w:tcBorders/>
            <w:vAlign w:val="center"/>
          </w:tcPr>
          <w:p>
            <w:pPr>
              <w:pStyle w:val="TableContents"/>
              <w:bidi w:val="0"/>
              <w:spacing w:before="0" w:after="283"/>
              <w:jc w:val="left"/>
              <w:rPr/>
            </w:pPr>
            <w:r>
              <w:rPr/>
            </w:r>
          </w:p>
        </w:tc>
        <w:tc>
          <w:tcPr>
            <w:tcW w:w="395" w:type="dxa"/>
            <w:tcBorders/>
            <w:vAlign w:val="center"/>
          </w:tcPr>
          <w:p>
            <w:pPr>
              <w:pStyle w:val="TableContents"/>
              <w:bidi w:val="0"/>
              <w:spacing w:before="0" w:after="283"/>
              <w:jc w:val="left"/>
              <w:rPr/>
            </w:pPr>
            <w:r>
              <w:rPr/>
            </w:r>
          </w:p>
        </w:tc>
        <w:tc>
          <w:tcPr>
            <w:tcW w:w="5105" w:type="dxa"/>
            <w:tcBorders/>
            <w:vAlign w:val="center"/>
          </w:tcPr>
          <w:p>
            <w:pPr>
              <w:pStyle w:val="TableContents"/>
              <w:bidi w:val="0"/>
              <w:spacing w:before="0" w:after="283"/>
              <w:jc w:val="left"/>
              <w:rPr/>
            </w:pPr>
            <w:r>
              <w:rPr/>
            </w:r>
          </w:p>
        </w:tc>
      </w:tr>
      <w:tr>
        <w:trPr/>
        <w:tc>
          <w:tcPr>
            <w:tcW w:w="1655" w:type="dxa"/>
            <w:tcBorders/>
            <w:vAlign w:val="center"/>
          </w:tcPr>
          <w:p>
            <w:pPr>
              <w:pStyle w:val="TableContents"/>
              <w:bidi w:val="0"/>
              <w:spacing w:before="0" w:after="0"/>
              <w:jc w:val="both"/>
              <w:rPr/>
            </w:pPr>
            <w:r>
              <w:rPr/>
              <w:t>August 14, 2026</w:t>
            </w:r>
          </w:p>
        </w:tc>
        <w:tc>
          <w:tcPr>
            <w:tcW w:w="395" w:type="dxa"/>
            <w:tcBorders/>
            <w:vAlign w:val="center"/>
          </w:tcPr>
          <w:p>
            <w:pPr>
              <w:pStyle w:val="TableContents"/>
              <w:bidi w:val="0"/>
              <w:spacing w:before="0" w:after="283"/>
              <w:jc w:val="left"/>
              <w:rPr/>
            </w:pPr>
            <w:r>
              <w:rPr/>
            </w:r>
          </w:p>
        </w:tc>
        <w:tc>
          <w:tcPr>
            <w:tcW w:w="5105" w:type="dxa"/>
            <w:tcBorders/>
            <w:vAlign w:val="center"/>
          </w:tcPr>
          <w:p>
            <w:pPr>
              <w:pStyle w:val="TableContents"/>
              <w:bidi w:val="0"/>
              <w:spacing w:before="0" w:after="283"/>
              <w:jc w:val="left"/>
              <w:rPr/>
            </w:pPr>
            <w:r>
              <w:rPr/>
            </w:r>
          </w:p>
        </w:tc>
      </w:tr>
    </w:tbl>
    <w:p>
      <w:pPr>
        <w:pStyle w:val="TextBody"/>
        <w:bidi w:val="0"/>
        <w:spacing w:before="0" w:after="0"/>
        <w:jc w:val="left"/>
        <w:rPr/>
      </w:pPr>
      <w:r>
        <w:rPr/>
      </w:r>
      <w:bookmarkStart w:id="26" w:name="powerofattorney.htm"/>
      <w:bookmarkStart w:id="27" w:name="kspowerofattorney"/>
      <w:bookmarkStart w:id="28" w:name="powerofattorney.htm"/>
      <w:bookmarkStart w:id="29" w:name="kspowerofattorney"/>
      <w:bookmarkEnd w:id="28"/>
      <w:bookmarkEnd w:id="29"/>
      <w:r>
        <w:br w:type="page"/>
      </w:r>
    </w:p>
    <w:p>
      <w:pPr>
        <w:pStyle w:val="TextBody"/>
        <w:bidi w:val="0"/>
        <w:spacing w:before="0" w:after="240"/>
        <w:jc w:val="right"/>
        <w:rPr>
          <w:rFonts w:ascii="Times New Roman;Times;serif" w:hAnsi="Times New Roman;Times;serif"/>
          <w:b/>
          <w:color w:val="000000"/>
          <w:sz w:val="20"/>
        </w:rPr>
      </w:pPr>
      <w:r>
        <w:rPr>
          <w:rFonts w:ascii="Times New Roman;Times;serif" w:hAnsi="Times New Roman;Times;serif"/>
          <w:b/>
          <w:color w:val="000000"/>
          <w:sz w:val="20"/>
        </w:rPr>
        <w:t>EXHIBIT 2</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POWER OF ATTORNEY</w:t>
      </w:r>
    </w:p>
    <w:p>
      <w:pPr>
        <w:pStyle w:val="TextBody"/>
        <w:bidi w:val="0"/>
        <w:spacing w:before="0" w:after="0"/>
        <w:jc w:val="center"/>
        <w:rPr>
          <w:b/>
        </w:rPr>
      </w:pPr>
      <w:r>
        <w:rPr>
          <w:b/>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KNOW ALL MEN BY THESE PRESENT, that I, Larry Robbins, hereby make, constitute and appoint Mark J. Horowitz, acting individually, as my agent and attorney-in-fact for the purpose of executing in my name, (a) in my personal capacity or (b) in my capacity as Chief Investment Officer or in other capacities of Glenview Capital Management, LLC, a Delaware limited liability company, and each of its affiliates or entities advised or controlled by me or Glenview Capital Management, LLC, all documents, certificates, instruments, statements, filings and agreements (“documents”) to be filed with or delivered to any foreign or domestic governmental or regulatory body or required or requested by any other person or entity pursuant to any legal or regulatory requirement relating to the acquisition, ownership, management or disposition of securities, futures contracts or other investments, and any other documents relating or ancillary thereto, including, without limitation, all documents relating to filings with the United States Securities and Exchange Commission (the “SEC”) pursuant to the Securities Act of 1933, as amended, or the Securities and Exchange Act of 1934, as amended (the “Act”), and the rules and regulations promulgated thereunder, including, without limitation: (1) all documents relating to the beneficial ownership of securities required to be filed with the SEC pursuant to Section 13(d) or Section 16(a) of the Act, including, without limitation: (a) any acquisition statements on Schedule 13D or Schedule 13G and any amendments thereto, (b) any joint filing agreements pursuant to Rule 13d-1(k), and (c) any initial statements of, or statements of changes in, beneficial ownership of securities on Form 3, Form 4 or Form 5 and (2) any information statements on Form 13F required to be filed with the SEC pursuant to Section 13(f) of the Act.</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All past acts of the attorney-in-fact in furtherance of the foregoing are hereby ratified and confirmed.</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This Power of Attorney revokes the previous Power of Attorney, executed by the undersigned on February 10, 2009, and shall remain in effect until revoked, in writing, by the undersigned.</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IN WITNESS WHEREOF, the undersigned has executed this Power of Attorney, this 2nd day of February, 2016.</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/s/ Larry Robbins</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Larry Robbins</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1744</Words>
  <Characters>9003</Characters>
  <CharactersWithSpaces>10698</CharactersWithSpaces>
  <Paragraphs>233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