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-6985</wp:posOffset>
            </wp:positionV>
            <wp:extent cx="140970" cy="190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90500"/>
                    </a:xfrm>
                    <a:prstGeom prst="rect">
                      <a:avLst/>
                    </a:prstGeom>
                    <a:noFill/>
                  </pic:spPr>
                </pic:pic>
              </a:graphicData>
            </a:graphic>
          </wp:anchor>
        </w:drawing>
      </w:r>
    </w:p>
    <w:p>
      <w:pPr>
        <w:jc w:val="both"/>
        <w:ind w:left="340" w:right="360" w:hanging="258"/>
        <w:spacing w:after="0" w:line="182"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480" w:type="dxa"/>
            <w:vAlign w:val="bottom"/>
            <w:vMerge w:val="restart"/>
          </w:tcPr>
          <w:p>
            <w:pPr>
              <w:jc w:val="center"/>
              <w:ind w:right="29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88"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24765</wp:posOffset>
            </wp:positionV>
            <wp:extent cx="7325360" cy="5236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2368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60" w:space="480"/>
            <w:col w:w="8780"/>
          </w:cols>
          <w:pgMar w:left="240" w:top="21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Hilton Stephen</w:t>
        </w:r>
      </w:hyperlink>
    </w:p>
    <w:p>
      <w:pPr>
        <w:spacing w:after="0" w:line="291"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1775 TYSONS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COMPUTER SCIENCES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CSC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04/01/2017</w:t>
      </w:r>
    </w:p>
    <w:p>
      <w:pPr>
        <w:spacing w:after="0" w:line="20" w:lineRule="exact"/>
        <w:rPr>
          <w:sz w:val="24"/>
          <w:szCs w:val="24"/>
          <w:color w:val="auto"/>
        </w:rPr>
      </w:pPr>
      <w:r>
        <w:rPr>
          <w:sz w:val="24"/>
          <w:szCs w:val="24"/>
          <w:color w:val="auto"/>
        </w:rPr>
        <w:br w:type="column"/>
      </w:r>
    </w:p>
    <w:p>
      <w:pPr>
        <w:ind w:left="-2" w:right="740" w:firstLine="2"/>
        <w:spacing w:after="0" w:line="26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8"/>
        <w:spacing w:after="0"/>
        <w:tabs>
          <w:tab w:leader="none" w:pos="215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8"/>
        <w:spacing w:after="0"/>
        <w:tabs>
          <w:tab w:leader="none" w:pos="517" w:val="left"/>
          <w:tab w:leader="none" w:pos="215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0" w:lineRule="exact"/>
        <w:rPr>
          <w:sz w:val="24"/>
          <w:szCs w:val="24"/>
          <w:color w:val="auto"/>
        </w:rPr>
      </w:pP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58"/>
        <w:spacing w:after="0"/>
        <w:rPr>
          <w:sz w:val="20"/>
          <w:szCs w:val="20"/>
          <w:color w:val="auto"/>
        </w:rPr>
      </w:pPr>
      <w:r>
        <w:rPr>
          <w:rFonts w:ascii="Times New Roman" w:cs="Times New Roman" w:eastAsia="Times New Roman" w:hAnsi="Times New Roman"/>
          <w:sz w:val="17"/>
          <w:szCs w:val="17"/>
          <w:color w:val="0000FF"/>
        </w:rPr>
        <w:t>Exec VP &amp; GM GIS</w:t>
      </w:r>
    </w:p>
    <w:p>
      <w:pPr>
        <w:spacing w:after="0" w:line="330" w:lineRule="exact"/>
        <w:rPr>
          <w:sz w:val="24"/>
          <w:szCs w:val="24"/>
          <w:color w:val="auto"/>
        </w:rPr>
      </w:pPr>
    </w:p>
    <w:p>
      <w:pPr>
        <w:sectPr>
          <w:pgSz w:w="11900" w:h="16838" w:orient="portrait"/>
          <w:cols w:equalWidth="0" w:num="3">
            <w:col w:w="3340" w:space="720"/>
            <w:col w:w="3380" w:space="602"/>
            <w:col w:w="3478"/>
          </w:cols>
          <w:pgMar w:left="240" w:top="216" w:right="139" w:bottom="1440" w:gutter="0" w:footer="0" w:header="0"/>
          <w:type w:val="continuous"/>
        </w:sectPr>
      </w:pP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gridSpan w:val="6"/>
          </w:tcPr>
          <w:p>
            <w:pPr>
              <w:jc w:val="center"/>
              <w:ind w:right="177"/>
              <w:spacing w:after="0"/>
              <w:rPr>
                <w:sz w:val="20"/>
                <w:szCs w:val="20"/>
                <w:color w:val="auto"/>
              </w:rPr>
            </w:pPr>
            <w:r>
              <w:rPr>
                <w:rFonts w:ascii="Arial" w:cs="Arial" w:eastAsia="Arial" w:hAnsi="Arial"/>
                <w:sz w:val="13"/>
                <w:szCs w:val="13"/>
                <w:color w:val="auto"/>
                <w:w w:val="99"/>
              </w:rPr>
              <w:t>4. If Amendment, Date of Original Filed (Month/Day/Year)</w:t>
            </w:r>
          </w:p>
        </w:tc>
        <w:tc>
          <w:tcPr>
            <w:tcW w:w="3760" w:type="dxa"/>
            <w:vAlign w:val="bottom"/>
            <w:gridSpan w:val="9"/>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TYSONS</w:t>
            </w:r>
          </w:p>
        </w:tc>
        <w:tc>
          <w:tcPr>
            <w:tcW w:w="1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VA</w:t>
            </w:r>
          </w:p>
        </w:tc>
        <w:tc>
          <w:tcPr>
            <w:tcW w:w="11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22102</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7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3"/>
          </w:tcPr>
          <w:p>
            <w:pPr>
              <w:jc w:val="center"/>
              <w:ind w:left="69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6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60" w:type="dxa"/>
            <w:vAlign w:val="bottom"/>
            <w:gridSpan w:val="2"/>
          </w:tcPr>
          <w:p>
            <w:pPr>
              <w:ind w:left="900"/>
              <w:spacing w:after="0" w:line="125"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4"/>
          </w:tcPr>
          <w:p>
            <w:pPr>
              <w:ind w:left="90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ind w:left="1000"/>
              <w:spacing w:after="0"/>
              <w:rPr>
                <w:sz w:val="20"/>
                <w:szCs w:val="20"/>
                <w:color w:val="auto"/>
              </w:rPr>
            </w:pPr>
            <w:r>
              <w:rPr>
                <w:rFonts w:ascii="Times New Roman" w:cs="Times New Roman" w:eastAsia="Times New Roman" w:hAnsi="Times New Roman"/>
                <w:sz w:val="17"/>
                <w:szCs w:val="17"/>
                <w:color w:val="0000FF"/>
              </w:rPr>
              <w:t>04/01/2017</w:t>
            </w: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10,052</w:t>
            </w:r>
            <w:r>
              <w:rPr>
                <w:rFonts w:ascii="Times New Roman" w:cs="Times New Roman" w:eastAsia="Times New Roman" w:hAnsi="Times New Roman"/>
                <w:sz w:val="21"/>
                <w:szCs w:val="21"/>
                <w:color w:val="00800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ind w:left="2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7"/>
                <w:szCs w:val="17"/>
                <w:color w:val="0000FF"/>
              </w:rPr>
              <w:t>0</w:t>
            </w: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2"/>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60" w:type="dxa"/>
            <w:vAlign w:val="bottom"/>
            <w:gridSpan w:val="11"/>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720" w:type="dxa"/>
            <w:vAlign w:val="bottom"/>
          </w:tcPr>
          <w:p>
            <w:pPr>
              <w:spacing w:after="0"/>
              <w:rPr>
                <w:sz w:val="11"/>
                <w:szCs w:val="11"/>
                <w:color w:val="auto"/>
              </w:rPr>
            </w:pPr>
          </w:p>
        </w:tc>
        <w:tc>
          <w:tcPr>
            <w:tcW w:w="13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2"/>
              </w:rPr>
              <w:t>147,820</w:t>
            </w:r>
            <w:r>
              <w:rPr>
                <w:rFonts w:ascii="Times New Roman" w:cs="Times New Roman" w:eastAsia="Times New Roman" w:hAnsi="Times New Roman"/>
                <w:sz w:val="21"/>
                <w:szCs w:val="21"/>
                <w:color w:val="008000"/>
                <w:w w:val="92"/>
                <w:vertAlign w:val="superscript"/>
              </w:rPr>
              <w:t>(2)</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05/22/2016</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147,820</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(rights to</w:t>
            </w:r>
          </w:p>
        </w:tc>
        <w:tc>
          <w:tcPr>
            <w:tcW w:w="720" w:type="dxa"/>
            <w:vAlign w:val="bottom"/>
          </w:tcPr>
          <w:p>
            <w:pPr>
              <w:jc w:val="center"/>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30.73</w:t>
            </w: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04/01/2017</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04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20" w:type="dxa"/>
            <w:vAlign w:val="bottom"/>
          </w:tcPr>
          <w:p>
            <w:pPr>
              <w:jc w:val="right"/>
              <w:ind w:right="58"/>
              <w:spacing w:after="0" w:line="143" w:lineRule="exact"/>
              <w:rPr>
                <w:sz w:val="20"/>
                <w:szCs w:val="20"/>
                <w:color w:val="auto"/>
              </w:rPr>
            </w:pPr>
            <w:r>
              <w:rPr>
                <w:rFonts w:ascii="Times New Roman" w:cs="Times New Roman" w:eastAsia="Times New Roman" w:hAnsi="Times New Roman"/>
                <w:sz w:val="13"/>
                <w:szCs w:val="13"/>
                <w:color w:val="0000FF"/>
                <w:w w:val="97"/>
              </w:rPr>
              <w:t>05/22/2025</w:t>
            </w:r>
          </w:p>
        </w:tc>
        <w:tc>
          <w:tcPr>
            <w:tcW w:w="6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59"/>
              <w:spacing w:after="0" w:line="14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5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5"/>
              </w:rPr>
              <w:t>89,965</w:t>
            </w:r>
            <w:r>
              <w:rPr>
                <w:rFonts w:ascii="Times New Roman" w:cs="Times New Roman" w:eastAsia="Times New Roman" w:hAnsi="Times New Roman"/>
                <w:sz w:val="21"/>
                <w:szCs w:val="21"/>
                <w:color w:val="008000"/>
                <w:w w:val="95"/>
                <w:vertAlign w:val="superscript"/>
              </w:rPr>
              <w:t>(2)</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05/27/2017</w:t>
            </w:r>
            <w:r>
              <w:rPr>
                <w:rFonts w:ascii="Times New Roman" w:cs="Times New Roman" w:eastAsia="Times New Roman" w:hAnsi="Times New Roman"/>
                <w:sz w:val="21"/>
                <w:szCs w:val="21"/>
                <w:color w:val="008000"/>
                <w:vertAlign w:val="superscript"/>
              </w:rPr>
              <w:t>(4)</w:t>
            </w:r>
          </w:p>
        </w:tc>
        <w:tc>
          <w:tcPr>
            <w:tcW w:w="72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89,965</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(rights to</w:t>
            </w:r>
          </w:p>
        </w:tc>
        <w:tc>
          <w:tcPr>
            <w:tcW w:w="720" w:type="dxa"/>
            <w:vAlign w:val="bottom"/>
            <w:vMerge w:val="restart"/>
          </w:tcPr>
          <w:p>
            <w:pPr>
              <w:jc w:val="center"/>
              <w:spacing w:after="0" w:line="143"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3"/>
                <w:szCs w:val="13"/>
                <w:color w:val="0000FF"/>
                <w:w w:val="94"/>
              </w:rPr>
              <w:t>49.24</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04/01/2017</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0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restart"/>
          </w:tcPr>
          <w:p>
            <w:pPr>
              <w:jc w:val="right"/>
              <w:ind w:right="58"/>
              <w:spacing w:after="0" w:line="143" w:lineRule="exact"/>
              <w:rPr>
                <w:sz w:val="20"/>
                <w:szCs w:val="20"/>
                <w:color w:val="auto"/>
              </w:rPr>
            </w:pPr>
            <w:r>
              <w:rPr>
                <w:rFonts w:ascii="Times New Roman" w:cs="Times New Roman" w:eastAsia="Times New Roman" w:hAnsi="Times New Roman"/>
                <w:sz w:val="13"/>
                <w:szCs w:val="13"/>
                <w:color w:val="0000FF"/>
                <w:w w:val="97"/>
              </w:rPr>
              <w:t>05/27/2026</w:t>
            </w: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jc w:val="center"/>
              <w:ind w:right="59"/>
              <w:spacing w:after="0" w:line="14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5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5"/>
                <w:szCs w:val="5"/>
                <w:color w:val="auto"/>
              </w:rPr>
            </w:pPr>
          </w:p>
        </w:tc>
        <w:tc>
          <w:tcPr>
            <w:tcW w:w="6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vMerge w:val="restart"/>
          </w:tcPr>
          <w:p>
            <w:pPr>
              <w:jc w:val="center"/>
              <w:ind w:left="200"/>
              <w:spacing w:after="0"/>
              <w:rPr>
                <w:sz w:val="20"/>
                <w:szCs w:val="20"/>
                <w:color w:val="auto"/>
              </w:rPr>
            </w:pPr>
            <w:r>
              <w:rPr>
                <w:rFonts w:ascii="Times New Roman" w:cs="Times New Roman" w:eastAsia="Times New Roman" w:hAnsi="Times New Roman"/>
                <w:sz w:val="13"/>
                <w:szCs w:val="13"/>
                <w:color w:val="0000FF"/>
                <w:w w:val="92"/>
              </w:rPr>
              <w:t>4,852</w:t>
            </w:r>
            <w:r>
              <w:rPr>
                <w:rFonts w:ascii="Times New Roman" w:cs="Times New Roman" w:eastAsia="Times New Roman" w:hAnsi="Times New Roman"/>
                <w:sz w:val="21"/>
                <w:szCs w:val="21"/>
                <w:color w:val="008000"/>
                <w:w w:val="92"/>
                <w:vertAlign w:val="superscript"/>
              </w:rPr>
              <w:t>(5)</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05/27/2017</w:t>
            </w:r>
            <w:r>
              <w:rPr>
                <w:rFonts w:ascii="Times New Roman" w:cs="Times New Roman" w:eastAsia="Times New Roman" w:hAnsi="Times New Roman"/>
                <w:sz w:val="21"/>
                <w:szCs w:val="21"/>
                <w:color w:val="008000"/>
                <w:vertAlign w:val="superscript"/>
              </w:rPr>
              <w:t>(6)</w:t>
            </w:r>
          </w:p>
        </w:tc>
        <w:tc>
          <w:tcPr>
            <w:tcW w:w="720" w:type="dxa"/>
            <w:vAlign w:val="bottom"/>
            <w:vMerge w:val="restart"/>
          </w:tcPr>
          <w:p>
            <w:pPr>
              <w:jc w:val="right"/>
              <w:ind w:right="298"/>
              <w:spacing w:after="0"/>
              <w:rPr>
                <w:sz w:val="20"/>
                <w:szCs w:val="20"/>
                <w:color w:val="auto"/>
              </w:rPr>
            </w:pPr>
            <w:r>
              <w:rPr>
                <w:rFonts w:ascii="Times New Roman" w:cs="Times New Roman" w:eastAsia="Times New Roman" w:hAnsi="Times New Roman"/>
                <w:sz w:val="11"/>
                <w:szCs w:val="11"/>
                <w:color w:val="008000"/>
              </w:rPr>
              <w:t>(6)</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4,852</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20" w:type="dxa"/>
            <w:vAlign w:val="bottom"/>
            <w:vMerge w:val="restart"/>
          </w:tcPr>
          <w:p>
            <w:pPr>
              <w:jc w:val="center"/>
              <w:spacing w:after="0" w:line="143" w:lineRule="exact"/>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3"/>
                <w:szCs w:val="13"/>
                <w:color w:val="0000FF"/>
                <w:w w:val="95"/>
              </w:rPr>
              <w:t>0.0</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04/01/2017</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04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jc w:val="center"/>
              <w:ind w:right="59"/>
              <w:spacing w:after="0" w:line="14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5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5"/>
                <w:szCs w:val="5"/>
                <w:color w:val="auto"/>
              </w:rPr>
            </w:pPr>
          </w:p>
        </w:tc>
        <w:tc>
          <w:tcPr>
            <w:tcW w:w="6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00" w:firstLine="3"/>
        <w:spacing w:after="0" w:line="259"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Common Stock was disposed of at the effective time of the merger of Computer Sciences Corporation (the "Company") with and into New Everett Merger Sub, Inc. on April 1, 2017 (the "Merger") by conversion into one share of common stock of DXC Technology Company.</w:t>
      </w:r>
    </w:p>
    <w:p>
      <w:pPr>
        <w:spacing w:after="0" w:line="15" w:lineRule="exact"/>
        <w:rPr>
          <w:rFonts w:ascii="Times New Roman" w:cs="Times New Roman" w:eastAsia="Times New Roman" w:hAnsi="Times New Roman"/>
          <w:sz w:val="13"/>
          <w:szCs w:val="13"/>
          <w:color w:val="008000"/>
        </w:rPr>
      </w:pPr>
    </w:p>
    <w:p>
      <w:pPr>
        <w:ind w:left="40" w:right="300" w:firstLine="3"/>
        <w:spacing w:after="0" w:line="259"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Option was disposed of at the effective time of the Merger by conversion into one option to purchase one share of common stock of DXC Technology Company on the same terms and conditions that were in effect immediately prior to the consummation of the Merger.</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exercisable in three equal annual installments beginning May 22, 2016.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exercisable in three equal annual installments beginning May 27, 2017.</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were disposed of at the effective time of the Merger by conversion into restricted stock units of DXC Technology Company on the same terms and conditions that were in effect immediately prior to the consummation of the Merger.</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granted as part of the Fiscal 2017 Retention Award entitles the reporting person to receive one share of common stock upon the vesting date. The RSUs vest on May 27, 2017.</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William L. Deckelman, Jr.,</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04/04/2017</w:t>
            </w:r>
          </w:p>
        </w:tc>
        <w:tc>
          <w:tcPr>
            <w:tcW w:w="0" w:type="dxa"/>
            <w:vAlign w:val="bottom"/>
          </w:tcPr>
          <w:p>
            <w:pPr>
              <w:spacing w:after="0"/>
              <w:rPr>
                <w:sz w:val="1"/>
                <w:szCs w:val="1"/>
                <w:color w:val="auto"/>
              </w:rPr>
            </w:pPr>
          </w:p>
        </w:tc>
      </w:tr>
      <w:tr>
        <w:trPr>
          <w:trHeight w:val="89"/>
        </w:trPr>
        <w:tc>
          <w:tcPr>
            <w:tcW w:w="182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2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80" w:firstLine="3"/>
        <w:spacing w:after="0" w:line="337"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6057" TargetMode="External"/><Relationship Id="rId13" Type="http://schemas.openxmlformats.org/officeDocument/2006/relationships/hyperlink" Target="http://www.sec.gov/cgi-bin/browse-edgar?action=getcompany&amp;CIK=00000230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2019-12-23T14:09:11Z</dcterms:created>
  <dcterms:modified xsi:type="dcterms:W3CDTF">2019-12-23T14:09:11Z</dcterms:modified>
</cp:coreProperties>
</file>