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Washington, D.C. 20549</w:t>
      </w:r>
    </w:p>
    <w:p>
      <w:pPr>
        <w:ind w:left="184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1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ind w:left="184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0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 August 17, 2021</w:t>
      </w:r>
    </w:p>
    <w:p>
      <w:pPr>
        <w:spacing w:after="0" w:line="27" w:lineRule="exact"/>
        <w:rPr>
          <w:sz w:val="24"/>
          <w:szCs w:val="24"/>
          <w:color w:val="auto"/>
        </w:rPr>
      </w:pPr>
    </w:p>
    <w:p>
      <w:pPr>
        <w:ind w:left="180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______________________________________________________________________________</w:t>
      </w:r>
    </w:p>
    <w:p>
      <w:pPr>
        <w:spacing w:after="0" w:line="203"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DXC TECHNOLOGY COMPANY</w:t>
      </w:r>
    </w:p>
    <w:p>
      <w:pPr>
        <w:spacing w:after="0" w:line="50"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(Exact name of Registrant as specified in its charter)</w:t>
      </w:r>
    </w:p>
    <w:p>
      <w:pPr>
        <w:spacing w:after="0" w:line="12" w:lineRule="exact"/>
        <w:rPr>
          <w:sz w:val="24"/>
          <w:szCs w:val="24"/>
          <w:color w:val="auto"/>
        </w:rPr>
      </w:pPr>
    </w:p>
    <w:p>
      <w:pPr>
        <w:ind w:left="180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______________________________________________________________________________</w:t>
      </w:r>
    </w:p>
    <w:p>
      <w:pPr>
        <w:spacing w:after="0" w:line="153"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2960" w:type="dxa"/>
            <w:vAlign w:val="bottom"/>
          </w:tcPr>
          <w:p>
            <w:pPr>
              <w:jc w:val="center"/>
              <w:ind w:right="659"/>
              <w:spacing w:after="0"/>
              <w:rPr>
                <w:sz w:val="20"/>
                <w:szCs w:val="20"/>
                <w:color w:val="auto"/>
              </w:rPr>
            </w:pPr>
            <w:r>
              <w:rPr>
                <w:rFonts w:ascii="Arial" w:cs="Arial" w:eastAsia="Arial" w:hAnsi="Arial"/>
                <w:sz w:val="18"/>
                <w:szCs w:val="18"/>
                <w:b w:val="1"/>
                <w:bCs w:val="1"/>
                <w:color w:val="auto"/>
                <w:w w:val="90"/>
              </w:rPr>
              <w:t>Nevada</w:t>
            </w:r>
          </w:p>
        </w:tc>
        <w:tc>
          <w:tcPr>
            <w:tcW w:w="2360" w:type="dxa"/>
            <w:vAlign w:val="bottom"/>
          </w:tcPr>
          <w:p>
            <w:pPr>
              <w:ind w:left="620"/>
              <w:spacing w:after="0"/>
              <w:rPr>
                <w:sz w:val="20"/>
                <w:szCs w:val="20"/>
                <w:color w:val="auto"/>
              </w:rPr>
            </w:pPr>
            <w:r>
              <w:rPr>
                <w:rFonts w:ascii="Arial" w:cs="Arial" w:eastAsia="Arial" w:hAnsi="Arial"/>
                <w:sz w:val="18"/>
                <w:szCs w:val="18"/>
                <w:b w:val="1"/>
                <w:bCs w:val="1"/>
                <w:color w:val="auto"/>
              </w:rPr>
              <w:t>001-38033</w:t>
            </w:r>
          </w:p>
        </w:tc>
        <w:tc>
          <w:tcPr>
            <w:tcW w:w="2020" w:type="dxa"/>
            <w:vAlign w:val="bottom"/>
          </w:tcPr>
          <w:p>
            <w:pPr>
              <w:jc w:val="center"/>
              <w:ind w:left="861"/>
              <w:spacing w:after="0"/>
              <w:rPr>
                <w:sz w:val="20"/>
                <w:szCs w:val="20"/>
                <w:color w:val="auto"/>
              </w:rPr>
            </w:pPr>
            <w:r>
              <w:rPr>
                <w:rFonts w:ascii="Arial" w:cs="Arial" w:eastAsia="Arial" w:hAnsi="Arial"/>
                <w:sz w:val="18"/>
                <w:szCs w:val="18"/>
                <w:b w:val="1"/>
                <w:bCs w:val="1"/>
                <w:color w:val="auto"/>
                <w:w w:val="91"/>
              </w:rPr>
              <w:t>61-1800317</w:t>
            </w:r>
          </w:p>
        </w:tc>
      </w:tr>
      <w:tr>
        <w:trPr>
          <w:trHeight w:val="175"/>
        </w:trPr>
        <w:tc>
          <w:tcPr>
            <w:tcW w:w="2960" w:type="dxa"/>
            <w:vAlign w:val="bottom"/>
          </w:tcPr>
          <w:p>
            <w:pPr>
              <w:jc w:val="center"/>
              <w:ind w:right="659"/>
              <w:spacing w:after="0"/>
              <w:rPr>
                <w:sz w:val="20"/>
                <w:szCs w:val="20"/>
                <w:color w:val="auto"/>
              </w:rPr>
            </w:pPr>
            <w:r>
              <w:rPr>
                <w:rFonts w:ascii="Arial" w:cs="Arial" w:eastAsia="Arial" w:hAnsi="Arial"/>
                <w:sz w:val="14"/>
                <w:szCs w:val="14"/>
                <w:color w:val="auto"/>
                <w:w w:val="94"/>
              </w:rPr>
              <w:t>(State or Other Jurisdiction</w:t>
            </w:r>
          </w:p>
        </w:tc>
        <w:tc>
          <w:tcPr>
            <w:tcW w:w="2360" w:type="dxa"/>
            <w:vAlign w:val="bottom"/>
          </w:tcPr>
          <w:p>
            <w:pPr>
              <w:ind w:left="620"/>
              <w:spacing w:after="0"/>
              <w:rPr>
                <w:sz w:val="20"/>
                <w:szCs w:val="20"/>
                <w:color w:val="auto"/>
              </w:rPr>
            </w:pPr>
            <w:r>
              <w:rPr>
                <w:rFonts w:ascii="Arial" w:cs="Arial" w:eastAsia="Arial" w:hAnsi="Arial"/>
                <w:sz w:val="14"/>
                <w:szCs w:val="14"/>
                <w:color w:val="auto"/>
              </w:rPr>
              <w:t>(Commission</w:t>
            </w:r>
          </w:p>
        </w:tc>
        <w:tc>
          <w:tcPr>
            <w:tcW w:w="2020" w:type="dxa"/>
            <w:vAlign w:val="bottom"/>
          </w:tcPr>
          <w:p>
            <w:pPr>
              <w:jc w:val="center"/>
              <w:ind w:left="861"/>
              <w:spacing w:after="0"/>
              <w:rPr>
                <w:sz w:val="20"/>
                <w:szCs w:val="20"/>
                <w:color w:val="auto"/>
              </w:rPr>
            </w:pPr>
            <w:r>
              <w:rPr>
                <w:rFonts w:ascii="Arial" w:cs="Arial" w:eastAsia="Arial" w:hAnsi="Arial"/>
                <w:sz w:val="14"/>
                <w:szCs w:val="14"/>
                <w:color w:val="auto"/>
                <w:w w:val="97"/>
              </w:rPr>
              <w:t>(I.R.S. Employer</w:t>
            </w:r>
          </w:p>
        </w:tc>
      </w:tr>
      <w:tr>
        <w:trPr>
          <w:trHeight w:val="182"/>
        </w:trPr>
        <w:tc>
          <w:tcPr>
            <w:tcW w:w="2960" w:type="dxa"/>
            <w:vAlign w:val="bottom"/>
          </w:tcPr>
          <w:p>
            <w:pPr>
              <w:jc w:val="center"/>
              <w:ind w:right="659"/>
              <w:spacing w:after="0"/>
              <w:rPr>
                <w:sz w:val="20"/>
                <w:szCs w:val="20"/>
                <w:color w:val="auto"/>
              </w:rPr>
            </w:pPr>
            <w:r>
              <w:rPr>
                <w:rFonts w:ascii="Arial" w:cs="Arial" w:eastAsia="Arial" w:hAnsi="Arial"/>
                <w:sz w:val="14"/>
                <w:szCs w:val="14"/>
                <w:color w:val="auto"/>
                <w:w w:val="96"/>
              </w:rPr>
              <w:t>of Incorporation)</w:t>
            </w:r>
          </w:p>
        </w:tc>
        <w:tc>
          <w:tcPr>
            <w:tcW w:w="2360" w:type="dxa"/>
            <w:vAlign w:val="bottom"/>
          </w:tcPr>
          <w:p>
            <w:pPr>
              <w:ind w:left="620"/>
              <w:spacing w:after="0"/>
              <w:rPr>
                <w:sz w:val="20"/>
                <w:szCs w:val="20"/>
                <w:color w:val="auto"/>
              </w:rPr>
            </w:pPr>
            <w:r>
              <w:rPr>
                <w:rFonts w:ascii="Arial" w:cs="Arial" w:eastAsia="Arial" w:hAnsi="Arial"/>
                <w:sz w:val="14"/>
                <w:szCs w:val="14"/>
                <w:color w:val="auto"/>
              </w:rPr>
              <w:t>File Number)</w:t>
            </w:r>
          </w:p>
        </w:tc>
        <w:tc>
          <w:tcPr>
            <w:tcW w:w="2020" w:type="dxa"/>
            <w:vAlign w:val="bottom"/>
          </w:tcPr>
          <w:p>
            <w:pPr>
              <w:jc w:val="center"/>
              <w:ind w:left="861"/>
              <w:spacing w:after="0"/>
              <w:rPr>
                <w:sz w:val="20"/>
                <w:szCs w:val="20"/>
                <w:color w:val="auto"/>
              </w:rPr>
            </w:pPr>
            <w:r>
              <w:rPr>
                <w:rFonts w:ascii="Arial" w:cs="Arial" w:eastAsia="Arial" w:hAnsi="Arial"/>
                <w:sz w:val="14"/>
                <w:szCs w:val="14"/>
                <w:color w:val="auto"/>
                <w:w w:val="99"/>
              </w:rPr>
              <w:t>Identification No.)</w:t>
            </w:r>
          </w:p>
        </w:tc>
      </w:tr>
      <w:tr>
        <w:trPr>
          <w:trHeight w:val="736"/>
        </w:trPr>
        <w:tc>
          <w:tcPr>
            <w:tcW w:w="2960" w:type="dxa"/>
            <w:vAlign w:val="bottom"/>
          </w:tcPr>
          <w:p>
            <w:pPr>
              <w:jc w:val="center"/>
              <w:ind w:right="539"/>
              <w:spacing w:after="0"/>
              <w:rPr>
                <w:sz w:val="20"/>
                <w:szCs w:val="20"/>
                <w:color w:val="auto"/>
              </w:rPr>
            </w:pPr>
            <w:r>
              <w:rPr>
                <w:rFonts w:ascii="Arial" w:cs="Arial" w:eastAsia="Arial" w:hAnsi="Arial"/>
                <w:sz w:val="18"/>
                <w:szCs w:val="18"/>
                <w:b w:val="1"/>
                <w:bCs w:val="1"/>
                <w:color w:val="auto"/>
                <w:w w:val="88"/>
              </w:rPr>
              <w:t>1775 Tysons Boulevard</w:t>
            </w:r>
          </w:p>
        </w:tc>
        <w:tc>
          <w:tcPr>
            <w:tcW w:w="2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2960" w:type="dxa"/>
            <w:vAlign w:val="bottom"/>
          </w:tcPr>
          <w:p>
            <w:pPr>
              <w:ind w:left="560"/>
              <w:spacing w:after="0"/>
              <w:rPr>
                <w:sz w:val="20"/>
                <w:szCs w:val="20"/>
                <w:color w:val="auto"/>
              </w:rPr>
            </w:pPr>
            <w:r>
              <w:rPr>
                <w:rFonts w:ascii="Arial" w:cs="Arial" w:eastAsia="Arial" w:hAnsi="Arial"/>
                <w:sz w:val="18"/>
                <w:szCs w:val="18"/>
                <w:b w:val="1"/>
                <w:bCs w:val="1"/>
                <w:color w:val="auto"/>
              </w:rPr>
              <w:t>Tysons , Virginia</w:t>
            </w:r>
          </w:p>
        </w:tc>
        <w:tc>
          <w:tcPr>
            <w:tcW w:w="2360" w:type="dxa"/>
            <w:vAlign w:val="bottom"/>
          </w:tcPr>
          <w:p>
            <w:pPr>
              <w:spacing w:after="0"/>
              <w:rPr>
                <w:sz w:val="22"/>
                <w:szCs w:val="22"/>
                <w:color w:val="auto"/>
              </w:rPr>
            </w:pPr>
          </w:p>
        </w:tc>
        <w:tc>
          <w:tcPr>
            <w:tcW w:w="2020" w:type="dxa"/>
            <w:vAlign w:val="bottom"/>
          </w:tcPr>
          <w:p>
            <w:pPr>
              <w:jc w:val="right"/>
              <w:ind w:right="41"/>
              <w:spacing w:after="0"/>
              <w:rPr>
                <w:sz w:val="20"/>
                <w:szCs w:val="20"/>
                <w:color w:val="auto"/>
              </w:rPr>
            </w:pPr>
            <w:r>
              <w:rPr>
                <w:rFonts w:ascii="Arial" w:cs="Arial" w:eastAsia="Arial" w:hAnsi="Arial"/>
                <w:sz w:val="18"/>
                <w:szCs w:val="18"/>
                <w:b w:val="1"/>
                <w:bCs w:val="1"/>
                <w:color w:val="auto"/>
              </w:rPr>
              <w:t>22102</w:t>
            </w:r>
          </w:p>
        </w:tc>
      </w:tr>
      <w:tr>
        <w:trPr>
          <w:trHeight w:val="204"/>
        </w:trPr>
        <w:tc>
          <w:tcPr>
            <w:tcW w:w="2960" w:type="dxa"/>
            <w:vAlign w:val="bottom"/>
          </w:tcPr>
          <w:p>
            <w:pPr>
              <w:jc w:val="center"/>
              <w:ind w:right="539"/>
              <w:spacing w:after="0"/>
              <w:rPr>
                <w:sz w:val="20"/>
                <w:szCs w:val="20"/>
                <w:color w:val="auto"/>
              </w:rPr>
            </w:pPr>
            <w:r>
              <w:rPr>
                <w:rFonts w:ascii="Arial" w:cs="Arial" w:eastAsia="Arial" w:hAnsi="Arial"/>
                <w:sz w:val="14"/>
                <w:szCs w:val="14"/>
                <w:color w:val="auto"/>
                <w:w w:val="95"/>
              </w:rPr>
              <w:t>(Address of Principal Executive Offices)</w:t>
            </w:r>
          </w:p>
        </w:tc>
        <w:tc>
          <w:tcPr>
            <w:tcW w:w="2360" w:type="dxa"/>
            <w:vAlign w:val="bottom"/>
          </w:tcPr>
          <w:p>
            <w:pPr>
              <w:spacing w:after="0"/>
              <w:rPr>
                <w:sz w:val="17"/>
                <w:szCs w:val="17"/>
                <w:color w:val="auto"/>
              </w:rPr>
            </w:pPr>
          </w:p>
        </w:tc>
        <w:tc>
          <w:tcPr>
            <w:tcW w:w="2020" w:type="dxa"/>
            <w:vAlign w:val="bottom"/>
          </w:tcPr>
          <w:p>
            <w:pPr>
              <w:jc w:val="center"/>
              <w:ind w:left="1261"/>
              <w:spacing w:after="0"/>
              <w:rPr>
                <w:sz w:val="20"/>
                <w:szCs w:val="20"/>
                <w:color w:val="auto"/>
              </w:rPr>
            </w:pPr>
            <w:r>
              <w:rPr>
                <w:rFonts w:ascii="Arial" w:cs="Arial" w:eastAsia="Arial" w:hAnsi="Arial"/>
                <w:sz w:val="14"/>
                <w:szCs w:val="14"/>
                <w:color w:val="auto"/>
                <w:w w:val="96"/>
              </w:rPr>
              <w:t>(Zip Code)</w:t>
            </w:r>
          </w:p>
        </w:tc>
      </w:tr>
    </w:tbl>
    <w:p>
      <w:pPr>
        <w:spacing w:after="0" w:line="291"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(703) 245-9675</w:t>
      </w:r>
    </w:p>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7" w:lineRule="exact"/>
        <w:rPr>
          <w:sz w:val="24"/>
          <w:szCs w:val="24"/>
          <w:color w:val="auto"/>
        </w:rPr>
      </w:pPr>
    </w:p>
    <w:p>
      <w:pPr>
        <w:ind w:left="182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5"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580" w:type="dxa"/>
            <w:vAlign w:val="bottom"/>
            <w:gridSpan w:val="2"/>
          </w:tcPr>
          <w:p>
            <w:pPr>
              <w:jc w:val="center"/>
              <w:ind w:right="1420"/>
              <w:spacing w:after="0"/>
              <w:rPr>
                <w:sz w:val="20"/>
                <w:szCs w:val="20"/>
                <w:color w:val="auto"/>
              </w:rPr>
            </w:pPr>
            <w:r>
              <w:rPr>
                <w:rFonts w:ascii="Arial" w:cs="Arial" w:eastAsia="Arial" w:hAnsi="Arial"/>
                <w:sz w:val="16"/>
                <w:szCs w:val="16"/>
                <w:color w:val="auto"/>
                <w:w w:val="90"/>
              </w:rPr>
              <w:t>Title of each class</w:t>
            </w:r>
          </w:p>
        </w:tc>
        <w:tc>
          <w:tcPr>
            <w:tcW w:w="2420" w:type="dxa"/>
            <w:vAlign w:val="bottom"/>
            <w:gridSpan w:val="3"/>
          </w:tcPr>
          <w:p>
            <w:pPr>
              <w:jc w:val="center"/>
              <w:ind w:left="19"/>
              <w:spacing w:after="0"/>
              <w:rPr>
                <w:sz w:val="20"/>
                <w:szCs w:val="20"/>
                <w:color w:val="auto"/>
              </w:rPr>
            </w:pPr>
            <w:r>
              <w:rPr>
                <w:rFonts w:ascii="Arial" w:cs="Arial" w:eastAsia="Arial" w:hAnsi="Arial"/>
                <w:sz w:val="16"/>
                <w:szCs w:val="16"/>
                <w:color w:val="auto"/>
                <w:w w:val="94"/>
              </w:rPr>
              <w:t>Trading Symbol(s)</w:t>
            </w:r>
          </w:p>
        </w:tc>
        <w:tc>
          <w:tcPr>
            <w:tcW w:w="3420" w:type="dxa"/>
            <w:vAlign w:val="bottom"/>
            <w:gridSpan w:val="2"/>
          </w:tcPr>
          <w:p>
            <w:pPr>
              <w:jc w:val="center"/>
              <w:ind w:left="459"/>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1"/>
        </w:trPr>
        <w:tc>
          <w:tcPr>
            <w:tcW w:w="3360" w:type="dxa"/>
            <w:vAlign w:val="bottom"/>
            <w:gridSpan w:val="3"/>
          </w:tcPr>
          <w:p>
            <w:pPr>
              <w:jc w:val="center"/>
              <w:ind w:right="640"/>
              <w:spacing w:after="0"/>
              <w:rPr>
                <w:sz w:val="20"/>
                <w:szCs w:val="20"/>
                <w:color w:val="auto"/>
              </w:rPr>
            </w:pPr>
            <w:r>
              <w:rPr>
                <w:rFonts w:ascii="Arial" w:cs="Arial" w:eastAsia="Arial" w:hAnsi="Arial"/>
                <w:sz w:val="16"/>
                <w:szCs w:val="16"/>
                <w:color w:val="auto"/>
                <w:w w:val="90"/>
              </w:rPr>
              <w:t>Common Stock, $0.01 par value per share</w:t>
            </w:r>
          </w:p>
        </w:tc>
        <w:tc>
          <w:tcPr>
            <w:tcW w:w="640" w:type="dxa"/>
            <w:vAlign w:val="bottom"/>
          </w:tcPr>
          <w:p>
            <w:pPr>
              <w:spacing w:after="0"/>
              <w:rPr>
                <w:sz w:val="20"/>
                <w:szCs w:val="20"/>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6"/>
                <w:szCs w:val="16"/>
                <w:color w:val="auto"/>
              </w:rPr>
              <w:t>DXC</w:t>
            </w:r>
          </w:p>
        </w:tc>
        <w:tc>
          <w:tcPr>
            <w:tcW w:w="54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The New York Stock Exchange</w:t>
            </w:r>
          </w:p>
        </w:tc>
      </w:tr>
      <w:tr>
        <w:trPr>
          <w:trHeight w:val="216"/>
        </w:trPr>
        <w:tc>
          <w:tcPr>
            <w:tcW w:w="3360" w:type="dxa"/>
            <w:vAlign w:val="bottom"/>
            <w:gridSpan w:val="3"/>
          </w:tcPr>
          <w:p>
            <w:pPr>
              <w:jc w:val="center"/>
              <w:ind w:right="640"/>
              <w:spacing w:after="0"/>
              <w:rPr>
                <w:sz w:val="20"/>
                <w:szCs w:val="20"/>
                <w:color w:val="auto"/>
              </w:rPr>
            </w:pPr>
            <w:r>
              <w:rPr>
                <w:rFonts w:ascii="Arial" w:cs="Arial" w:eastAsia="Arial" w:hAnsi="Arial"/>
                <w:sz w:val="16"/>
                <w:szCs w:val="16"/>
                <w:color w:val="auto"/>
                <w:w w:val="90"/>
              </w:rPr>
              <w:t>2.750% Senior Notes Due 2025</w:t>
            </w:r>
          </w:p>
        </w:tc>
        <w:tc>
          <w:tcPr>
            <w:tcW w:w="640" w:type="dxa"/>
            <w:vAlign w:val="bottom"/>
          </w:tcPr>
          <w:p>
            <w:pPr>
              <w:spacing w:after="0"/>
              <w:rPr>
                <w:sz w:val="18"/>
                <w:szCs w:val="18"/>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6"/>
                <w:szCs w:val="16"/>
                <w:color w:val="auto"/>
                <w:w w:val="99"/>
              </w:rPr>
              <w:t>DXC 25</w:t>
            </w:r>
          </w:p>
        </w:tc>
        <w:tc>
          <w:tcPr>
            <w:tcW w:w="54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The New York Stock Exchange</w:t>
            </w:r>
          </w:p>
        </w:tc>
      </w:tr>
      <w:tr>
        <w:trPr>
          <w:trHeight w:val="216"/>
        </w:trPr>
        <w:tc>
          <w:tcPr>
            <w:tcW w:w="3360" w:type="dxa"/>
            <w:vAlign w:val="bottom"/>
            <w:gridSpan w:val="3"/>
          </w:tcPr>
          <w:p>
            <w:pPr>
              <w:jc w:val="center"/>
              <w:ind w:right="640"/>
              <w:spacing w:after="0"/>
              <w:rPr>
                <w:sz w:val="20"/>
                <w:szCs w:val="20"/>
                <w:color w:val="auto"/>
              </w:rPr>
            </w:pPr>
            <w:r>
              <w:rPr>
                <w:rFonts w:ascii="Arial" w:cs="Arial" w:eastAsia="Arial" w:hAnsi="Arial"/>
                <w:sz w:val="16"/>
                <w:szCs w:val="16"/>
                <w:color w:val="auto"/>
                <w:w w:val="90"/>
              </w:rPr>
              <w:t>1.750% Senior Notes Due 2026</w:t>
            </w:r>
          </w:p>
        </w:tc>
        <w:tc>
          <w:tcPr>
            <w:tcW w:w="640" w:type="dxa"/>
            <w:vAlign w:val="bottom"/>
          </w:tcPr>
          <w:p>
            <w:pPr>
              <w:spacing w:after="0"/>
              <w:rPr>
                <w:sz w:val="18"/>
                <w:szCs w:val="18"/>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6"/>
                <w:szCs w:val="16"/>
                <w:color w:val="auto"/>
                <w:w w:val="99"/>
              </w:rPr>
              <w:t>DXC 26</w:t>
            </w:r>
          </w:p>
        </w:tc>
        <w:tc>
          <w:tcPr>
            <w:tcW w:w="54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The New York Stock Exchange</w:t>
            </w:r>
          </w:p>
        </w:tc>
      </w:tr>
    </w:tbl>
    <w:p>
      <w:pPr>
        <w:spacing w:after="0" w:line="200" w:lineRule="exact"/>
        <w:rPr>
          <w:sz w:val="20"/>
          <w:szCs w:val="20"/>
          <w:color w:val="auto"/>
        </w:rPr>
      </w:pPr>
    </w:p>
    <w:p>
      <w:pPr>
        <w:spacing w:after="0" w:line="35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DXC Technology Company’s 2021 Annual Meeting of Stockholders (the “Annual Meeting”) was held on August 17, 2021. The Company previously filed with the Securities and Exchange Commission a Proxy Statement, which describes in detail each of the three proposals submitted to stockholders at the Annual Meeting. No item other than the three items addressed below and described in the Proxy Statement was submitted at the Annual Meeting for stockholder action.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certified results of the matters voted upon at the Annual Meeting, which are more fully described in the Proxy Statement, are as follows:</w:t>
      </w:r>
    </w:p>
    <w:p>
      <w:pPr>
        <w:spacing w:after="0" w:line="25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Proposal to elect each of the twelve director nominees to the DXC Board of Directors:</w:t>
      </w:r>
    </w:p>
    <w:p>
      <w:pPr>
        <w:spacing w:after="0" w:line="354" w:lineRule="exact"/>
        <w:rPr>
          <w:sz w:val="20"/>
          <w:szCs w:val="20"/>
          <w:color w:val="auto"/>
        </w:rPr>
      </w:pPr>
    </w:p>
    <w:tbl>
      <w:tblPr>
        <w:tblLayout w:type="fixed"/>
        <w:tblInd w:w="30" w:type="dxa"/>
        <w:tblCellMar>
          <w:top w:w="0" w:type="dxa"/>
          <w:left w:w="0" w:type="dxa"/>
          <w:bottom w:w="0" w:type="dxa"/>
          <w:right w:w="0" w:type="dxa"/>
        </w:tblCellMar>
      </w:tblPr>
      <w:tr>
        <w:trPr>
          <w:trHeight w:val="203"/>
        </w:trPr>
        <w:tc>
          <w:tcPr>
            <w:tcW w:w="2240" w:type="dxa"/>
            <w:vAlign w:val="bottom"/>
            <w:tcBorders>
              <w:top w:val="single" w:sz="8" w:color="auto"/>
              <w:left w:val="single" w:sz="8" w:color="auto"/>
              <w:right w:val="single" w:sz="8" w:color="auto"/>
            </w:tcBorders>
            <w:gridSpan w:val="3"/>
          </w:tcPr>
          <w:p>
            <w:pPr>
              <w:ind w:left="120"/>
              <w:spacing w:after="0" w:line="202" w:lineRule="exact"/>
              <w:rPr>
                <w:sz w:val="20"/>
                <w:szCs w:val="20"/>
                <w:color w:val="auto"/>
              </w:rPr>
            </w:pPr>
            <w:r>
              <w:rPr>
                <w:rFonts w:ascii="Arial" w:cs="Arial" w:eastAsia="Arial" w:hAnsi="Arial"/>
                <w:sz w:val="18"/>
                <w:szCs w:val="18"/>
                <w:b w:val="1"/>
                <w:bCs w:val="1"/>
                <w:color w:val="auto"/>
              </w:rPr>
              <w:t>DIRECTOR NOMINEES</w:t>
            </w:r>
          </w:p>
        </w:tc>
        <w:tc>
          <w:tcPr>
            <w:tcW w:w="600" w:type="dxa"/>
            <w:vAlign w:val="bottom"/>
            <w:tcBorders>
              <w:top w:val="single" w:sz="8" w:color="auto"/>
            </w:tcBorders>
          </w:tcPr>
          <w:p>
            <w:pPr>
              <w:spacing w:after="0"/>
              <w:rPr>
                <w:sz w:val="17"/>
                <w:szCs w:val="17"/>
                <w:color w:val="auto"/>
              </w:rPr>
            </w:pPr>
          </w:p>
        </w:tc>
        <w:tc>
          <w:tcPr>
            <w:tcW w:w="1640" w:type="dxa"/>
            <w:vAlign w:val="bottom"/>
            <w:tcBorders>
              <w:top w:val="single" w:sz="8" w:color="auto"/>
              <w:right w:val="single" w:sz="8" w:color="auto"/>
            </w:tcBorders>
            <w:gridSpan w:val="2"/>
          </w:tcPr>
          <w:p>
            <w:pPr>
              <w:jc w:val="center"/>
              <w:ind w:right="620"/>
              <w:spacing w:after="0" w:line="202" w:lineRule="exact"/>
              <w:rPr>
                <w:sz w:val="20"/>
                <w:szCs w:val="20"/>
                <w:color w:val="auto"/>
              </w:rPr>
            </w:pPr>
            <w:r>
              <w:rPr>
                <w:rFonts w:ascii="Arial" w:cs="Arial" w:eastAsia="Arial" w:hAnsi="Arial"/>
                <w:sz w:val="18"/>
                <w:szCs w:val="18"/>
                <w:b w:val="1"/>
                <w:bCs w:val="1"/>
                <w:color w:val="auto"/>
                <w:w w:val="98"/>
              </w:rPr>
              <w:t>VOTES FOR</w:t>
            </w:r>
          </w:p>
        </w:tc>
        <w:tc>
          <w:tcPr>
            <w:tcW w:w="380" w:type="dxa"/>
            <w:vAlign w:val="bottom"/>
            <w:tcBorders>
              <w:top w:val="single" w:sz="8" w:color="auto"/>
            </w:tcBorders>
          </w:tcPr>
          <w:p>
            <w:pPr>
              <w:spacing w:after="0"/>
              <w:rPr>
                <w:sz w:val="17"/>
                <w:szCs w:val="17"/>
                <w:color w:val="auto"/>
              </w:rPr>
            </w:pPr>
          </w:p>
        </w:tc>
        <w:tc>
          <w:tcPr>
            <w:tcW w:w="18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VOTES AGAINST</w:t>
            </w:r>
          </w:p>
        </w:tc>
        <w:tc>
          <w:tcPr>
            <w:tcW w:w="260" w:type="dxa"/>
            <w:vAlign w:val="bottom"/>
            <w:tcBorders>
              <w:top w:val="single" w:sz="8" w:color="auto"/>
            </w:tcBorders>
          </w:tcPr>
          <w:p>
            <w:pPr>
              <w:spacing w:after="0"/>
              <w:rPr>
                <w:sz w:val="17"/>
                <w:szCs w:val="17"/>
                <w:color w:val="auto"/>
              </w:rPr>
            </w:pPr>
          </w:p>
        </w:tc>
        <w:tc>
          <w:tcPr>
            <w:tcW w:w="2000" w:type="dxa"/>
            <w:vAlign w:val="bottom"/>
            <w:tcBorders>
              <w:top w:val="single" w:sz="8" w:color="auto"/>
              <w:right w:val="single" w:sz="8" w:color="auto"/>
            </w:tcBorders>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VOTES ABSTAINED</w:t>
            </w:r>
          </w:p>
        </w:tc>
        <w:tc>
          <w:tcPr>
            <w:tcW w:w="160" w:type="dxa"/>
            <w:vAlign w:val="bottom"/>
            <w:tcBorders>
              <w:top w:val="single" w:sz="8" w:color="auto"/>
            </w:tcBorders>
          </w:tcPr>
          <w:p>
            <w:pPr>
              <w:spacing w:after="0"/>
              <w:rPr>
                <w:sz w:val="17"/>
                <w:szCs w:val="17"/>
                <w:color w:val="auto"/>
              </w:rPr>
            </w:pPr>
          </w:p>
        </w:tc>
        <w:tc>
          <w:tcPr>
            <w:tcW w:w="2080" w:type="dxa"/>
            <w:vAlign w:val="bottom"/>
            <w:tcBorders>
              <w:top w:val="single" w:sz="8" w:color="auto"/>
              <w:right w:val="single" w:sz="8" w:color="auto"/>
            </w:tcBorders>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BROKER NON-VOTES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Mukesh Aghi</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195,620,119</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0"/>
              </w:rPr>
              <w:t>11,515,903</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537,840</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Amy E. Alving</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202,551,410</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4,667,000</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455,452</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David A. Barnes</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205,805,094</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1,360,682</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508,086</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Raul J. Fernandez</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197,596,106</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9,610,696</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467,060</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David L. Herzog</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202,502,963</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4,656,841</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514,058</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Mary L. Krakauer</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199,957,281</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7,215,593</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500,988</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Ian C. Read</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195,220,529</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0"/>
              </w:rPr>
              <w:t>11,889,523</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563,810</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Dawn Rogers</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203,767,965</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3,446,601</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459,296</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Michael J. Salvino</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205,772,842</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1,425,857</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475,163</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Manoj P. Singh</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198,457,057</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8,741,551</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475,254</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Akihiko Washington</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203,826,604</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3,371,330</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475,928</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r>
        <w:trPr>
          <w:trHeight w:val="223"/>
        </w:trPr>
        <w:tc>
          <w:tcPr>
            <w:tcW w:w="22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Robert F. Woods</w:t>
            </w:r>
          </w:p>
        </w:tc>
        <w:tc>
          <w:tcPr>
            <w:tcW w:w="16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205,669,592</w:t>
            </w:r>
          </w:p>
        </w:tc>
        <w:tc>
          <w:tcPr>
            <w:tcW w:w="6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1,523,957</w:t>
            </w:r>
          </w:p>
        </w:tc>
        <w:tc>
          <w:tcPr>
            <w:tcW w:w="4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480,313</w:t>
            </w:r>
          </w:p>
        </w:tc>
        <w:tc>
          <w:tcPr>
            <w:tcW w:w="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17,640,279</w:t>
            </w:r>
          </w:p>
        </w:tc>
        <w:tc>
          <w:tcPr>
            <w:tcW w:w="180" w:type="dxa"/>
            <w:vAlign w:val="bottom"/>
            <w:tcBorders>
              <w:bottom w:val="single" w:sz="8" w:color="auto"/>
              <w:right w:val="single" w:sz="8" w:color="auto"/>
            </w:tcBorders>
          </w:tcPr>
          <w:p>
            <w:pPr>
              <w:spacing w:after="0"/>
              <w:rPr>
                <w:sz w:val="19"/>
                <w:szCs w:val="19"/>
                <w:color w:val="auto"/>
              </w:rPr>
            </w:pPr>
          </w:p>
        </w:tc>
      </w:tr>
    </w:tbl>
    <w:p>
      <w:pPr>
        <w:spacing w:after="0" w:line="29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director nominees were elected to serve for a one-year term, having received “FOR” votes from a majority of the shares of the Company’s common stock present in person or represented by proxy at the Annual Meeting and entitled to vote on the proposal.</w:t>
      </w:r>
    </w:p>
    <w:p>
      <w:pPr>
        <w:spacing w:after="0" w:line="183" w:lineRule="exact"/>
        <w:rPr>
          <w:sz w:val="20"/>
          <w:szCs w:val="20"/>
          <w:color w:val="auto"/>
        </w:rPr>
      </w:pPr>
    </w:p>
    <w:p>
      <w:pPr>
        <w:ind w:left="180" w:right="200" w:hanging="172"/>
        <w:spacing w:after="0" w:line="277" w:lineRule="auto"/>
        <w:tabs>
          <w:tab w:leader="none" w:pos="19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to ratify the appointment of Deloitte &amp; Touche LLP as the independent registered public accounting firm for the fiscal year ending March 31, 2022:</w:t>
      </w:r>
    </w:p>
    <w:p>
      <w:pPr>
        <w:spacing w:after="0" w:line="286"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720" w:type="dxa"/>
            <w:vAlign w:val="bottom"/>
            <w:tcBorders>
              <w:top w:val="single" w:sz="8" w:color="auto"/>
              <w:left w:val="single" w:sz="8" w:color="auto"/>
              <w:right w:val="single" w:sz="8" w:color="auto"/>
            </w:tcBorders>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VOTES FOR</w:t>
            </w:r>
          </w:p>
        </w:tc>
        <w:tc>
          <w:tcPr>
            <w:tcW w:w="52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2"/>
          </w:tcPr>
          <w:p>
            <w:pPr>
              <w:jc w:val="center"/>
              <w:ind w:right="700"/>
              <w:spacing w:after="0" w:line="202" w:lineRule="exact"/>
              <w:rPr>
                <w:sz w:val="20"/>
                <w:szCs w:val="20"/>
                <w:color w:val="auto"/>
              </w:rPr>
            </w:pPr>
            <w:r>
              <w:rPr>
                <w:rFonts w:ascii="Arial" w:cs="Arial" w:eastAsia="Arial" w:hAnsi="Arial"/>
                <w:sz w:val="18"/>
                <w:szCs w:val="18"/>
                <w:b w:val="1"/>
                <w:bCs w:val="1"/>
                <w:color w:val="auto"/>
              </w:rPr>
              <w:t>VOTES AGAINST</w:t>
            </w:r>
          </w:p>
        </w:tc>
        <w:tc>
          <w:tcPr>
            <w:tcW w:w="2720" w:type="dxa"/>
            <w:vAlign w:val="bottom"/>
            <w:tcBorders>
              <w:top w:val="single" w:sz="8" w:color="auto"/>
              <w:right w:val="single" w:sz="8" w:color="auto"/>
            </w:tcBorders>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VOTES ABSTAINED</w:t>
            </w:r>
          </w:p>
        </w:tc>
        <w:tc>
          <w:tcPr>
            <w:tcW w:w="2720" w:type="dxa"/>
            <w:vAlign w:val="bottom"/>
            <w:tcBorders>
              <w:top w:val="single" w:sz="8" w:color="auto"/>
              <w:right w:val="single" w:sz="8" w:color="auto"/>
            </w:tcBorders>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BROKER NON-VOTES</w:t>
            </w: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780" w:type="dxa"/>
            <w:vAlign w:val="bottom"/>
            <w:tcBorders>
              <w:left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218,029,041</w:t>
            </w:r>
          </w:p>
        </w:tc>
        <w:tc>
          <w:tcPr>
            <w:tcW w:w="94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6,730,754</w:t>
            </w:r>
          </w:p>
        </w:tc>
        <w:tc>
          <w:tcPr>
            <w:tcW w:w="7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554,346</w:t>
            </w:r>
          </w:p>
        </w:tc>
        <w:tc>
          <w:tcPr>
            <w:tcW w:w="60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9"/>
              </w:rPr>
              <w:t>—</w:t>
            </w: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proposal was approved, having received “FOR” votes from a majority of the shares of the Company’s common stock present in person or represented by proxy at the Annual Meeting and entitled to vote on the proposal.</w:t>
      </w:r>
    </w:p>
    <w:p>
      <w:pPr>
        <w:spacing w:after="0" w:line="17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to approve, on an advisory basis, the executive compensation of DXC's named executive officers:</w:t>
      </w:r>
    </w:p>
    <w:p>
      <w:pPr>
        <w:spacing w:after="0" w:line="32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780" w:type="dxa"/>
            <w:vAlign w:val="bottom"/>
            <w:tcBorders>
              <w:top w:val="single" w:sz="8" w:color="auto"/>
              <w:left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9"/>
              </w:rPr>
              <w:t>VOTES FOR</w:t>
            </w:r>
          </w:p>
        </w:tc>
        <w:tc>
          <w:tcPr>
            <w:tcW w:w="274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VOTES AGAINST</w:t>
            </w:r>
          </w:p>
        </w:tc>
        <w:tc>
          <w:tcPr>
            <w:tcW w:w="276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VOTES ABSTAINED</w:t>
            </w:r>
          </w:p>
        </w:tc>
        <w:tc>
          <w:tcPr>
            <w:tcW w:w="40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BROKER NON-VOTES</w:t>
            </w:r>
          </w:p>
        </w:tc>
      </w:tr>
      <w:tr>
        <w:trPr>
          <w:trHeight w:val="20"/>
        </w:trPr>
        <w:tc>
          <w:tcPr>
            <w:tcW w:w="86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900" w:type="dxa"/>
            <w:vAlign w:val="bottom"/>
            <w:tcBorders>
              <w:left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95,924,121</w:t>
            </w:r>
          </w:p>
        </w:tc>
        <w:tc>
          <w:tcPr>
            <w:tcW w:w="8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106,350,341</w:t>
            </w:r>
          </w:p>
        </w:tc>
        <w:tc>
          <w:tcPr>
            <w:tcW w:w="66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5,399,400</w:t>
            </w:r>
          </w:p>
        </w:tc>
        <w:tc>
          <w:tcPr>
            <w:tcW w:w="56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17,640,279</w:t>
            </w:r>
          </w:p>
        </w:tc>
        <w:tc>
          <w:tcPr>
            <w:tcW w:w="460" w:type="dxa"/>
            <w:vAlign w:val="bottom"/>
            <w:tcBorders>
              <w:bottom w:val="single" w:sz="8" w:color="auto"/>
              <w:right w:val="single" w:sz="8" w:color="auto"/>
            </w:tcBorders>
          </w:tcPr>
          <w:p>
            <w:pPr>
              <w:spacing w:after="0"/>
              <w:rPr>
                <w:sz w:val="19"/>
                <w:szCs w:val="19"/>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proposal did not obtain “FOR” votes from a majority of the shares of the Company’s common stock present in person or represented by proxy at the Annual Meeting and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DXC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2500" w:type="dxa"/>
            <w:vAlign w:val="bottom"/>
          </w:tcPr>
          <w:p>
            <w:pPr>
              <w:spacing w:after="0"/>
              <w:rPr>
                <w:sz w:val="20"/>
                <w:szCs w:val="20"/>
                <w:color w:val="auto"/>
              </w:rPr>
            </w:pPr>
            <w:r>
              <w:rPr>
                <w:rFonts w:ascii="Arial" w:cs="Arial" w:eastAsia="Arial" w:hAnsi="Arial"/>
                <w:sz w:val="18"/>
                <w:szCs w:val="18"/>
                <w:color w:val="auto"/>
              </w:rPr>
              <w:t>Dated:   August 20, 2021</w:t>
            </w:r>
          </w:p>
        </w:tc>
        <w:tc>
          <w:tcPr>
            <w:tcW w:w="1300" w:type="dxa"/>
            <w:vAlign w:val="bottom"/>
          </w:tcPr>
          <w:p>
            <w:pPr>
              <w:ind w:left="6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Zafar A. Hasan</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1300" w:type="dxa"/>
            <w:vAlign w:val="bottom"/>
          </w:tcPr>
          <w:p>
            <w:pPr>
              <w:ind w:left="6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Zafar A. Hasan</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300" w:type="dxa"/>
            <w:vAlign w:val="bottom"/>
            <w:vMerge w:val="restart"/>
          </w:tcPr>
          <w:p>
            <w:pPr>
              <w:ind w:left="60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w w:val="91"/>
              </w:rPr>
              <w:t>Senior Vice President, Head of Corporate Legal and Corporate</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340"/>
      </w:cols>
      <w:pgMar w:left="320" w:top="14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2021-08-20T15:05:28Z</dcterms:created>
  <dcterms:modified xsi:type="dcterms:W3CDTF">2021-08-20T15:05:28Z</dcterms:modified>
</cp:coreProperties>
</file>