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7781.xml.htm"/>
      <w:bookmarkStart w:id="1" w:name="kswkform4_17870877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Venkataraman Ramanathan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20408 BASHAN DRIVE, SUITE 231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ASHBURN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DXC Technology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752"/>
        <w:gridCol w:w="118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10.79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230,688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liabilities arising from 28,927 restricted stock units (RSUs) that vested on August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reported includes unvested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 Fawcett,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7416" TargetMode="External"/><Relationship Id="rId5" Type="http://schemas.openxmlformats.org/officeDocument/2006/relationships/hyperlink" Target="http://www.sec.gov/cgi-bin/browse-edgar?action=getcompany&amp;CIK=00016885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3223</Characters>
  <CharactersWithSpaces>3742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