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049076.xml.htm"/>
      <w:bookmarkStart w:id="1" w:name="kswkform4_178604907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Mayfield Pinkie Dent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20408 BASHAN DRIVE, SUITE 231</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ASHBURN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DXC Technology Co</w:t>
              </w:r>
            </w:hyperlink>
            <w:r>
              <w:rPr/>
              <w:t xml:space="preserve"> [ </w:t>
            </w:r>
            <w:r>
              <w:rPr>
                <w:rFonts w:ascii="Times;serif" w:hAnsi="Times;serif"/>
                <w:color w:val="0000FF"/>
                <w:sz w:val="24"/>
                <w:shd w:fill="FFFFFF" w:val="clear"/>
              </w:rPr>
              <w:t>DXC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21,800</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64,600</w:t>
            </w:r>
            <w:r>
              <w:rPr>
                <w:rFonts w:ascii="Times;serif" w:hAnsi="Times;serif"/>
                <w:color w:val="008000"/>
                <w:position w:val="7"/>
                <w:sz w:val="16"/>
                <w:sz w:val="20"/>
                <w:shd w:fill="FFFFFF" w:val="clear"/>
              </w:rPr>
              <w:t>(2)</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Award of restricted stock units (RSUs). Each RSU entitles the reporting person to receive one share of common stock. The RSUs will vest on the earlier of (i) one year from the grant date, or (ii) at the 2027 annual meeting of stockholders. The RSUs will settle on the vesting date or, if the director has elected to defer settlement, on the date or event elected by the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Amount reported includes unvested RSUs.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Matt Fawcett,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27411" TargetMode="External"/><Relationship Id="rId5" Type="http://schemas.openxmlformats.org/officeDocument/2006/relationships/hyperlink" Target="http://www.sec.gov/cgi-bin/browse-edgar?action=getcompany&amp;CIK=00016885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637</Words>
  <Characters>3412</Characters>
  <CharactersWithSpaces>3981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