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828091.xml.htm"/>
      <w:bookmarkStart w:id="1" w:name="kswkform4_17798280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Ragone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20408 BASHAN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ASHBURN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DXC Technology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9.23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174,961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liabilities arising from 1,928 restricted stock units (RSUs) that vested on May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reported includes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to satisfy tax liabilities arising from 1,590 restricted stock units (RSUs) that vested on May 22,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 Fawcett,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711" TargetMode="External"/><Relationship Id="rId5" Type="http://schemas.openxmlformats.org/officeDocument/2006/relationships/hyperlink" Target="http://www.sec.gov/cgi-bin/browse-edgar?action=getcompany&amp;CIK=0001688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3345</Characters>
  <CharactersWithSpaces>3893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